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72C" w:rsidRDefault="00F0572C" w:rsidP="009127F6">
      <w:pPr>
        <w:spacing w:after="200" w:line="380" w:lineRule="exact"/>
        <w:jc w:val="both"/>
        <w:rPr>
          <w:rFonts w:ascii="Georgia" w:eastAsia="Times New Roman" w:hAnsi="Georgia" w:cs="Times New Roman"/>
          <w:b/>
          <w:bCs/>
          <w:sz w:val="32"/>
          <w:szCs w:val="32"/>
          <w:lang w:val="ro-RO"/>
        </w:rPr>
      </w:pPr>
      <w:proofErr w:type="spellStart"/>
      <w:r w:rsidRPr="00F0572C">
        <w:rPr>
          <w:rFonts w:ascii="Georgia" w:eastAsia="Times New Roman" w:hAnsi="Georgia" w:cs="Times New Roman"/>
          <w:b/>
          <w:bCs/>
          <w:sz w:val="32"/>
          <w:szCs w:val="32"/>
          <w:lang w:val="ro-RO"/>
        </w:rPr>
        <w:t>Telemunca</w:t>
      </w:r>
      <w:proofErr w:type="spellEnd"/>
      <w:r w:rsidRPr="00F0572C">
        <w:rPr>
          <w:rFonts w:ascii="Georgia" w:eastAsia="Times New Roman" w:hAnsi="Georgia" w:cs="Times New Roman"/>
          <w:b/>
          <w:bCs/>
          <w:sz w:val="32"/>
          <w:szCs w:val="32"/>
          <w:lang w:val="ro-RO"/>
        </w:rPr>
        <w:t xml:space="preserve"> inteligentă - Ghid pentru eficientizarea costurilor și pentru un management activ al riscurilor </w:t>
      </w:r>
    </w:p>
    <w:p w:rsidR="0054315E" w:rsidRPr="00F0572C" w:rsidRDefault="00F0572C" w:rsidP="00601314">
      <w:pPr>
        <w:spacing w:after="200" w:line="320" w:lineRule="exact"/>
        <w:jc w:val="both"/>
        <w:rPr>
          <w:rFonts w:ascii="Georgia" w:eastAsia="Times New Roman" w:hAnsi="Georgia" w:cs="Times New Roman"/>
          <w:i/>
          <w:lang w:val="ro-RO"/>
        </w:rPr>
      </w:pPr>
      <w:r w:rsidRPr="00F0572C">
        <w:rPr>
          <w:rFonts w:ascii="Georgia" w:eastAsia="Times New Roman" w:hAnsi="Georgia" w:cs="Times New Roman"/>
          <w:i/>
          <w:lang w:val="ro-RO"/>
        </w:rPr>
        <w:t xml:space="preserve">De </w:t>
      </w:r>
      <w:r w:rsidRPr="00F0572C">
        <w:rPr>
          <w:rFonts w:ascii="Georgia" w:eastAsia="Times New Roman" w:hAnsi="Georgia" w:cs="Times New Roman"/>
          <w:b/>
          <w:i/>
          <w:lang w:val="ro-RO"/>
        </w:rPr>
        <w:t>Mihai Popa</w:t>
      </w:r>
      <w:r w:rsidRPr="00F0572C">
        <w:rPr>
          <w:rFonts w:ascii="Georgia" w:eastAsia="Times New Roman" w:hAnsi="Georgia" w:cs="Times New Roman"/>
          <w:i/>
          <w:lang w:val="ro-RO"/>
        </w:rPr>
        <w:t xml:space="preserve">, </w:t>
      </w:r>
      <w:proofErr w:type="spellStart"/>
      <w:r>
        <w:rPr>
          <w:rFonts w:ascii="Georgia" w:eastAsia="Times New Roman" w:hAnsi="Georgia" w:cs="Times New Roman"/>
          <w:i/>
          <w:lang w:val="ro-RO"/>
        </w:rPr>
        <w:t>Deputy</w:t>
      </w:r>
      <w:proofErr w:type="spellEnd"/>
      <w:r>
        <w:rPr>
          <w:rFonts w:ascii="Georgia" w:eastAsia="Times New Roman" w:hAnsi="Georgia" w:cs="Times New Roman"/>
          <w:i/>
          <w:lang w:val="ro-RO"/>
        </w:rPr>
        <w:t xml:space="preserve"> </w:t>
      </w:r>
      <w:proofErr w:type="spellStart"/>
      <w:r>
        <w:rPr>
          <w:rFonts w:ascii="Georgia" w:eastAsia="Times New Roman" w:hAnsi="Georgia" w:cs="Times New Roman"/>
          <w:i/>
          <w:lang w:val="ro-RO"/>
        </w:rPr>
        <w:t>Managing</w:t>
      </w:r>
      <w:proofErr w:type="spellEnd"/>
      <w:r>
        <w:rPr>
          <w:rFonts w:ascii="Georgia" w:eastAsia="Times New Roman" w:hAnsi="Georgia" w:cs="Times New Roman"/>
          <w:i/>
          <w:lang w:val="ro-RO"/>
        </w:rPr>
        <w:t xml:space="preserve"> </w:t>
      </w:r>
      <w:proofErr w:type="spellStart"/>
      <w:r>
        <w:rPr>
          <w:rFonts w:ascii="Georgia" w:eastAsia="Times New Roman" w:hAnsi="Georgia" w:cs="Times New Roman"/>
          <w:i/>
          <w:lang w:val="ro-RO"/>
        </w:rPr>
        <w:t>Partner</w:t>
      </w:r>
      <w:proofErr w:type="spellEnd"/>
      <w:r w:rsidRPr="00F0572C">
        <w:rPr>
          <w:rFonts w:ascii="Georgia" w:eastAsia="Times New Roman" w:hAnsi="Georgia" w:cs="Times New Roman"/>
          <w:i/>
          <w:lang w:val="ro-RO"/>
        </w:rPr>
        <w:t xml:space="preserve">, Coordonator al Departamentului de Dreptul Muncii și Beneficii ale Salariaților și </w:t>
      </w:r>
      <w:r w:rsidRPr="00F0572C">
        <w:rPr>
          <w:rFonts w:ascii="Georgia" w:eastAsia="Times New Roman" w:hAnsi="Georgia" w:cs="Times New Roman"/>
          <w:b/>
          <w:i/>
          <w:lang w:val="ro-RO"/>
        </w:rPr>
        <w:t>Dragoș Lungu</w:t>
      </w:r>
      <w:r w:rsidRPr="00F0572C">
        <w:rPr>
          <w:rFonts w:ascii="Georgia" w:eastAsia="Times New Roman" w:hAnsi="Georgia" w:cs="Times New Roman"/>
          <w:i/>
          <w:lang w:val="ro-RO"/>
        </w:rPr>
        <w:t xml:space="preserve">, </w:t>
      </w:r>
      <w:proofErr w:type="spellStart"/>
      <w:r w:rsidRPr="00F0572C">
        <w:rPr>
          <w:rFonts w:ascii="Georgia" w:eastAsia="Times New Roman" w:hAnsi="Georgia" w:cs="Times New Roman"/>
          <w:i/>
          <w:lang w:val="ro-RO"/>
        </w:rPr>
        <w:t>Managing</w:t>
      </w:r>
      <w:proofErr w:type="spellEnd"/>
      <w:r w:rsidRPr="00F0572C">
        <w:rPr>
          <w:rFonts w:ascii="Georgia" w:eastAsia="Times New Roman" w:hAnsi="Georgia" w:cs="Times New Roman"/>
          <w:i/>
          <w:lang w:val="ro-RO"/>
        </w:rPr>
        <w:t xml:space="preserve"> </w:t>
      </w:r>
      <w:proofErr w:type="spellStart"/>
      <w:r w:rsidRPr="00F0572C">
        <w:rPr>
          <w:rFonts w:ascii="Georgia" w:eastAsia="Times New Roman" w:hAnsi="Georgia" w:cs="Times New Roman"/>
          <w:i/>
          <w:lang w:val="ro-RO"/>
        </w:rPr>
        <w:t>Associate</w:t>
      </w:r>
      <w:proofErr w:type="spellEnd"/>
    </w:p>
    <w:p w:rsidR="0054315E" w:rsidRPr="005B4405" w:rsidRDefault="00F0572C" w:rsidP="00601314">
      <w:pPr>
        <w:shd w:val="clear" w:color="auto" w:fill="FFFFFF"/>
        <w:spacing w:after="200" w:line="320" w:lineRule="exact"/>
        <w:jc w:val="both"/>
        <w:rPr>
          <w:rFonts w:ascii="Georgia" w:eastAsia="Times New Roman" w:hAnsi="Georgia" w:cs="Times New Roman"/>
          <w:lang w:val="ro-RO"/>
        </w:rPr>
      </w:pPr>
      <w:r>
        <w:rPr>
          <w:rFonts w:ascii="Georgia" w:eastAsia="Times New Roman" w:hAnsi="Georgia" w:cs="Times New Roman"/>
          <w:lang w:val="ro-RO"/>
        </w:rPr>
        <w:t>București, 21</w:t>
      </w:r>
      <w:r w:rsidR="005B4405" w:rsidRPr="005B4405">
        <w:rPr>
          <w:rFonts w:ascii="Georgia" w:eastAsia="Times New Roman" w:hAnsi="Georgia" w:cs="Times New Roman"/>
          <w:lang w:val="ro-RO"/>
        </w:rPr>
        <w:t xml:space="preserve"> august 2023</w:t>
      </w:r>
    </w:p>
    <w:p w:rsidR="00F0572C" w:rsidRPr="00F0572C" w:rsidRDefault="00F0572C" w:rsidP="00601314">
      <w:pPr>
        <w:spacing w:line="320" w:lineRule="exact"/>
        <w:rPr>
          <w:rFonts w:ascii="Georgia" w:hAnsi="Georgia"/>
          <w:bCs/>
          <w:szCs w:val="20"/>
          <w:lang w:val="ro-RO"/>
        </w:rPr>
      </w:pPr>
      <w:r w:rsidRPr="00F0572C">
        <w:rPr>
          <w:rFonts w:ascii="Georgia" w:hAnsi="Georgia"/>
          <w:bCs/>
          <w:szCs w:val="20"/>
          <w:lang w:val="ro-RO"/>
        </w:rPr>
        <w:t xml:space="preserve">Fostul sistem clasic (a se </w:t>
      </w:r>
      <w:r w:rsidRPr="00F0572C">
        <w:rPr>
          <w:rFonts w:ascii="Georgia" w:hAnsi="Georgia"/>
          <w:bCs/>
          <w:i/>
          <w:szCs w:val="20"/>
          <w:lang w:val="ro-RO"/>
        </w:rPr>
        <w:t xml:space="preserve">citi „rigid”) </w:t>
      </w:r>
      <w:r w:rsidRPr="00F0572C">
        <w:rPr>
          <w:rFonts w:ascii="Georgia" w:hAnsi="Georgia"/>
          <w:bCs/>
          <w:szCs w:val="20"/>
          <w:lang w:val="ro-RO"/>
        </w:rPr>
        <w:t>în care prestarea de muncă se realiza într-un singur spațiu fizic de lucru pentru toți salariații începe deja să dispară, din cauza scăderii beneficiului său economic și a pierderii oportunității de a beneficia de o mare varietate de servicii oferite de societatea modernă (inclusiv din cauza acțiunii cronofage de deplasare de la domiciliu la locul de muncă și invers).</w:t>
      </w:r>
    </w:p>
    <w:p w:rsidR="00F0572C" w:rsidRPr="00F0572C" w:rsidRDefault="00F0572C" w:rsidP="00601314">
      <w:pPr>
        <w:spacing w:line="320" w:lineRule="exact"/>
        <w:rPr>
          <w:rFonts w:ascii="Georgia" w:hAnsi="Georgia"/>
          <w:bCs/>
          <w:szCs w:val="20"/>
          <w:lang w:val="ro-RO"/>
        </w:rPr>
      </w:pPr>
      <w:r w:rsidRPr="00F0572C">
        <w:rPr>
          <w:rFonts w:ascii="Georgia" w:hAnsi="Georgia"/>
          <w:szCs w:val="20"/>
          <w:lang w:val="ro-RO"/>
        </w:rPr>
        <w:t xml:space="preserve">În timp ce punctele centrale ale acestui articol ar putea să nu pară atrăgătoare pentru organizațiile care încă opun rezistență schimbării, cu preocupări permanente legate de indicatorii de productivitate/performanță (fără îndoială ușor gestionabile prin politici atente privind munca la distanță și reglementând indicatori de performanță adaptați atât pentru management, cât și pentru salariați, vizând așteptări reale și transparente din partea salariaților și o monitorizare eficientă a performanței), o mare parte dintre organizațiile care utilizează efectiv </w:t>
      </w:r>
      <w:proofErr w:type="spellStart"/>
      <w:r w:rsidRPr="00F0572C">
        <w:rPr>
          <w:rFonts w:ascii="Georgia" w:hAnsi="Georgia"/>
          <w:szCs w:val="20"/>
          <w:lang w:val="ro-RO"/>
        </w:rPr>
        <w:t>telemunca</w:t>
      </w:r>
      <w:proofErr w:type="spellEnd"/>
      <w:r w:rsidRPr="00F0572C">
        <w:rPr>
          <w:rFonts w:ascii="Georgia" w:hAnsi="Georgia"/>
          <w:szCs w:val="20"/>
          <w:lang w:val="ro-RO"/>
        </w:rPr>
        <w:t xml:space="preserve"> nu par să o folosească la potențialul său maxim.    </w:t>
      </w:r>
    </w:p>
    <w:p w:rsidR="00F0572C" w:rsidRPr="00F0572C" w:rsidRDefault="00F0572C" w:rsidP="00601314">
      <w:pPr>
        <w:spacing w:line="320" w:lineRule="exact"/>
        <w:rPr>
          <w:rFonts w:ascii="Georgia" w:hAnsi="Georgia"/>
          <w:bCs/>
          <w:szCs w:val="20"/>
          <w:lang w:val="ro-RO"/>
        </w:rPr>
      </w:pPr>
      <w:r w:rsidRPr="00F0572C">
        <w:rPr>
          <w:rFonts w:ascii="Georgia" w:hAnsi="Georgia"/>
          <w:bCs/>
          <w:szCs w:val="20"/>
          <w:lang w:val="ro-RO"/>
        </w:rPr>
        <w:t xml:space="preserve">O utilizare inteligentă a </w:t>
      </w:r>
      <w:proofErr w:type="spellStart"/>
      <w:r w:rsidRPr="00F0572C">
        <w:rPr>
          <w:rFonts w:ascii="Georgia" w:hAnsi="Georgia"/>
          <w:bCs/>
          <w:szCs w:val="20"/>
          <w:lang w:val="ro-RO"/>
        </w:rPr>
        <w:t>telemuncii</w:t>
      </w:r>
      <w:proofErr w:type="spellEnd"/>
      <w:r w:rsidRPr="00F0572C">
        <w:rPr>
          <w:rFonts w:ascii="Georgia" w:hAnsi="Georgia"/>
          <w:bCs/>
          <w:szCs w:val="20"/>
          <w:lang w:val="ro-RO"/>
        </w:rPr>
        <w:t xml:space="preserve"> presupune abordarea unor aspecte esențiale privind modul în care tehnologia influențează relația de muncă în contextul actual al accesului facil la tehnologie, în special în privința costurilor pentru angajatori și a modalităților de a atinge un management eficient/util al riscurilor.</w:t>
      </w:r>
    </w:p>
    <w:p w:rsidR="00F0572C" w:rsidRPr="00F0572C" w:rsidRDefault="00F0572C" w:rsidP="00601314">
      <w:pPr>
        <w:spacing w:line="320" w:lineRule="exact"/>
        <w:rPr>
          <w:rFonts w:ascii="Georgia" w:hAnsi="Georgia"/>
          <w:bCs/>
          <w:szCs w:val="20"/>
          <w:lang w:val="ro-RO"/>
        </w:rPr>
      </w:pPr>
      <w:r w:rsidRPr="00F0572C">
        <w:rPr>
          <w:rFonts w:ascii="Georgia" w:hAnsi="Georgia"/>
          <w:bCs/>
          <w:szCs w:val="20"/>
          <w:lang w:val="ro-RO"/>
        </w:rPr>
        <w:t xml:space="preserve">Deși România se află în coada statisticilor UE în ceea ce privește utilizarea frecventă/ocazională a muncii de acasă (conform ultimelor date </w:t>
      </w:r>
      <w:proofErr w:type="spellStart"/>
      <w:r w:rsidRPr="00F0572C">
        <w:rPr>
          <w:rFonts w:ascii="Georgia" w:hAnsi="Georgia"/>
          <w:bCs/>
          <w:szCs w:val="20"/>
          <w:lang w:val="ro-RO"/>
        </w:rPr>
        <w:t>Eurostat</w:t>
      </w:r>
      <w:proofErr w:type="spellEnd"/>
      <w:r w:rsidRPr="00F0572C">
        <w:rPr>
          <w:rFonts w:ascii="Georgia" w:hAnsi="Georgia"/>
          <w:bCs/>
          <w:szCs w:val="20"/>
          <w:lang w:val="ro-RO"/>
        </w:rPr>
        <w:t>), pandemi</w:t>
      </w:r>
      <w:r w:rsidR="00601314">
        <w:rPr>
          <w:rFonts w:ascii="Georgia" w:hAnsi="Georgia"/>
          <w:bCs/>
          <w:szCs w:val="20"/>
          <w:lang w:val="ro-RO"/>
        </w:rPr>
        <w:t>a</w:t>
      </w:r>
      <w:r w:rsidRPr="00F0572C">
        <w:rPr>
          <w:rFonts w:ascii="Georgia" w:hAnsi="Georgia"/>
          <w:bCs/>
          <w:szCs w:val="20"/>
          <w:lang w:val="ro-RO"/>
        </w:rPr>
        <w:t xml:space="preserve"> COVID-19 a determinat o creștere exponențială a interesului pentru </w:t>
      </w:r>
      <w:proofErr w:type="spellStart"/>
      <w:r w:rsidRPr="00F0572C">
        <w:rPr>
          <w:rFonts w:ascii="Georgia" w:hAnsi="Georgia"/>
          <w:bCs/>
          <w:szCs w:val="20"/>
          <w:lang w:val="ro-RO"/>
        </w:rPr>
        <w:t>telemuncă</w:t>
      </w:r>
      <w:proofErr w:type="spellEnd"/>
      <w:r w:rsidRPr="00F0572C">
        <w:rPr>
          <w:rFonts w:ascii="Georgia" w:hAnsi="Georgia"/>
          <w:bCs/>
          <w:szCs w:val="20"/>
          <w:lang w:val="ro-RO"/>
        </w:rPr>
        <w:t>/munca de acasă.</w:t>
      </w:r>
    </w:p>
    <w:p w:rsidR="00F0572C" w:rsidRPr="00F0572C" w:rsidRDefault="00F0572C" w:rsidP="00601314">
      <w:pPr>
        <w:spacing w:line="320" w:lineRule="exact"/>
        <w:rPr>
          <w:rFonts w:ascii="Georgia" w:hAnsi="Georgia"/>
          <w:bCs/>
          <w:szCs w:val="20"/>
          <w:lang w:val="ro-RO"/>
        </w:rPr>
      </w:pPr>
      <w:r w:rsidRPr="00F0572C">
        <w:rPr>
          <w:rFonts w:ascii="Georgia" w:hAnsi="Georgia"/>
          <w:bCs/>
          <w:szCs w:val="20"/>
          <w:lang w:val="ro-RO"/>
        </w:rPr>
        <w:t xml:space="preserve">Cu toate acestea, companiile ar trebui să evite să se lanseze în astfel de programe de lucru flexibile înainte de a cunoaște cum să abordeze subiecte juridice cheie, în vederea </w:t>
      </w:r>
      <w:r w:rsidR="00601314">
        <w:rPr>
          <w:rFonts w:ascii="Georgia" w:hAnsi="Georgia"/>
          <w:bCs/>
          <w:szCs w:val="20"/>
          <w:lang w:val="ro-RO"/>
        </w:rPr>
        <w:t>eficientizării</w:t>
      </w:r>
      <w:r w:rsidRPr="00F0572C">
        <w:rPr>
          <w:rFonts w:ascii="Georgia" w:hAnsi="Georgia"/>
          <w:bCs/>
          <w:szCs w:val="20"/>
          <w:lang w:val="ro-RO"/>
        </w:rPr>
        <w:t xml:space="preserve"> costurilor și a prevenirii riscurilor inerente. </w:t>
      </w:r>
    </w:p>
    <w:p w:rsidR="00326711" w:rsidRDefault="00326711" w:rsidP="00601314">
      <w:pPr>
        <w:spacing w:line="320" w:lineRule="exact"/>
        <w:rPr>
          <w:rFonts w:ascii="Georgia" w:hAnsi="Georgia"/>
          <w:b/>
          <w:bCs/>
          <w:szCs w:val="20"/>
          <w:lang w:val="ro-RO"/>
        </w:rPr>
      </w:pPr>
    </w:p>
    <w:p w:rsidR="00F0572C" w:rsidRPr="00F0572C" w:rsidRDefault="00F0572C" w:rsidP="00601314">
      <w:pPr>
        <w:spacing w:line="320" w:lineRule="exact"/>
        <w:rPr>
          <w:rFonts w:ascii="Georgia" w:hAnsi="Georgia"/>
          <w:b/>
          <w:bCs/>
          <w:szCs w:val="20"/>
          <w:lang w:val="ro-RO"/>
        </w:rPr>
      </w:pPr>
      <w:bookmarkStart w:id="0" w:name="_GoBack"/>
      <w:bookmarkEnd w:id="0"/>
      <w:r w:rsidRPr="00F0572C">
        <w:rPr>
          <w:rFonts w:ascii="Georgia" w:hAnsi="Georgia"/>
          <w:b/>
          <w:bCs/>
          <w:szCs w:val="20"/>
          <w:lang w:val="ro-RO"/>
        </w:rPr>
        <w:t xml:space="preserve">„Munca de acasă” și </w:t>
      </w:r>
      <w:r w:rsidRPr="00F0572C">
        <w:rPr>
          <w:rFonts w:ascii="Georgia" w:hAnsi="Georgia"/>
          <w:b/>
          <w:bCs/>
          <w:i/>
          <w:szCs w:val="20"/>
          <w:lang w:val="ro-RO"/>
        </w:rPr>
        <w:t>„</w:t>
      </w:r>
      <w:proofErr w:type="spellStart"/>
      <w:r w:rsidRPr="00F0572C">
        <w:rPr>
          <w:rFonts w:ascii="Georgia" w:hAnsi="Georgia"/>
          <w:b/>
          <w:bCs/>
          <w:szCs w:val="20"/>
          <w:lang w:val="ro-RO"/>
        </w:rPr>
        <w:t>telemunca</w:t>
      </w:r>
      <w:proofErr w:type="spellEnd"/>
      <w:r w:rsidRPr="00F0572C">
        <w:rPr>
          <w:rFonts w:ascii="Georgia" w:hAnsi="Georgia"/>
          <w:b/>
          <w:bCs/>
          <w:szCs w:val="20"/>
          <w:lang w:val="ro-RO"/>
        </w:rPr>
        <w:t xml:space="preserve">” sunt, conform legii, două instituții juridice (de dreptul muncii) distincte </w:t>
      </w:r>
    </w:p>
    <w:p w:rsidR="00F0572C" w:rsidRPr="00F0572C" w:rsidRDefault="00F0572C" w:rsidP="00601314">
      <w:pPr>
        <w:spacing w:line="320" w:lineRule="exact"/>
        <w:rPr>
          <w:rFonts w:ascii="Georgia" w:hAnsi="Georgia"/>
          <w:bCs/>
          <w:szCs w:val="20"/>
          <w:lang w:val="ro-RO"/>
        </w:rPr>
      </w:pPr>
      <w:r w:rsidRPr="00F0572C">
        <w:rPr>
          <w:rFonts w:ascii="Georgia" w:hAnsi="Georgia"/>
          <w:bCs/>
          <w:szCs w:val="20"/>
          <w:lang w:val="ro-RO"/>
        </w:rPr>
        <w:t xml:space="preserve">Doar pentru că societățile utilizează politici interne complicate și încearcă să implementeze diferite instrumente pentru a facilita desfășurarea muncii </w:t>
      </w:r>
      <w:r w:rsidRPr="00F0572C">
        <w:rPr>
          <w:rFonts w:ascii="Georgia" w:hAnsi="Georgia"/>
          <w:bCs/>
          <w:i/>
          <w:szCs w:val="20"/>
          <w:lang w:val="ro-RO"/>
        </w:rPr>
        <w:t>la distanță</w:t>
      </w:r>
      <w:r w:rsidRPr="00F0572C">
        <w:rPr>
          <w:rFonts w:ascii="Georgia" w:hAnsi="Georgia"/>
          <w:bCs/>
          <w:szCs w:val="20"/>
          <w:lang w:val="ro-RO"/>
        </w:rPr>
        <w:t xml:space="preserve"> nu înseamnă neapărat că una sau ambele instituții de muncă sunt utilizate efectiv.</w:t>
      </w:r>
    </w:p>
    <w:p w:rsidR="00F0572C" w:rsidRPr="00F0572C" w:rsidRDefault="00F0572C" w:rsidP="00601314">
      <w:pPr>
        <w:spacing w:line="320" w:lineRule="exact"/>
        <w:rPr>
          <w:rFonts w:ascii="Georgia" w:hAnsi="Georgia"/>
          <w:bCs/>
          <w:szCs w:val="20"/>
          <w:lang w:val="ro-RO"/>
        </w:rPr>
      </w:pPr>
      <w:r w:rsidRPr="00F0572C">
        <w:rPr>
          <w:rFonts w:ascii="Georgia" w:hAnsi="Georgia"/>
          <w:bCs/>
          <w:szCs w:val="20"/>
          <w:lang w:val="ro-RO"/>
        </w:rPr>
        <w:lastRenderedPageBreak/>
        <w:t>Pe scurt, posibilitatea de a munci de acasă este definită de Codul Muncii din România (</w:t>
      </w:r>
      <w:r w:rsidRPr="00F0572C">
        <w:rPr>
          <w:rFonts w:ascii="Georgia" w:hAnsi="Georgia"/>
          <w:bCs/>
          <w:i/>
          <w:szCs w:val="20"/>
          <w:lang w:val="ro-RO"/>
        </w:rPr>
        <w:t>i.e.</w:t>
      </w:r>
      <w:r w:rsidRPr="00F0572C">
        <w:rPr>
          <w:rFonts w:ascii="Georgia" w:hAnsi="Georgia"/>
          <w:bCs/>
          <w:szCs w:val="20"/>
          <w:lang w:val="ro-RO"/>
        </w:rPr>
        <w:t>,</w:t>
      </w:r>
      <w:r w:rsidRPr="00F0572C">
        <w:rPr>
          <w:rFonts w:ascii="Georgia" w:hAnsi="Georgia"/>
          <w:bCs/>
          <w:i/>
          <w:szCs w:val="20"/>
          <w:lang w:val="ro-RO"/>
        </w:rPr>
        <w:t xml:space="preserve"> </w:t>
      </w:r>
      <w:r w:rsidRPr="00F0572C">
        <w:rPr>
          <w:rFonts w:ascii="Georgia" w:hAnsi="Georgia"/>
          <w:bCs/>
          <w:szCs w:val="20"/>
          <w:lang w:val="ro-RO"/>
        </w:rPr>
        <w:t xml:space="preserve">de Legea nr. 53/2003) ca făcând referire la acei salariați care își îndeplinesc sarcinile legate de locul de muncă </w:t>
      </w:r>
      <w:r w:rsidRPr="00F0572C">
        <w:rPr>
          <w:rFonts w:ascii="Georgia" w:hAnsi="Georgia"/>
          <w:bCs/>
          <w:i/>
          <w:szCs w:val="20"/>
          <w:lang w:val="ro-RO"/>
        </w:rPr>
        <w:t>la domiciliul lor</w:t>
      </w:r>
      <w:r w:rsidRPr="00F0572C">
        <w:rPr>
          <w:rFonts w:ascii="Georgia" w:hAnsi="Georgia"/>
          <w:bCs/>
          <w:szCs w:val="20"/>
          <w:lang w:val="ro-RO"/>
        </w:rPr>
        <w:t xml:space="preserve">. Pe de altă parte, Legea nr. 81/2018 care reglementează activitatea de </w:t>
      </w:r>
      <w:proofErr w:type="spellStart"/>
      <w:r w:rsidRPr="00F0572C">
        <w:rPr>
          <w:rFonts w:ascii="Georgia" w:hAnsi="Georgia"/>
          <w:bCs/>
          <w:szCs w:val="20"/>
          <w:lang w:val="ro-RO"/>
        </w:rPr>
        <w:t>telemuncă</w:t>
      </w:r>
      <w:proofErr w:type="spellEnd"/>
      <w:r w:rsidRPr="00F0572C">
        <w:rPr>
          <w:rFonts w:ascii="Georgia" w:hAnsi="Georgia"/>
          <w:bCs/>
          <w:szCs w:val="20"/>
          <w:lang w:val="ro-RO"/>
        </w:rPr>
        <w:t xml:space="preserve"> („Legea privind </w:t>
      </w:r>
      <w:proofErr w:type="spellStart"/>
      <w:r w:rsidRPr="00F0572C">
        <w:rPr>
          <w:rFonts w:ascii="Georgia" w:hAnsi="Georgia"/>
          <w:bCs/>
          <w:szCs w:val="20"/>
          <w:lang w:val="ro-RO"/>
        </w:rPr>
        <w:t>telemunca</w:t>
      </w:r>
      <w:proofErr w:type="spellEnd"/>
      <w:r w:rsidRPr="00F0572C">
        <w:rPr>
          <w:rFonts w:ascii="Georgia" w:hAnsi="Georgia"/>
          <w:bCs/>
          <w:szCs w:val="20"/>
          <w:lang w:val="ro-RO"/>
        </w:rPr>
        <w:t xml:space="preserve">”), intrată ulterior în vigoare, astfel cum a fost modificată de-a lungul timpului, prevede în mod expres că </w:t>
      </w:r>
      <w:proofErr w:type="spellStart"/>
      <w:r w:rsidRPr="00F0572C">
        <w:rPr>
          <w:rFonts w:ascii="Georgia" w:hAnsi="Georgia"/>
          <w:bCs/>
          <w:szCs w:val="20"/>
          <w:lang w:val="ro-RO"/>
        </w:rPr>
        <w:t>telemunca</w:t>
      </w:r>
      <w:proofErr w:type="spellEnd"/>
      <w:r w:rsidRPr="00F0572C">
        <w:rPr>
          <w:rFonts w:ascii="Georgia" w:hAnsi="Georgia"/>
          <w:bCs/>
          <w:szCs w:val="20"/>
          <w:lang w:val="ro-RO"/>
        </w:rPr>
        <w:t xml:space="preserve"> este acea formă de organizare a muncii în baza căreia salariatul, în mod constant și voluntar, își îndeplinește atribuțiile specifice postului, ocupației sau profesiei într-un alt loc decât locul de muncă organizat de angajator, </w:t>
      </w:r>
      <w:r w:rsidRPr="00F0572C">
        <w:rPr>
          <w:rFonts w:ascii="Georgia" w:hAnsi="Georgia"/>
          <w:bCs/>
          <w:i/>
          <w:szCs w:val="20"/>
          <w:lang w:val="ro-RO"/>
        </w:rPr>
        <w:t>utilizând tehnologia informației și comunicațiilor</w:t>
      </w:r>
      <w:r w:rsidRPr="00F0572C">
        <w:rPr>
          <w:rFonts w:ascii="Georgia" w:hAnsi="Georgia"/>
          <w:bCs/>
          <w:szCs w:val="20"/>
          <w:lang w:val="ro-RO"/>
        </w:rPr>
        <w:t>.</w:t>
      </w:r>
    </w:p>
    <w:p w:rsidR="00F0572C" w:rsidRPr="00F0572C" w:rsidRDefault="00F0572C" w:rsidP="00601314">
      <w:pPr>
        <w:spacing w:line="320" w:lineRule="exact"/>
        <w:rPr>
          <w:rFonts w:ascii="Georgia" w:hAnsi="Georgia"/>
          <w:bCs/>
          <w:szCs w:val="20"/>
          <w:lang w:val="ro-RO"/>
        </w:rPr>
      </w:pPr>
      <w:r w:rsidRPr="00F0572C">
        <w:rPr>
          <w:rFonts w:ascii="Georgia" w:hAnsi="Georgia"/>
          <w:bCs/>
          <w:szCs w:val="20"/>
          <w:lang w:val="ro-RO"/>
        </w:rPr>
        <w:t xml:space="preserve">Astfel, este destul de evident să concluzionăm că, în majoritatea cazurilor (dacă nu în toate cazurile) în care lucrătorul la domiciliu utilizează, de asemenea, tehnologia informației și comunicațiilor (cu alte cuvinte, un laptop conectat la internet) pentru desfășurarea activităților prevăzute în contractul de muncă și în fișa postului, este foarte probabil ca reglementările privind </w:t>
      </w:r>
      <w:proofErr w:type="spellStart"/>
      <w:r w:rsidRPr="00F0572C">
        <w:rPr>
          <w:rFonts w:ascii="Georgia" w:hAnsi="Georgia"/>
          <w:bCs/>
          <w:szCs w:val="20"/>
          <w:lang w:val="ro-RO"/>
        </w:rPr>
        <w:t>telemunca</w:t>
      </w:r>
      <w:proofErr w:type="spellEnd"/>
      <w:r w:rsidRPr="00F0572C">
        <w:rPr>
          <w:rFonts w:ascii="Georgia" w:hAnsi="Georgia"/>
          <w:bCs/>
          <w:szCs w:val="20"/>
          <w:lang w:val="ro-RO"/>
        </w:rPr>
        <w:t xml:space="preserve"> să fie aplicabile pentru desfășurarea preconizată a „muncii de acasă” efectuate de la domiciliu. </w:t>
      </w:r>
    </w:p>
    <w:p w:rsidR="00F0572C" w:rsidRPr="00F0572C" w:rsidRDefault="00F0572C" w:rsidP="00601314">
      <w:pPr>
        <w:spacing w:line="320" w:lineRule="exact"/>
        <w:rPr>
          <w:rFonts w:ascii="Georgia" w:hAnsi="Georgia"/>
          <w:bCs/>
          <w:szCs w:val="20"/>
          <w:lang w:val="ro-RO"/>
        </w:rPr>
      </w:pPr>
      <w:r w:rsidRPr="00F0572C">
        <w:rPr>
          <w:rFonts w:ascii="Georgia" w:hAnsi="Georgia"/>
          <w:bCs/>
          <w:szCs w:val="20"/>
          <w:lang w:val="ro-RO"/>
        </w:rPr>
        <w:t xml:space="preserve">În consecință, toate elementele necesare pentru desfășurarea activității de </w:t>
      </w:r>
      <w:proofErr w:type="spellStart"/>
      <w:r w:rsidRPr="00F0572C">
        <w:rPr>
          <w:rFonts w:ascii="Georgia" w:hAnsi="Georgia"/>
          <w:bCs/>
          <w:szCs w:val="20"/>
          <w:lang w:val="ro-RO"/>
        </w:rPr>
        <w:t>telemuncă</w:t>
      </w:r>
      <w:proofErr w:type="spellEnd"/>
      <w:r w:rsidRPr="00F0572C">
        <w:rPr>
          <w:rFonts w:ascii="Georgia" w:hAnsi="Georgia"/>
          <w:bCs/>
          <w:szCs w:val="20"/>
          <w:lang w:val="ro-RO"/>
        </w:rPr>
        <w:t xml:space="preserve"> (de exemplu: inspecții la domiciliu, clauze și declarații privind sănătatea și securitatea în muncă) trebuie evaluate cu atenție și incluse în contractul individual de muncă, chiar și în cazul </w:t>
      </w:r>
      <w:r w:rsidRPr="00F0572C">
        <w:rPr>
          <w:rFonts w:ascii="Georgia" w:hAnsi="Georgia"/>
          <w:bCs/>
          <w:i/>
          <w:iCs/>
          <w:szCs w:val="20"/>
          <w:lang w:val="ro-RO"/>
        </w:rPr>
        <w:t xml:space="preserve">muncii de acasă, </w:t>
      </w:r>
      <w:r w:rsidRPr="00F0572C">
        <w:rPr>
          <w:rFonts w:ascii="Georgia" w:hAnsi="Georgia"/>
          <w:bCs/>
          <w:szCs w:val="20"/>
          <w:lang w:val="ro-RO"/>
        </w:rPr>
        <w:t xml:space="preserve">deoarece lucrătorii la domiciliu vor folosi aproape sigur tehnologia informației și comunicațiilor pentru a-și desfășura activitățile zilnice. </w:t>
      </w:r>
    </w:p>
    <w:p w:rsidR="00F0572C" w:rsidRPr="00F0572C" w:rsidRDefault="00F0572C" w:rsidP="00601314">
      <w:pPr>
        <w:spacing w:line="320" w:lineRule="exact"/>
        <w:rPr>
          <w:rFonts w:ascii="Georgia" w:hAnsi="Georgia"/>
          <w:bCs/>
          <w:szCs w:val="20"/>
          <w:lang w:val="ro-RO"/>
        </w:rPr>
      </w:pPr>
      <w:r w:rsidRPr="00F0572C">
        <w:rPr>
          <w:rFonts w:ascii="Georgia" w:hAnsi="Georgia"/>
          <w:bCs/>
          <w:szCs w:val="20"/>
          <w:lang w:val="ro-RO"/>
        </w:rPr>
        <w:t xml:space="preserve">De asemenea, reglementările din cadrul politicilor interne/instrumentelor IT ale companiei sunt de obicei incomplete în comparație cu cele impuse de Legea privind </w:t>
      </w:r>
      <w:proofErr w:type="spellStart"/>
      <w:r w:rsidRPr="00F0572C">
        <w:rPr>
          <w:rFonts w:ascii="Georgia" w:hAnsi="Georgia"/>
          <w:bCs/>
          <w:szCs w:val="20"/>
          <w:lang w:val="ro-RO"/>
        </w:rPr>
        <w:t>telemunca</w:t>
      </w:r>
      <w:proofErr w:type="spellEnd"/>
      <w:r w:rsidRPr="00F0572C">
        <w:rPr>
          <w:rFonts w:ascii="Georgia" w:hAnsi="Georgia"/>
          <w:bCs/>
          <w:szCs w:val="20"/>
          <w:lang w:val="ro-RO"/>
        </w:rPr>
        <w:t>, chiar și în situația implementării unui mecanism de consimțământ aparent bilateral al părților.</w:t>
      </w:r>
    </w:p>
    <w:p w:rsidR="00F0572C" w:rsidRPr="00F0572C" w:rsidRDefault="00F0572C" w:rsidP="00601314">
      <w:pPr>
        <w:spacing w:line="320" w:lineRule="exact"/>
        <w:rPr>
          <w:rFonts w:ascii="Georgia" w:hAnsi="Georgia"/>
          <w:b/>
          <w:bCs/>
          <w:szCs w:val="20"/>
          <w:lang w:val="ro-RO"/>
        </w:rPr>
      </w:pPr>
      <w:r w:rsidRPr="00F0572C">
        <w:rPr>
          <w:rFonts w:ascii="Georgia" w:hAnsi="Georgia"/>
          <w:b/>
          <w:bCs/>
          <w:szCs w:val="20"/>
          <w:lang w:val="ro-RO"/>
        </w:rPr>
        <w:t>Stabilirea programului de lucru împreună cu salariații</w:t>
      </w:r>
    </w:p>
    <w:p w:rsidR="00F0572C" w:rsidRPr="00F0572C" w:rsidRDefault="00F0572C" w:rsidP="00601314">
      <w:pPr>
        <w:spacing w:line="320" w:lineRule="exact"/>
        <w:rPr>
          <w:rFonts w:ascii="Georgia" w:hAnsi="Georgia"/>
          <w:bCs/>
          <w:szCs w:val="20"/>
          <w:lang w:val="ro-RO"/>
        </w:rPr>
      </w:pPr>
      <w:proofErr w:type="spellStart"/>
      <w:r w:rsidRPr="00F0572C">
        <w:rPr>
          <w:rFonts w:ascii="Georgia" w:hAnsi="Georgia"/>
          <w:bCs/>
          <w:szCs w:val="20"/>
          <w:lang w:val="ro-RO"/>
        </w:rPr>
        <w:t>Telemunca</w:t>
      </w:r>
      <w:proofErr w:type="spellEnd"/>
      <w:r w:rsidRPr="00F0572C">
        <w:rPr>
          <w:rFonts w:ascii="Georgia" w:hAnsi="Georgia"/>
          <w:bCs/>
          <w:szCs w:val="20"/>
          <w:lang w:val="ro-RO"/>
        </w:rPr>
        <w:t xml:space="preserve"> derogă de la impunerea clasică a unui program de lucru fix de către angajator (de exemplu,</w:t>
      </w:r>
      <w:r w:rsidRPr="00F0572C">
        <w:rPr>
          <w:rFonts w:ascii="Georgia" w:hAnsi="Georgia"/>
          <w:bCs/>
          <w:i/>
          <w:szCs w:val="20"/>
          <w:lang w:val="ro-RO"/>
        </w:rPr>
        <w:t xml:space="preserve"> </w:t>
      </w:r>
      <w:r w:rsidRPr="00F0572C">
        <w:rPr>
          <w:rFonts w:ascii="Georgia" w:hAnsi="Georgia"/>
          <w:bCs/>
          <w:szCs w:val="20"/>
          <w:lang w:val="ro-RO"/>
        </w:rPr>
        <w:t>de la 9.00 la 18.00; cu o pauză de masă de o oră), dat fiind că părțile pot opta pentru un program de lucru diferit de cel reglementat în mod normal la nivelul companiei (și anume,</w:t>
      </w:r>
      <w:r w:rsidRPr="00F0572C">
        <w:rPr>
          <w:rFonts w:ascii="Georgia" w:hAnsi="Georgia"/>
          <w:bCs/>
          <w:i/>
          <w:szCs w:val="20"/>
          <w:lang w:val="ro-RO"/>
        </w:rPr>
        <w:t xml:space="preserve"> </w:t>
      </w:r>
      <w:r w:rsidRPr="00F0572C">
        <w:rPr>
          <w:rFonts w:ascii="Georgia" w:hAnsi="Georgia"/>
          <w:bCs/>
          <w:szCs w:val="20"/>
          <w:lang w:val="ro-RO"/>
        </w:rPr>
        <w:t>prin Regulamentul intern sau Contractul colectiv de muncă, dacă este cazul), răspunzând astfel nevoilor profesionale/personale ale angajatorului/salariatului, după caz.</w:t>
      </w:r>
    </w:p>
    <w:p w:rsidR="00F0572C" w:rsidRPr="00F0572C" w:rsidRDefault="00F0572C" w:rsidP="00601314">
      <w:pPr>
        <w:spacing w:line="320" w:lineRule="exact"/>
        <w:rPr>
          <w:rFonts w:ascii="Georgia" w:hAnsi="Georgia"/>
          <w:bCs/>
          <w:szCs w:val="20"/>
          <w:lang w:val="ro-RO"/>
        </w:rPr>
      </w:pPr>
      <w:r w:rsidRPr="00F0572C">
        <w:rPr>
          <w:rFonts w:ascii="Georgia" w:hAnsi="Georgia"/>
          <w:bCs/>
          <w:szCs w:val="20"/>
          <w:lang w:val="ro-RO"/>
        </w:rPr>
        <w:t xml:space="preserve">Stabilirea unui program de lucru flexibil, dar clar, pliat pe specificul activității, va genera productivitate și ar trebui să evite nemulțumirile salariaților </w:t>
      </w:r>
      <w:r w:rsidR="00601314">
        <w:rPr>
          <w:rFonts w:ascii="Georgia" w:hAnsi="Georgia"/>
          <w:bCs/>
          <w:szCs w:val="20"/>
          <w:lang w:val="ro-RO"/>
        </w:rPr>
        <w:t>cu privire la</w:t>
      </w:r>
      <w:r w:rsidRPr="00F0572C">
        <w:rPr>
          <w:rFonts w:ascii="Georgia" w:hAnsi="Georgia"/>
          <w:bCs/>
          <w:szCs w:val="20"/>
          <w:lang w:val="ro-RO"/>
        </w:rPr>
        <w:t xml:space="preserve"> lipsa de protecție/încălcarea </w:t>
      </w:r>
      <w:r w:rsidRPr="00F0572C">
        <w:rPr>
          <w:rFonts w:ascii="Georgia" w:hAnsi="Georgia"/>
          <w:bCs/>
          <w:i/>
          <w:szCs w:val="20"/>
          <w:lang w:val="ro-RO"/>
        </w:rPr>
        <w:t xml:space="preserve">dreptului la deconectare </w:t>
      </w:r>
      <w:r w:rsidRPr="00F0572C">
        <w:rPr>
          <w:rFonts w:ascii="Georgia" w:hAnsi="Georgia"/>
          <w:bCs/>
          <w:szCs w:val="20"/>
          <w:lang w:val="ro-RO"/>
        </w:rPr>
        <w:t>al acestora.</w:t>
      </w:r>
    </w:p>
    <w:p w:rsidR="00F0572C" w:rsidRPr="00F0572C" w:rsidRDefault="00F0572C" w:rsidP="00601314">
      <w:pPr>
        <w:spacing w:line="320" w:lineRule="exact"/>
        <w:rPr>
          <w:rFonts w:ascii="Georgia" w:hAnsi="Georgia"/>
          <w:b/>
          <w:bCs/>
          <w:szCs w:val="20"/>
          <w:lang w:val="ro-RO"/>
        </w:rPr>
      </w:pPr>
      <w:r w:rsidRPr="00F0572C">
        <w:rPr>
          <w:rFonts w:ascii="Georgia" w:hAnsi="Georgia"/>
          <w:b/>
          <w:bCs/>
          <w:szCs w:val="20"/>
          <w:lang w:val="ro-RO"/>
        </w:rPr>
        <w:t xml:space="preserve">Reglementarea unor locuri specifice pentru desfășurarea activității de </w:t>
      </w:r>
      <w:proofErr w:type="spellStart"/>
      <w:r w:rsidRPr="00F0572C">
        <w:rPr>
          <w:rFonts w:ascii="Georgia" w:hAnsi="Georgia"/>
          <w:b/>
          <w:bCs/>
          <w:szCs w:val="20"/>
          <w:lang w:val="ro-RO"/>
        </w:rPr>
        <w:t>telemuncă</w:t>
      </w:r>
      <w:proofErr w:type="spellEnd"/>
    </w:p>
    <w:p w:rsidR="00F0572C" w:rsidRPr="00F0572C" w:rsidRDefault="00F0572C" w:rsidP="00601314">
      <w:pPr>
        <w:spacing w:line="320" w:lineRule="exact"/>
        <w:rPr>
          <w:rFonts w:ascii="Georgia" w:hAnsi="Georgia"/>
          <w:bCs/>
          <w:szCs w:val="20"/>
          <w:lang w:val="ro-RO"/>
        </w:rPr>
      </w:pPr>
      <w:r w:rsidRPr="00F0572C">
        <w:rPr>
          <w:rFonts w:ascii="Georgia" w:hAnsi="Georgia"/>
          <w:bCs/>
          <w:szCs w:val="20"/>
          <w:lang w:val="ro-RO"/>
        </w:rPr>
        <w:t>Deși un astfel de element (și anume,</w:t>
      </w:r>
      <w:r w:rsidRPr="00F0572C">
        <w:rPr>
          <w:rFonts w:ascii="Georgia" w:hAnsi="Georgia"/>
          <w:bCs/>
          <w:i/>
          <w:szCs w:val="20"/>
          <w:lang w:val="ro-RO"/>
        </w:rPr>
        <w:t xml:space="preserve"> </w:t>
      </w:r>
      <w:r w:rsidRPr="00F0572C">
        <w:rPr>
          <w:rFonts w:ascii="Georgia" w:hAnsi="Georgia"/>
          <w:bCs/>
          <w:szCs w:val="20"/>
          <w:lang w:val="ro-RO"/>
        </w:rPr>
        <w:t xml:space="preserve">locul de muncă) a fost recent abrogat din Legea privind </w:t>
      </w:r>
      <w:proofErr w:type="spellStart"/>
      <w:r w:rsidRPr="00F0572C">
        <w:rPr>
          <w:rFonts w:ascii="Georgia" w:hAnsi="Georgia"/>
          <w:bCs/>
          <w:szCs w:val="20"/>
          <w:lang w:val="ro-RO"/>
        </w:rPr>
        <w:t>telemunca</w:t>
      </w:r>
      <w:proofErr w:type="spellEnd"/>
      <w:r w:rsidRPr="00F0572C">
        <w:rPr>
          <w:rFonts w:ascii="Georgia" w:hAnsi="Georgia"/>
          <w:bCs/>
          <w:szCs w:val="20"/>
          <w:lang w:val="ro-RO"/>
        </w:rPr>
        <w:t xml:space="preserve"> ca element-cheie care trebuie reglementat de părți, trebuie acordată o mare atenție </w:t>
      </w:r>
      <w:r w:rsidRPr="00F0572C">
        <w:rPr>
          <w:rFonts w:ascii="Georgia" w:hAnsi="Georgia"/>
          <w:bCs/>
          <w:szCs w:val="20"/>
          <w:lang w:val="ro-RO"/>
        </w:rPr>
        <w:lastRenderedPageBreak/>
        <w:t xml:space="preserve">locurilor în care se desfășoară activitatea de </w:t>
      </w:r>
      <w:proofErr w:type="spellStart"/>
      <w:r w:rsidRPr="00F0572C">
        <w:rPr>
          <w:rFonts w:ascii="Georgia" w:hAnsi="Georgia"/>
          <w:bCs/>
          <w:szCs w:val="20"/>
          <w:lang w:val="ro-RO"/>
        </w:rPr>
        <w:t>telemuncă</w:t>
      </w:r>
      <w:proofErr w:type="spellEnd"/>
      <w:r w:rsidRPr="00F0572C">
        <w:rPr>
          <w:rFonts w:ascii="Georgia" w:hAnsi="Georgia"/>
          <w:bCs/>
          <w:szCs w:val="20"/>
          <w:lang w:val="ro-RO"/>
        </w:rPr>
        <w:t xml:space="preserve">, în special în cazul </w:t>
      </w:r>
      <w:proofErr w:type="spellStart"/>
      <w:r w:rsidRPr="00F0572C">
        <w:rPr>
          <w:rFonts w:ascii="Georgia" w:hAnsi="Georgia"/>
          <w:bCs/>
          <w:szCs w:val="20"/>
          <w:lang w:val="ro-RO"/>
        </w:rPr>
        <w:t>telelucrătorilor</w:t>
      </w:r>
      <w:proofErr w:type="spellEnd"/>
      <w:r w:rsidRPr="00F0572C">
        <w:rPr>
          <w:rFonts w:ascii="Georgia" w:hAnsi="Georgia"/>
          <w:bCs/>
          <w:szCs w:val="20"/>
          <w:lang w:val="ro-RO"/>
        </w:rPr>
        <w:t xml:space="preserve"> transfrontalieri.</w:t>
      </w:r>
    </w:p>
    <w:p w:rsidR="00F0572C" w:rsidRPr="00F0572C" w:rsidRDefault="00F0572C" w:rsidP="00601314">
      <w:pPr>
        <w:spacing w:line="320" w:lineRule="exact"/>
        <w:rPr>
          <w:rFonts w:ascii="Georgia" w:hAnsi="Georgia"/>
          <w:bCs/>
          <w:szCs w:val="20"/>
          <w:lang w:val="ro-RO"/>
        </w:rPr>
      </w:pPr>
      <w:r w:rsidRPr="00F0572C">
        <w:rPr>
          <w:rFonts w:ascii="Georgia" w:hAnsi="Georgia"/>
          <w:bCs/>
          <w:szCs w:val="20"/>
          <w:lang w:val="ro-RO"/>
        </w:rPr>
        <w:t xml:space="preserve">Un acord-cadru recent [în aplicarea articolului 16 alineatul (1) din Regulamentul (CE) nr. 883/2004] prevede un sistem prin care un salariat care desfășoară activități de </w:t>
      </w:r>
      <w:proofErr w:type="spellStart"/>
      <w:r w:rsidRPr="00F0572C">
        <w:rPr>
          <w:rFonts w:ascii="Georgia" w:hAnsi="Georgia"/>
          <w:bCs/>
          <w:szCs w:val="20"/>
          <w:lang w:val="ro-RO"/>
        </w:rPr>
        <w:t>telemuncă</w:t>
      </w:r>
      <w:proofErr w:type="spellEnd"/>
      <w:r w:rsidRPr="00F0572C">
        <w:rPr>
          <w:rFonts w:ascii="Georgia" w:hAnsi="Georgia"/>
          <w:bCs/>
          <w:szCs w:val="20"/>
          <w:lang w:val="ro-RO"/>
        </w:rPr>
        <w:t xml:space="preserve"> transfrontalieră poate rămâne supus legislației de securitate socială a statului în care angajatorul își are sediul social sau locul de desfășurare a activității, cu condiția ca </w:t>
      </w:r>
      <w:proofErr w:type="spellStart"/>
      <w:r w:rsidRPr="00F0572C">
        <w:rPr>
          <w:rFonts w:ascii="Georgia" w:hAnsi="Georgia"/>
          <w:bCs/>
          <w:szCs w:val="20"/>
          <w:lang w:val="ro-RO"/>
        </w:rPr>
        <w:t>telemunca</w:t>
      </w:r>
      <w:proofErr w:type="spellEnd"/>
      <w:r w:rsidRPr="00F0572C">
        <w:rPr>
          <w:rFonts w:ascii="Georgia" w:hAnsi="Georgia"/>
          <w:bCs/>
          <w:szCs w:val="20"/>
          <w:lang w:val="ro-RO"/>
        </w:rPr>
        <w:t xml:space="preserve"> în statul de reședință al salariatului să reprezinte mai puțin de 50% din timpul de lucru al acestuia (în comparație cu procentul actual de maximum 25%).</w:t>
      </w:r>
    </w:p>
    <w:p w:rsidR="00F0572C" w:rsidRPr="00F0572C" w:rsidRDefault="00F0572C" w:rsidP="00601314">
      <w:pPr>
        <w:spacing w:line="320" w:lineRule="exact"/>
        <w:rPr>
          <w:rFonts w:ascii="Georgia" w:hAnsi="Georgia"/>
          <w:bCs/>
          <w:szCs w:val="20"/>
          <w:lang w:val="ro-RO"/>
        </w:rPr>
      </w:pPr>
      <w:r w:rsidRPr="00F0572C">
        <w:rPr>
          <w:rFonts w:ascii="Georgia" w:hAnsi="Georgia"/>
          <w:bCs/>
          <w:szCs w:val="20"/>
          <w:lang w:val="ro-RO"/>
        </w:rPr>
        <w:t>În cazul în care angajatorii stabilesc astfel de situații de muncă transfrontalieră începând cu 1 iulie 2023, ar trebui realizată cât mai rapid o analiză a sistemului de securitate socială al salariaților în cauză, pentru a pune în aplicare modificările corespunzătoare în cadrul relației de muncă.</w:t>
      </w:r>
    </w:p>
    <w:p w:rsidR="00F0572C" w:rsidRPr="00F0572C" w:rsidRDefault="00F0572C" w:rsidP="00601314">
      <w:pPr>
        <w:spacing w:line="320" w:lineRule="exact"/>
        <w:rPr>
          <w:rFonts w:ascii="Georgia" w:hAnsi="Georgia"/>
          <w:bCs/>
          <w:szCs w:val="20"/>
          <w:lang w:val="ro-RO"/>
        </w:rPr>
      </w:pPr>
      <w:r w:rsidRPr="00F0572C">
        <w:rPr>
          <w:rFonts w:ascii="Georgia" w:hAnsi="Georgia"/>
          <w:bCs/>
          <w:szCs w:val="20"/>
          <w:lang w:val="ro-RO"/>
        </w:rPr>
        <w:t xml:space="preserve">În plus, faptul că se prevede ca loc de muncă doar domiciliul salariatului înseamnă că, în principiu, salariatul ar trebui să efectueze </w:t>
      </w:r>
      <w:proofErr w:type="spellStart"/>
      <w:r w:rsidRPr="00F0572C">
        <w:rPr>
          <w:rFonts w:ascii="Georgia" w:hAnsi="Georgia"/>
          <w:bCs/>
          <w:szCs w:val="20"/>
          <w:lang w:val="ro-RO"/>
        </w:rPr>
        <w:t>telemunca</w:t>
      </w:r>
      <w:proofErr w:type="spellEnd"/>
      <w:r w:rsidRPr="00F0572C">
        <w:rPr>
          <w:rFonts w:ascii="Georgia" w:hAnsi="Georgia"/>
          <w:bCs/>
          <w:szCs w:val="20"/>
          <w:lang w:val="ro-RO"/>
        </w:rPr>
        <w:t xml:space="preserve"> doar de la domiciliul său. Pe de altă parte, reglementarea unui loc de muncă mai larg și neidentificat (de exemplu,</w:t>
      </w:r>
      <w:r w:rsidRPr="00F0572C">
        <w:rPr>
          <w:rFonts w:ascii="Georgia" w:hAnsi="Georgia"/>
          <w:bCs/>
          <w:i/>
          <w:szCs w:val="20"/>
          <w:lang w:val="ro-RO"/>
        </w:rPr>
        <w:t xml:space="preserve"> </w:t>
      </w:r>
      <w:r w:rsidRPr="00F0572C">
        <w:rPr>
          <w:rFonts w:ascii="Georgia" w:hAnsi="Georgia"/>
          <w:bCs/>
          <w:szCs w:val="20"/>
          <w:lang w:val="ro-RO"/>
        </w:rPr>
        <w:t>un oraș întreg) este nerecomandată, deoarece pot apărea mai multe riscuri în urma unui astfel de acord al părților (de exemplu, potențiale probleme de sănătate și siguranță; securitatea datelor etc.).</w:t>
      </w:r>
    </w:p>
    <w:p w:rsidR="00F0572C" w:rsidRPr="00F0572C" w:rsidRDefault="00F0572C" w:rsidP="00601314">
      <w:pPr>
        <w:spacing w:line="320" w:lineRule="exact"/>
        <w:rPr>
          <w:rFonts w:ascii="Georgia" w:hAnsi="Georgia"/>
          <w:bCs/>
          <w:szCs w:val="20"/>
          <w:lang w:val="ro-RO"/>
        </w:rPr>
      </w:pPr>
      <w:r w:rsidRPr="00F0572C">
        <w:rPr>
          <w:rFonts w:ascii="Georgia" w:hAnsi="Georgia"/>
          <w:bCs/>
          <w:szCs w:val="20"/>
          <w:lang w:val="ro-RO"/>
        </w:rPr>
        <w:t xml:space="preserve">Mai exact, angajatorul ar trebui să reglementeze toate locurile specifice în care se va desfășura </w:t>
      </w:r>
      <w:proofErr w:type="spellStart"/>
      <w:r w:rsidRPr="00F0572C">
        <w:rPr>
          <w:rFonts w:ascii="Georgia" w:hAnsi="Georgia"/>
          <w:bCs/>
          <w:szCs w:val="20"/>
          <w:lang w:val="ro-RO"/>
        </w:rPr>
        <w:t>telemunca</w:t>
      </w:r>
      <w:proofErr w:type="spellEnd"/>
      <w:r w:rsidRPr="00F0572C">
        <w:rPr>
          <w:rFonts w:ascii="Georgia" w:hAnsi="Georgia"/>
          <w:bCs/>
          <w:szCs w:val="20"/>
          <w:lang w:val="ro-RO"/>
        </w:rPr>
        <w:t>, pentru a asigura sănătatea și siguranța la locul de muncă și pentru a evita probleme precum furtul de date sau urmărirea locului unde se află salariatul în timpul programului de lucru.</w:t>
      </w:r>
    </w:p>
    <w:p w:rsidR="00F0572C" w:rsidRPr="00F0572C" w:rsidRDefault="00F0572C" w:rsidP="00601314">
      <w:pPr>
        <w:spacing w:line="320" w:lineRule="exact"/>
        <w:rPr>
          <w:rFonts w:ascii="Georgia" w:hAnsi="Georgia"/>
          <w:b/>
          <w:bCs/>
          <w:szCs w:val="20"/>
          <w:lang w:val="ro-RO"/>
        </w:rPr>
      </w:pPr>
      <w:r w:rsidRPr="00F0572C">
        <w:rPr>
          <w:rFonts w:ascii="Georgia" w:hAnsi="Georgia"/>
          <w:b/>
          <w:bCs/>
          <w:szCs w:val="20"/>
          <w:lang w:val="ro-RO"/>
        </w:rPr>
        <w:t xml:space="preserve">Reglementarea modalităților concrete de efectuare a controlului activității salariatului </w:t>
      </w:r>
    </w:p>
    <w:p w:rsidR="00F0572C" w:rsidRPr="00F0572C" w:rsidRDefault="00F0572C" w:rsidP="00601314">
      <w:pPr>
        <w:spacing w:line="320" w:lineRule="exact"/>
        <w:rPr>
          <w:rFonts w:ascii="Georgia" w:hAnsi="Georgia"/>
          <w:bCs/>
          <w:szCs w:val="20"/>
          <w:lang w:val="ro-RO"/>
        </w:rPr>
      </w:pPr>
      <w:r w:rsidRPr="00F0572C">
        <w:rPr>
          <w:rFonts w:ascii="Georgia" w:hAnsi="Georgia"/>
          <w:bCs/>
          <w:szCs w:val="20"/>
          <w:lang w:val="ro-RO"/>
        </w:rPr>
        <w:t xml:space="preserve">Pe lângă </w:t>
      </w:r>
      <w:r w:rsidRPr="00F0572C">
        <w:rPr>
          <w:rFonts w:ascii="Georgia" w:hAnsi="Georgia"/>
          <w:szCs w:val="20"/>
          <w:lang w:val="ro-RO"/>
        </w:rPr>
        <w:t xml:space="preserve">programul de </w:t>
      </w:r>
      <w:r w:rsidRPr="00F0572C">
        <w:rPr>
          <w:rFonts w:ascii="Georgia" w:hAnsi="Georgia"/>
          <w:bCs/>
          <w:szCs w:val="20"/>
          <w:lang w:val="ro-RO"/>
        </w:rPr>
        <w:t xml:space="preserve">verificare a activității </w:t>
      </w:r>
      <w:proofErr w:type="spellStart"/>
      <w:r w:rsidRPr="00F0572C">
        <w:rPr>
          <w:rFonts w:ascii="Georgia" w:hAnsi="Georgia"/>
          <w:bCs/>
          <w:szCs w:val="20"/>
          <w:lang w:val="ro-RO"/>
        </w:rPr>
        <w:t>telelucrătorului</w:t>
      </w:r>
      <w:proofErr w:type="spellEnd"/>
      <w:r w:rsidRPr="00F0572C">
        <w:rPr>
          <w:rFonts w:ascii="Georgia" w:hAnsi="Georgia"/>
          <w:bCs/>
          <w:szCs w:val="20"/>
          <w:lang w:val="ro-RO"/>
        </w:rPr>
        <w:t xml:space="preserve">, care va fi de asemenea reglementat de părți, nu trebuie omisă nici reglementarea clară a modalităților concrete de efectuare a controlului asupra activității salariatului. </w:t>
      </w:r>
    </w:p>
    <w:p w:rsidR="00F0572C" w:rsidRPr="00F0572C" w:rsidRDefault="00F0572C" w:rsidP="00601314">
      <w:pPr>
        <w:spacing w:line="320" w:lineRule="exact"/>
        <w:rPr>
          <w:rFonts w:ascii="Georgia" w:hAnsi="Georgia"/>
          <w:bCs/>
          <w:szCs w:val="20"/>
          <w:lang w:val="ro-RO"/>
        </w:rPr>
      </w:pPr>
      <w:r w:rsidRPr="00F0572C">
        <w:rPr>
          <w:rFonts w:ascii="Georgia" w:hAnsi="Georgia"/>
          <w:bCs/>
          <w:szCs w:val="20"/>
          <w:lang w:val="ro-RO"/>
        </w:rPr>
        <w:t xml:space="preserve">Poate fi greu de urmărit activitatea reală a salariatului în lipsa prezenței fizice la locul de muncă, însă tehnologia modernă vine în ajutor cu o mulțime de modalități de a efectua un control eficient asupra activității zilnice a salariatului (de </w:t>
      </w:r>
      <w:r w:rsidRPr="00F0572C">
        <w:rPr>
          <w:rFonts w:ascii="Georgia" w:eastAsia="Times New Roman" w:hAnsi="Georgia"/>
          <w:szCs w:val="20"/>
          <w:lang w:val="ro-RO"/>
        </w:rPr>
        <w:t xml:space="preserve">exemplu, </w:t>
      </w:r>
      <w:r w:rsidRPr="00F0572C">
        <w:rPr>
          <w:rFonts w:ascii="Georgia" w:hAnsi="Georgia"/>
          <w:bCs/>
          <w:szCs w:val="20"/>
          <w:lang w:val="ro-RO"/>
        </w:rPr>
        <w:t>apeluri telefonice, apeluri Skype, mesaje instantanee, e-mailuri etc.).</w:t>
      </w:r>
    </w:p>
    <w:p w:rsidR="00F0572C" w:rsidRPr="00F0572C" w:rsidRDefault="00F0572C" w:rsidP="00601314">
      <w:pPr>
        <w:spacing w:after="200" w:line="320" w:lineRule="exact"/>
        <w:jc w:val="both"/>
        <w:rPr>
          <w:rFonts w:ascii="Georgia" w:eastAsia="Times New Roman" w:hAnsi="Georgia" w:cs="Times New Roman"/>
          <w:b/>
          <w:bCs/>
          <w:noProof/>
          <w:szCs w:val="20"/>
          <w:lang w:val="ro-RO"/>
        </w:rPr>
      </w:pPr>
      <w:r w:rsidRPr="00F0572C">
        <w:rPr>
          <w:rFonts w:ascii="Georgia" w:eastAsia="Times New Roman" w:hAnsi="Georgia" w:cs="Times New Roman"/>
          <w:b/>
          <w:bCs/>
          <w:noProof/>
          <w:szCs w:val="20"/>
          <w:lang w:val="ro-RO"/>
        </w:rPr>
        <w:t>Asigurarea unor instrumente-cheie legate de timpul de muncă</w:t>
      </w:r>
    </w:p>
    <w:p w:rsidR="00F0572C" w:rsidRPr="00F0572C" w:rsidRDefault="00F0572C" w:rsidP="00601314">
      <w:pPr>
        <w:spacing w:after="200" w:line="320" w:lineRule="exact"/>
        <w:jc w:val="both"/>
        <w:rPr>
          <w:rFonts w:ascii="Georgia" w:eastAsia="Times New Roman" w:hAnsi="Georgia" w:cs="Times New Roman"/>
          <w:bCs/>
          <w:noProof/>
          <w:szCs w:val="20"/>
          <w:lang w:val="ro-RO"/>
        </w:rPr>
      </w:pPr>
      <w:r w:rsidRPr="00F0572C">
        <w:rPr>
          <w:rFonts w:ascii="Georgia" w:eastAsia="Times New Roman" w:hAnsi="Georgia" w:cs="Times New Roman"/>
          <w:bCs/>
          <w:noProof/>
          <w:szCs w:val="20"/>
          <w:lang w:val="ro-RO"/>
        </w:rPr>
        <w:t xml:space="preserve">Din ce în ce mai multe cereri de plată de ore suplimentare sunt formulate de salariați în fața instanțelor de judecată, deoarece angajatorii tind să piardă din vedere programul de lucru al </w:t>
      </w:r>
      <w:r w:rsidRPr="00F0572C">
        <w:rPr>
          <w:rFonts w:ascii="Georgia" w:eastAsia="Times New Roman" w:hAnsi="Georgia" w:cs="Times New Roman"/>
          <w:bCs/>
          <w:noProof/>
          <w:szCs w:val="20"/>
          <w:lang w:val="ro-RO"/>
        </w:rPr>
        <w:lastRenderedPageBreak/>
        <w:t>telelucrătorilor. Prin urmare, este esențial ca părțile să convină asupra unor reglementări clare cu privire la înregistrarea programului de lucru al salariatului, pentru a evita cereri de plată de ore suplimentare și alte prejudicii materiale/morale aferente (de exemplu, pontaj manual sau automat; instrument de evidență de intrare/ieșire de la locul de muncă; solicitare prealabilă obligatorie a orelor suplimentare etc.).</w:t>
      </w:r>
    </w:p>
    <w:p w:rsidR="00F0572C" w:rsidRPr="00F0572C" w:rsidRDefault="00F0572C" w:rsidP="00601314">
      <w:pPr>
        <w:spacing w:after="200" w:line="320" w:lineRule="exact"/>
        <w:jc w:val="both"/>
        <w:rPr>
          <w:rFonts w:ascii="Georgia" w:eastAsia="Times New Roman" w:hAnsi="Georgia" w:cs="Times New Roman"/>
          <w:b/>
          <w:bCs/>
          <w:noProof/>
          <w:szCs w:val="20"/>
          <w:lang w:val="ro-RO"/>
        </w:rPr>
      </w:pPr>
      <w:r w:rsidRPr="00F0572C">
        <w:rPr>
          <w:rFonts w:ascii="Georgia" w:eastAsia="Times New Roman" w:hAnsi="Georgia" w:cs="Times New Roman"/>
          <w:b/>
          <w:bCs/>
          <w:noProof/>
          <w:szCs w:val="20"/>
          <w:lang w:val="ro-RO"/>
        </w:rPr>
        <w:t>Utilizarea spațiilor de lucru comune</w:t>
      </w:r>
    </w:p>
    <w:p w:rsidR="00F0572C" w:rsidRPr="00F0572C" w:rsidRDefault="00F0572C" w:rsidP="00601314">
      <w:pPr>
        <w:spacing w:after="200" w:line="320" w:lineRule="exact"/>
        <w:jc w:val="both"/>
        <w:rPr>
          <w:rFonts w:ascii="Georgia" w:eastAsia="Times New Roman" w:hAnsi="Georgia" w:cs="Times New Roman"/>
          <w:bCs/>
          <w:noProof/>
          <w:szCs w:val="20"/>
          <w:lang w:val="ro-RO"/>
        </w:rPr>
      </w:pPr>
      <w:r w:rsidRPr="00F0572C">
        <w:rPr>
          <w:rFonts w:ascii="Georgia" w:eastAsia="Times New Roman" w:hAnsi="Georgia" w:cs="Times New Roman"/>
          <w:bCs/>
          <w:noProof/>
          <w:szCs w:val="20"/>
          <w:lang w:val="ro-RO"/>
        </w:rPr>
        <w:t>Deoarece angajatorii sunt obligați prin lege să ia măsuri pentru a evita izolarea telelucrătorilor (în afară de cursuri de formare și activități de team-building), în cazul în care angajatorul are și un sediu unde activitatea este desfășurată de persoane care nu prestează telemuncă, nu este de neglijat nici oportunitatea de a utiliza în mod eficient spațiile de lucru comune pentru telelucrători și de a reduce astfel costurile cu spațiul de birouri, în cazul în care telelucrătorii urmează să își desfășoare activitatea și de la un loc de muncă organizat de angajator.</w:t>
      </w:r>
    </w:p>
    <w:p w:rsidR="00F0572C" w:rsidRPr="00F0572C" w:rsidRDefault="00F0572C" w:rsidP="00601314">
      <w:pPr>
        <w:spacing w:after="200" w:line="320" w:lineRule="exact"/>
        <w:jc w:val="both"/>
        <w:rPr>
          <w:rFonts w:ascii="Georgia" w:eastAsia="Times New Roman" w:hAnsi="Georgia" w:cs="Times New Roman"/>
          <w:bCs/>
          <w:noProof/>
          <w:szCs w:val="20"/>
          <w:lang w:val="ro-RO"/>
        </w:rPr>
      </w:pPr>
      <w:r w:rsidRPr="00F0572C">
        <w:rPr>
          <w:rFonts w:ascii="Georgia" w:eastAsia="Times New Roman" w:hAnsi="Georgia" w:cs="Times New Roman"/>
          <w:bCs/>
          <w:noProof/>
          <w:szCs w:val="20"/>
          <w:lang w:val="ro-RO"/>
        </w:rPr>
        <w:t xml:space="preserve">Acest lucru apare în contextul unui interes din ce în ce mai mare pentru munca hibridă, ale cărei beneficii principale includ o calitate </w:t>
      </w:r>
      <w:r w:rsidR="009127F6" w:rsidRPr="00F0572C">
        <w:rPr>
          <w:rFonts w:ascii="Georgia" w:eastAsia="Times New Roman" w:hAnsi="Georgia" w:cs="Times New Roman"/>
          <w:bCs/>
          <w:noProof/>
          <w:szCs w:val="20"/>
          <w:lang w:val="ro-RO"/>
        </w:rPr>
        <w:t xml:space="preserve">îmbunătățită </w:t>
      </w:r>
      <w:r w:rsidRPr="00F0572C">
        <w:rPr>
          <w:rFonts w:ascii="Georgia" w:eastAsia="Times New Roman" w:hAnsi="Georgia" w:cs="Times New Roman"/>
          <w:bCs/>
          <w:noProof/>
          <w:szCs w:val="20"/>
          <w:lang w:val="ro-RO"/>
        </w:rPr>
        <w:t>a vieții, o productivitate și o satisfacție profesională superioare și, mai ales, un echilibru mai bun între viața profesională și cea privată.</w:t>
      </w:r>
    </w:p>
    <w:p w:rsidR="00F0572C" w:rsidRPr="00F0572C" w:rsidRDefault="00F0572C" w:rsidP="00601314">
      <w:pPr>
        <w:spacing w:after="200" w:line="320" w:lineRule="exact"/>
        <w:jc w:val="both"/>
        <w:rPr>
          <w:rFonts w:ascii="Georgia" w:eastAsia="Times New Roman" w:hAnsi="Georgia" w:cs="Times New Roman"/>
          <w:bCs/>
          <w:noProof/>
          <w:szCs w:val="20"/>
          <w:lang w:val="ro-RO"/>
        </w:rPr>
      </w:pPr>
      <w:r w:rsidRPr="00F0572C">
        <w:rPr>
          <w:rFonts w:ascii="Georgia" w:eastAsia="Times New Roman" w:hAnsi="Georgia" w:cs="Times New Roman"/>
          <w:bCs/>
          <w:noProof/>
          <w:szCs w:val="20"/>
          <w:lang w:val="ro-RO"/>
        </w:rPr>
        <w:t>Deși nu există o metodă unică și eficientă pentru a găsi cel mai bun spațiu de birouri care să se potrivească nevoilor companiei, un punct de plecare excelent este de a înțelege concret ce activități va supraveghea compania într-un spațiu de lucru comun.</w:t>
      </w:r>
    </w:p>
    <w:p w:rsidR="00F0572C" w:rsidRPr="00F0572C" w:rsidRDefault="00F0572C" w:rsidP="00601314">
      <w:pPr>
        <w:spacing w:after="200" w:line="320" w:lineRule="exact"/>
        <w:jc w:val="both"/>
        <w:rPr>
          <w:rFonts w:ascii="Georgia" w:eastAsia="Times New Roman" w:hAnsi="Georgia" w:cs="Times New Roman"/>
          <w:b/>
          <w:bCs/>
          <w:noProof/>
          <w:szCs w:val="20"/>
          <w:lang w:val="ro-RO"/>
        </w:rPr>
      </w:pPr>
      <w:r w:rsidRPr="00F0572C">
        <w:rPr>
          <w:rFonts w:ascii="Georgia" w:eastAsia="Times New Roman" w:hAnsi="Georgia" w:cs="Times New Roman"/>
          <w:b/>
          <w:bCs/>
          <w:noProof/>
          <w:szCs w:val="20"/>
          <w:lang w:val="ro-RO"/>
        </w:rPr>
        <w:t xml:space="preserve">Stabilirea unor condiții clare pentru asigurarea costurilor legate de telemuncă </w:t>
      </w:r>
    </w:p>
    <w:p w:rsidR="00F0572C" w:rsidRPr="00F0572C" w:rsidRDefault="00F0572C" w:rsidP="00601314">
      <w:pPr>
        <w:spacing w:after="200" w:line="320" w:lineRule="exact"/>
        <w:jc w:val="both"/>
        <w:rPr>
          <w:rFonts w:ascii="Georgia" w:eastAsia="Times New Roman" w:hAnsi="Georgia" w:cs="Times New Roman"/>
          <w:bCs/>
          <w:noProof/>
          <w:szCs w:val="20"/>
          <w:lang w:val="ro-RO"/>
        </w:rPr>
      </w:pPr>
      <w:r w:rsidRPr="00F0572C">
        <w:rPr>
          <w:rFonts w:ascii="Georgia" w:eastAsia="Times New Roman" w:hAnsi="Georgia" w:cs="Times New Roman"/>
          <w:bCs/>
          <w:noProof/>
          <w:szCs w:val="20"/>
          <w:lang w:val="ro-RO"/>
        </w:rPr>
        <w:t xml:space="preserve">În ultima vreme, pe piață </w:t>
      </w:r>
      <w:r w:rsidR="009127F6">
        <w:rPr>
          <w:rFonts w:ascii="Georgia" w:eastAsia="Times New Roman" w:hAnsi="Georgia" w:cs="Times New Roman"/>
          <w:bCs/>
          <w:noProof/>
          <w:szCs w:val="20"/>
          <w:lang w:val="ro-RO"/>
        </w:rPr>
        <w:t>au fost</w:t>
      </w:r>
      <w:r w:rsidRPr="00F0572C">
        <w:rPr>
          <w:rFonts w:ascii="Georgia" w:eastAsia="Times New Roman" w:hAnsi="Georgia" w:cs="Times New Roman"/>
          <w:bCs/>
          <w:noProof/>
          <w:szCs w:val="20"/>
          <w:lang w:val="ro-RO"/>
        </w:rPr>
        <w:t xml:space="preserve"> lansate multe opinii cu privire la o eventuală chirie care trebuie plătită salariatului pentru spațiul utilizat în domiciliul/reședința acestuia din urmă și cu privire la costurile utilităților.</w:t>
      </w:r>
    </w:p>
    <w:p w:rsidR="00F0572C" w:rsidRPr="00F0572C" w:rsidRDefault="00F0572C" w:rsidP="00601314">
      <w:pPr>
        <w:spacing w:after="200" w:line="320" w:lineRule="exact"/>
        <w:jc w:val="both"/>
        <w:rPr>
          <w:rFonts w:ascii="Georgia" w:eastAsia="Times New Roman" w:hAnsi="Georgia" w:cs="Times New Roman"/>
          <w:bCs/>
          <w:noProof/>
          <w:szCs w:val="20"/>
          <w:lang w:val="ro-RO"/>
        </w:rPr>
      </w:pPr>
      <w:r w:rsidRPr="00F0572C">
        <w:rPr>
          <w:rFonts w:ascii="Georgia" w:eastAsia="Times New Roman" w:hAnsi="Georgia" w:cs="Times New Roman"/>
          <w:bCs/>
          <w:noProof/>
          <w:szCs w:val="20"/>
          <w:lang w:val="ro-RO"/>
        </w:rPr>
        <w:t>În timp ce o cerere de plată a chiriei din partea salariatului poate părea ridicolă la prima vedere, în cazul în care companiile solicită măsuri vizibil inflexibile, cum ar fi delimitarea fixă a postului de lucru, restricții privind circulația animalelor de casă, evitarea îngrijirii copiilor, închirierea acelui spațiu de lucru supra-reglementat ar putea să nu mai apară ca nerezonabilă până la urmă.</w:t>
      </w:r>
    </w:p>
    <w:p w:rsidR="00F0572C" w:rsidRPr="00F0572C" w:rsidRDefault="00F0572C" w:rsidP="00601314">
      <w:pPr>
        <w:spacing w:after="200" w:line="320" w:lineRule="exact"/>
        <w:jc w:val="both"/>
        <w:rPr>
          <w:rFonts w:ascii="Georgia" w:eastAsia="Times New Roman" w:hAnsi="Georgia" w:cs="Times New Roman"/>
          <w:bCs/>
          <w:noProof/>
          <w:szCs w:val="20"/>
          <w:lang w:val="ro-RO"/>
        </w:rPr>
      </w:pPr>
      <w:r w:rsidRPr="00F0572C">
        <w:rPr>
          <w:rFonts w:ascii="Georgia" w:eastAsia="Times New Roman" w:hAnsi="Georgia" w:cs="Times New Roman"/>
          <w:bCs/>
          <w:noProof/>
          <w:szCs w:val="20"/>
          <w:lang w:val="ro-RO"/>
        </w:rPr>
        <w:t>De asemenea, dilema mult disputată cu privire la cine este obligat să suporte costurile serviciilor de internet rămâne un subiect de discuție între specialiști, iar o metodă inteligentă de a evita astfel de dezbateri este, de asemenea, reglementarea convențională.</w:t>
      </w:r>
    </w:p>
    <w:p w:rsidR="00F0572C" w:rsidRPr="00F0572C" w:rsidRDefault="00F0572C" w:rsidP="00601314">
      <w:pPr>
        <w:spacing w:after="200" w:line="320" w:lineRule="exact"/>
        <w:jc w:val="both"/>
        <w:rPr>
          <w:rFonts w:ascii="Georgia" w:eastAsia="Times New Roman" w:hAnsi="Georgia" w:cs="Times New Roman"/>
          <w:bCs/>
          <w:noProof/>
          <w:szCs w:val="20"/>
          <w:lang w:val="ro-RO"/>
        </w:rPr>
      </w:pPr>
      <w:r w:rsidRPr="00F0572C">
        <w:rPr>
          <w:rFonts w:ascii="Georgia" w:eastAsia="Times New Roman" w:hAnsi="Georgia" w:cs="Times New Roman"/>
          <w:bCs/>
          <w:noProof/>
          <w:szCs w:val="20"/>
          <w:lang w:val="ro-RO"/>
        </w:rPr>
        <w:t xml:space="preserve">Legea permite părților să stabilească condițiile în care angajatorul suportă costurile legate de telemuncă. Astfel, prevederea unor clauze diverse care să includă astfel de costuri (suportate efectiv de către salariat) în cadrul drepturilor salariale de bază sau chiar în cadrul unui </w:t>
      </w:r>
      <w:r w:rsidRPr="00F0572C">
        <w:rPr>
          <w:rFonts w:ascii="Georgia" w:eastAsia="Times New Roman" w:hAnsi="Georgia" w:cs="Times New Roman"/>
          <w:bCs/>
          <w:noProof/>
          <w:szCs w:val="20"/>
          <w:lang w:val="ro-RO"/>
        </w:rPr>
        <w:lastRenderedPageBreak/>
        <w:t>supliment nesemnificativ (pentru angajator) poate evita în viitor pretenții semnificative din partea salariaților pe aceste teme.</w:t>
      </w:r>
    </w:p>
    <w:p w:rsidR="00F0572C" w:rsidRPr="00F0572C" w:rsidRDefault="00F0572C" w:rsidP="00601314">
      <w:pPr>
        <w:spacing w:after="200" w:line="320" w:lineRule="exact"/>
        <w:jc w:val="both"/>
        <w:rPr>
          <w:rFonts w:ascii="Georgia" w:eastAsia="Times New Roman" w:hAnsi="Georgia" w:cs="Times New Roman"/>
          <w:b/>
          <w:bCs/>
          <w:noProof/>
          <w:szCs w:val="20"/>
          <w:lang w:val="ro-RO"/>
        </w:rPr>
      </w:pPr>
      <w:r w:rsidRPr="00F0572C">
        <w:rPr>
          <w:rFonts w:ascii="Georgia" w:eastAsia="Times New Roman" w:hAnsi="Georgia" w:cs="Times New Roman"/>
          <w:b/>
          <w:bCs/>
          <w:noProof/>
          <w:szCs w:val="20"/>
          <w:lang w:val="ro-RO"/>
        </w:rPr>
        <w:t>Supravegherea/utilizarea cu atenție a telemuncii din străinătate</w:t>
      </w:r>
    </w:p>
    <w:p w:rsidR="00F0572C" w:rsidRPr="00F0572C" w:rsidRDefault="00F0572C" w:rsidP="00601314">
      <w:pPr>
        <w:spacing w:after="200" w:line="320" w:lineRule="exact"/>
        <w:jc w:val="both"/>
        <w:rPr>
          <w:rFonts w:ascii="Georgia" w:eastAsia="Times New Roman" w:hAnsi="Georgia" w:cs="Times New Roman"/>
          <w:bCs/>
          <w:noProof/>
          <w:szCs w:val="20"/>
          <w:lang w:val="ro-RO"/>
        </w:rPr>
      </w:pPr>
      <w:r w:rsidRPr="00F0572C">
        <w:rPr>
          <w:rFonts w:ascii="Georgia" w:eastAsia="Times New Roman" w:hAnsi="Georgia" w:cs="Times New Roman"/>
          <w:bCs/>
          <w:noProof/>
          <w:szCs w:val="20"/>
          <w:lang w:val="ro-RO"/>
        </w:rPr>
        <w:t>Deși, în principiu, telemunca se poate efectua din străinătate, având în vedere elementul de extraneitate și potențiala aplicare a unei legislații diferite de cea românească, companiile trebuie să fie conștiente de faptul că pot apărea anumite implicații juridice și practice în cazul în care activitatea de telemuncă este interpretată ca fiind desfășurată în mod obișnuit în altă țară decât România (de exemplu,  informarea corespunzătoare a salariatului cu privire la anumite aspecte, cum ar fi perioada de timp în care se intenționează ca activitatea să fie desfășurată din străinătate, principalele reglementări privind ocuparea forței de muncă în conformitate cu legislația țării în cauză, obiceiurile locale care ar putea pune în pericol libertatea sau securitatea personală a salariatului; buna funcționare a sistemelor de securitate și a aplicațiilor informatice aferente din locația în cauză; potențialul unei relații de muncă transfrontaliere și aplicabilitatea inerentă a normelor imperative derogatorii).</w:t>
      </w:r>
    </w:p>
    <w:p w:rsidR="00065A19" w:rsidRPr="00F0572C" w:rsidRDefault="00F0572C" w:rsidP="00601314">
      <w:pPr>
        <w:spacing w:after="200" w:line="320" w:lineRule="exact"/>
        <w:jc w:val="both"/>
        <w:rPr>
          <w:rFonts w:ascii="Georgia" w:eastAsia="Times New Roman" w:hAnsi="Georgia" w:cs="Times New Roman"/>
          <w:bCs/>
          <w:noProof/>
          <w:szCs w:val="20"/>
          <w:lang w:val="ro-RO"/>
        </w:rPr>
      </w:pPr>
      <w:r w:rsidRPr="00F0572C">
        <w:rPr>
          <w:rFonts w:ascii="Georgia" w:eastAsia="Times New Roman" w:hAnsi="Georgia" w:cs="Times New Roman"/>
          <w:b/>
          <w:bCs/>
          <w:noProof/>
          <w:szCs w:val="20"/>
          <w:lang w:val="ro-RO"/>
        </w:rPr>
        <w:t>În concluzie,</w:t>
      </w:r>
      <w:r w:rsidRPr="00F0572C">
        <w:rPr>
          <w:rFonts w:ascii="Georgia" w:eastAsia="Times New Roman" w:hAnsi="Georgia" w:cs="Times New Roman"/>
          <w:bCs/>
          <w:noProof/>
          <w:szCs w:val="20"/>
          <w:lang w:val="ro-RO"/>
        </w:rPr>
        <w:t xml:space="preserve"> nu există o unică formulă a succesului în utilizarea de telemuncă, deoarece spectrul de activități și structurile interne ale organizațiilor diferă de la o entitate la alta. Cu toate acestea, orientări utile, cum ar fi simplificarea reglementărilor, atingerea unor obiective clare de eficiență  a costurilor și a managementului, o flexibilitate crescută, dar atent ponderată, și, nu în ultimul rând, o utilizare optimă a tehnologiei pot transforma conceptul obișnuit de telemuncă într-un concept inovativ de telemuncă inteligentă, care ar putea, în cele din urmă, să răstoarne valorile moderne privind munca și să facă uz de oportunitățile care se deschid pentru organizații.</w:t>
      </w:r>
    </w:p>
    <w:p w:rsidR="009127F6" w:rsidRDefault="009127F6" w:rsidP="009127F6">
      <w:pPr>
        <w:spacing w:after="200" w:line="320" w:lineRule="exact"/>
        <w:jc w:val="both"/>
        <w:rPr>
          <w:rFonts w:ascii="Georgia" w:eastAsia="Times New Roman" w:hAnsi="Georgia" w:cs="Times New Roman"/>
          <w:b/>
          <w:bCs/>
          <w:color w:val="222222"/>
          <w:sz w:val="20"/>
          <w:szCs w:val="24"/>
          <w:lang w:val="ro-RO"/>
        </w:rPr>
      </w:pPr>
    </w:p>
    <w:p w:rsidR="009127F6" w:rsidRPr="00933E8D" w:rsidRDefault="009127F6" w:rsidP="009127F6">
      <w:pPr>
        <w:spacing w:after="200" w:line="320" w:lineRule="exact"/>
        <w:jc w:val="both"/>
        <w:rPr>
          <w:rFonts w:ascii="Georgia" w:eastAsia="Times New Roman" w:hAnsi="Georgia" w:cs="Times New Roman"/>
          <w:b/>
          <w:bCs/>
          <w:color w:val="222222"/>
          <w:sz w:val="20"/>
          <w:szCs w:val="24"/>
          <w:lang w:val="ro-RO"/>
        </w:rPr>
      </w:pPr>
      <w:r w:rsidRPr="00933E8D">
        <w:rPr>
          <w:rFonts w:ascii="Georgia" w:eastAsia="Times New Roman" w:hAnsi="Georgia" w:cs="Times New Roman"/>
          <w:b/>
          <w:bCs/>
          <w:color w:val="222222"/>
          <w:sz w:val="20"/>
          <w:szCs w:val="24"/>
          <w:lang w:val="ro-RO"/>
        </w:rPr>
        <w:t>Despre Autori</w:t>
      </w:r>
    </w:p>
    <w:p w:rsidR="009127F6" w:rsidRPr="00933E8D" w:rsidRDefault="009127F6" w:rsidP="009127F6">
      <w:pPr>
        <w:spacing w:after="200" w:line="320" w:lineRule="exact"/>
        <w:jc w:val="both"/>
        <w:rPr>
          <w:rFonts w:ascii="Georgia" w:eastAsia="Times New Roman" w:hAnsi="Georgia" w:cs="Times New Roman"/>
          <w:b/>
          <w:color w:val="222222"/>
          <w:sz w:val="20"/>
          <w:szCs w:val="24"/>
        </w:rPr>
      </w:pPr>
      <w:r w:rsidRPr="00933E8D">
        <w:rPr>
          <w:rFonts w:ascii="Georgia" w:eastAsia="Times New Roman" w:hAnsi="Georgia" w:cs="Times New Roman"/>
          <w:b/>
          <w:bCs/>
          <w:color w:val="222222"/>
          <w:sz w:val="20"/>
          <w:szCs w:val="24"/>
          <w:lang w:val="ro-RO"/>
        </w:rPr>
        <w:t xml:space="preserve">Mihai Popa </w:t>
      </w:r>
    </w:p>
    <w:p w:rsidR="009127F6" w:rsidRPr="009127F6" w:rsidRDefault="009127F6" w:rsidP="009127F6">
      <w:pPr>
        <w:shd w:val="clear" w:color="auto" w:fill="FFFFFF"/>
        <w:spacing w:line="320" w:lineRule="exact"/>
        <w:jc w:val="both"/>
        <w:rPr>
          <w:rFonts w:ascii="Georgia" w:hAnsi="Georgia"/>
          <w:i/>
          <w:sz w:val="20"/>
          <w:szCs w:val="20"/>
          <w:lang w:val="ro-RO"/>
        </w:rPr>
      </w:pPr>
      <w:proofErr w:type="spellStart"/>
      <w:r w:rsidRPr="009127F6">
        <w:rPr>
          <w:rFonts w:ascii="Georgia" w:eastAsia="Times New Roman" w:hAnsi="Georgia" w:cs="Times New Roman"/>
          <w:i/>
          <w:color w:val="222222"/>
          <w:sz w:val="20"/>
          <w:szCs w:val="24"/>
          <w:lang w:val="ro-RO"/>
        </w:rPr>
        <w:t>Deputy</w:t>
      </w:r>
      <w:proofErr w:type="spellEnd"/>
      <w:r w:rsidRPr="009127F6">
        <w:rPr>
          <w:rFonts w:ascii="Georgia" w:eastAsia="Times New Roman" w:hAnsi="Georgia" w:cs="Times New Roman"/>
          <w:i/>
          <w:color w:val="222222"/>
          <w:sz w:val="20"/>
          <w:szCs w:val="24"/>
          <w:lang w:val="ro-RO"/>
        </w:rPr>
        <w:t xml:space="preserve"> </w:t>
      </w:r>
      <w:proofErr w:type="spellStart"/>
      <w:r w:rsidRPr="009127F6">
        <w:rPr>
          <w:rFonts w:ascii="Georgia" w:eastAsia="Times New Roman" w:hAnsi="Georgia" w:cs="Times New Roman"/>
          <w:i/>
          <w:color w:val="222222"/>
          <w:sz w:val="20"/>
          <w:szCs w:val="24"/>
          <w:lang w:val="ro-RO"/>
        </w:rPr>
        <w:t>Managing</w:t>
      </w:r>
      <w:proofErr w:type="spellEnd"/>
      <w:r w:rsidRPr="009127F6">
        <w:rPr>
          <w:rFonts w:ascii="Georgia" w:eastAsia="Times New Roman" w:hAnsi="Georgia" w:cs="Times New Roman"/>
          <w:i/>
          <w:color w:val="222222"/>
          <w:sz w:val="20"/>
          <w:szCs w:val="24"/>
          <w:lang w:val="ro-RO"/>
        </w:rPr>
        <w:t xml:space="preserve"> </w:t>
      </w:r>
      <w:proofErr w:type="spellStart"/>
      <w:r w:rsidRPr="009127F6">
        <w:rPr>
          <w:rFonts w:ascii="Georgia" w:eastAsia="Times New Roman" w:hAnsi="Georgia" w:cs="Times New Roman"/>
          <w:i/>
          <w:color w:val="222222"/>
          <w:sz w:val="20"/>
          <w:szCs w:val="24"/>
          <w:lang w:val="ro-RO"/>
        </w:rPr>
        <w:t>Partner</w:t>
      </w:r>
      <w:proofErr w:type="spellEnd"/>
      <w:r w:rsidRPr="009127F6">
        <w:rPr>
          <w:rFonts w:ascii="Georgia" w:eastAsia="Times New Roman" w:hAnsi="Georgia" w:cs="Times New Roman"/>
          <w:i/>
          <w:color w:val="222222"/>
          <w:sz w:val="20"/>
          <w:szCs w:val="24"/>
          <w:lang w:val="ro-RO"/>
        </w:rPr>
        <w:t>, Mușat &amp; Asociații</w:t>
      </w:r>
    </w:p>
    <w:p w:rsidR="009127F6" w:rsidRPr="009127F6" w:rsidRDefault="009127F6" w:rsidP="009127F6">
      <w:pPr>
        <w:shd w:val="clear" w:color="auto" w:fill="FFFFFF"/>
        <w:spacing w:line="320" w:lineRule="exact"/>
        <w:jc w:val="both"/>
        <w:rPr>
          <w:rFonts w:ascii="Georgia" w:hAnsi="Georgia"/>
          <w:i/>
          <w:sz w:val="20"/>
          <w:szCs w:val="20"/>
          <w:lang w:val="ro-RO"/>
        </w:rPr>
      </w:pPr>
      <w:r w:rsidRPr="009127F6">
        <w:rPr>
          <w:rFonts w:ascii="Georgia" w:hAnsi="Georgia"/>
          <w:i/>
          <w:sz w:val="20"/>
          <w:szCs w:val="20"/>
          <w:lang w:val="ro-RO"/>
        </w:rPr>
        <w:t>Coordonator al Departamentului de Dreptul Muncii și Beneficii ale Salariaților și al Departamentului de Restructurare și Insolvență</w:t>
      </w:r>
    </w:p>
    <w:p w:rsidR="009127F6" w:rsidRPr="00933E8D" w:rsidRDefault="009127F6" w:rsidP="009127F6">
      <w:pPr>
        <w:shd w:val="clear" w:color="auto" w:fill="FFFFFF"/>
        <w:spacing w:line="320" w:lineRule="exact"/>
        <w:jc w:val="both"/>
        <w:rPr>
          <w:rFonts w:ascii="Georgia" w:hAnsi="Georgia"/>
          <w:sz w:val="20"/>
          <w:szCs w:val="20"/>
          <w:lang w:val="ro-RO"/>
        </w:rPr>
      </w:pPr>
      <w:r w:rsidRPr="00933E8D">
        <w:rPr>
          <w:rFonts w:ascii="Georgia" w:hAnsi="Georgia"/>
          <w:sz w:val="20"/>
          <w:szCs w:val="20"/>
          <w:lang w:val="ro-RO"/>
        </w:rPr>
        <w:t>Mihai consiliază</w:t>
      </w:r>
      <w:r w:rsidRPr="00933E8D">
        <w:rPr>
          <w:rFonts w:ascii="Georgia" w:eastAsia="Times New Roman" w:hAnsi="Georgia" w:cs="Times New Roman"/>
          <w:color w:val="222222"/>
          <w:sz w:val="20"/>
          <w:szCs w:val="24"/>
          <w:lang w:val="ro-RO"/>
        </w:rPr>
        <w:t xml:space="preserve"> clienți naționali și internaționali din toate industriile, atât pe mandate de consultanță, cât și de litigii in materia Dreptului Muncii si Beneficii ale Salariaților. Experiența sa include asistență cu privire la planurile de restructurare, planurile de pensionare voluntară,  beneficiile salariaților, con</w:t>
      </w:r>
      <w:r w:rsidRPr="00933E8D">
        <w:rPr>
          <w:rFonts w:ascii="Georgia" w:eastAsia="Times New Roman" w:hAnsi="Georgia" w:cs="Times New Roman"/>
          <w:color w:val="222222"/>
          <w:sz w:val="20"/>
          <w:szCs w:val="24"/>
          <w:lang w:val="ro-RO"/>
        </w:rPr>
        <w:lastRenderedPageBreak/>
        <w:t xml:space="preserve">tractele individuale de muncă, transferul salariaților, contractele colective de muncă, negocierile și consultările colective, detașarea, procedurile de răspundere disciplinară și profesională, cererile de discriminare și </w:t>
      </w:r>
      <w:r w:rsidRPr="00933E8D">
        <w:rPr>
          <w:rFonts w:ascii="Georgia" w:hAnsi="Georgia"/>
          <w:sz w:val="20"/>
          <w:szCs w:val="20"/>
          <w:lang w:val="ro-RO"/>
        </w:rPr>
        <w:t>hărțuire.</w:t>
      </w:r>
    </w:p>
    <w:p w:rsidR="009127F6" w:rsidRPr="00933E8D" w:rsidRDefault="009127F6" w:rsidP="009127F6">
      <w:pPr>
        <w:shd w:val="clear" w:color="auto" w:fill="FFFFFF"/>
        <w:spacing w:line="320" w:lineRule="exact"/>
        <w:jc w:val="both"/>
        <w:rPr>
          <w:rFonts w:ascii="Georgia" w:hAnsi="Georgia"/>
          <w:sz w:val="20"/>
          <w:szCs w:val="20"/>
          <w:lang w:val="ro-RO"/>
        </w:rPr>
      </w:pPr>
      <w:r w:rsidRPr="00933E8D">
        <w:rPr>
          <w:rFonts w:ascii="Georgia" w:hAnsi="Georgia"/>
          <w:sz w:val="20"/>
          <w:szCs w:val="20"/>
          <w:lang w:val="ro-RO"/>
        </w:rPr>
        <w:t>Cu o  experiență de peste 17 ani în avocatura de afaceri, Mihai oferă consultanță în procedurile de reorganizarea judiciară și voluntară, procedurile premergătoare insolvenței, falimentul și lichidarea, recuperarea de active și/sau negocierile cu debitorii si creditorii.</w:t>
      </w:r>
    </w:p>
    <w:p w:rsidR="009127F6" w:rsidRDefault="009127F6" w:rsidP="009127F6">
      <w:pPr>
        <w:pStyle w:val="NormalWeb"/>
        <w:spacing w:line="320" w:lineRule="exact"/>
        <w:rPr>
          <w:rStyle w:val="Strong"/>
          <w:rFonts w:ascii="Georgia" w:hAnsi="Georgia"/>
          <w:sz w:val="20"/>
          <w:szCs w:val="20"/>
          <w:lang w:val="ro-RO"/>
        </w:rPr>
      </w:pPr>
      <w:r>
        <w:rPr>
          <w:rStyle w:val="Strong"/>
          <w:rFonts w:ascii="Georgia" w:hAnsi="Georgia"/>
          <w:sz w:val="20"/>
          <w:szCs w:val="20"/>
          <w:lang w:val="ro-RO"/>
        </w:rPr>
        <w:t>Dragoș Lungu</w:t>
      </w:r>
    </w:p>
    <w:p w:rsidR="009127F6" w:rsidRPr="009127F6" w:rsidRDefault="009127F6" w:rsidP="009127F6">
      <w:pPr>
        <w:pStyle w:val="NormalWeb"/>
        <w:spacing w:line="320" w:lineRule="exact"/>
        <w:rPr>
          <w:rStyle w:val="Strong"/>
          <w:rFonts w:ascii="Georgia" w:hAnsi="Georgia"/>
          <w:b w:val="0"/>
          <w:i/>
          <w:sz w:val="20"/>
          <w:szCs w:val="20"/>
          <w:lang w:val="ro-RO"/>
        </w:rPr>
      </w:pPr>
      <w:proofErr w:type="spellStart"/>
      <w:r w:rsidRPr="009127F6">
        <w:rPr>
          <w:rStyle w:val="Strong"/>
          <w:rFonts w:ascii="Georgia" w:hAnsi="Georgia"/>
          <w:b w:val="0"/>
          <w:i/>
          <w:sz w:val="20"/>
          <w:szCs w:val="20"/>
          <w:lang w:val="ro-RO"/>
        </w:rPr>
        <w:t>Managing</w:t>
      </w:r>
      <w:proofErr w:type="spellEnd"/>
      <w:r w:rsidRPr="009127F6">
        <w:rPr>
          <w:rStyle w:val="Strong"/>
          <w:rFonts w:ascii="Georgia" w:hAnsi="Georgia"/>
          <w:b w:val="0"/>
          <w:i/>
          <w:sz w:val="20"/>
          <w:szCs w:val="20"/>
          <w:lang w:val="ro-RO"/>
        </w:rPr>
        <w:t xml:space="preserve"> </w:t>
      </w:r>
      <w:proofErr w:type="spellStart"/>
      <w:r w:rsidRPr="009127F6">
        <w:rPr>
          <w:rStyle w:val="Strong"/>
          <w:rFonts w:ascii="Georgia" w:hAnsi="Georgia"/>
          <w:b w:val="0"/>
          <w:i/>
          <w:sz w:val="20"/>
          <w:szCs w:val="20"/>
          <w:lang w:val="ro-RO"/>
        </w:rPr>
        <w:t>Associate</w:t>
      </w:r>
      <w:proofErr w:type="spellEnd"/>
      <w:r w:rsidR="00FB13CD">
        <w:rPr>
          <w:rStyle w:val="Strong"/>
          <w:rFonts w:ascii="Georgia" w:hAnsi="Georgia"/>
          <w:b w:val="0"/>
          <w:i/>
          <w:sz w:val="20"/>
          <w:szCs w:val="20"/>
          <w:lang w:val="ro-RO"/>
        </w:rPr>
        <w:t>, Mușat &amp; Asociații</w:t>
      </w:r>
    </w:p>
    <w:p w:rsidR="009127F6" w:rsidRPr="009127F6" w:rsidRDefault="009127F6" w:rsidP="009127F6">
      <w:pPr>
        <w:shd w:val="clear" w:color="auto" w:fill="FFFFFF"/>
        <w:spacing w:line="320" w:lineRule="exact"/>
        <w:jc w:val="both"/>
        <w:rPr>
          <w:rFonts w:ascii="Georgia" w:hAnsi="Georgia"/>
          <w:i/>
          <w:sz w:val="20"/>
          <w:szCs w:val="20"/>
          <w:lang w:val="ro-RO"/>
        </w:rPr>
      </w:pPr>
      <w:r w:rsidRPr="009127F6">
        <w:rPr>
          <w:rFonts w:ascii="Georgia" w:hAnsi="Georgia"/>
          <w:i/>
          <w:sz w:val="20"/>
          <w:szCs w:val="20"/>
          <w:lang w:val="ro-RO"/>
        </w:rPr>
        <w:t>Departamentul de Dreptul Muncii si Beneficii ale Salariaților</w:t>
      </w:r>
    </w:p>
    <w:p w:rsidR="009127F6" w:rsidRPr="00933E8D" w:rsidRDefault="009127F6" w:rsidP="009127F6">
      <w:pPr>
        <w:shd w:val="clear" w:color="auto" w:fill="FFFFFF"/>
        <w:spacing w:line="320" w:lineRule="exact"/>
        <w:jc w:val="both"/>
        <w:rPr>
          <w:rFonts w:ascii="Georgia" w:hAnsi="Georgia"/>
          <w:sz w:val="20"/>
          <w:szCs w:val="20"/>
          <w:lang w:val="ro-RO"/>
        </w:rPr>
      </w:pPr>
      <w:r w:rsidRPr="00933E8D">
        <w:rPr>
          <w:rFonts w:ascii="Georgia" w:hAnsi="Georgia"/>
          <w:sz w:val="20"/>
          <w:szCs w:val="20"/>
          <w:lang w:val="ro-RO"/>
        </w:rPr>
        <w:t xml:space="preserve">Cu o experiență juridică de peste 10 ani, Dragoș acordă asistență clienților naționali și internaționali în variate mandate de dreptul muncii, incluzând, dar fără a se limita la asistență și reprezentare în cadrul unor proiecte de concedieri colective de personal, externalizări, redactarea și negocierea contractelor individuale </w:t>
      </w:r>
      <w:proofErr w:type="spellStart"/>
      <w:r w:rsidRPr="00933E8D">
        <w:rPr>
          <w:rFonts w:ascii="Georgia" w:hAnsi="Georgia"/>
          <w:sz w:val="20"/>
          <w:szCs w:val="20"/>
          <w:lang w:val="ro-RO"/>
        </w:rPr>
        <w:t>şi</w:t>
      </w:r>
      <w:proofErr w:type="spellEnd"/>
      <w:r w:rsidRPr="00933E8D">
        <w:rPr>
          <w:rFonts w:ascii="Georgia" w:hAnsi="Georgia"/>
          <w:sz w:val="20"/>
          <w:szCs w:val="20"/>
          <w:lang w:val="ro-RO"/>
        </w:rPr>
        <w:t xml:space="preserve"> colective de mun</w:t>
      </w:r>
      <w:r>
        <w:rPr>
          <w:rFonts w:ascii="Georgia" w:hAnsi="Georgia"/>
          <w:sz w:val="20"/>
          <w:szCs w:val="20"/>
          <w:lang w:val="ro-RO"/>
        </w:rPr>
        <w:t>că, conflicte colective de muncă</w:t>
      </w:r>
      <w:r w:rsidRPr="00933E8D">
        <w:rPr>
          <w:rFonts w:ascii="Georgia" w:hAnsi="Georgia"/>
          <w:sz w:val="20"/>
          <w:szCs w:val="20"/>
          <w:lang w:val="ro-RO"/>
        </w:rPr>
        <w:t>.</w:t>
      </w:r>
    </w:p>
    <w:p w:rsidR="009127F6" w:rsidRDefault="009127F6" w:rsidP="009127F6">
      <w:pPr>
        <w:shd w:val="clear" w:color="auto" w:fill="FFFFFF"/>
        <w:spacing w:line="320" w:lineRule="exact"/>
        <w:jc w:val="both"/>
        <w:rPr>
          <w:rFonts w:ascii="Times New Roman" w:hAnsi="Times New Roman"/>
          <w:sz w:val="24"/>
          <w:szCs w:val="24"/>
        </w:rPr>
      </w:pPr>
      <w:r w:rsidRPr="00933E8D">
        <w:rPr>
          <w:rFonts w:ascii="Georgia" w:hAnsi="Georgia"/>
          <w:sz w:val="20"/>
          <w:szCs w:val="20"/>
          <w:lang w:val="ro-RO"/>
        </w:rPr>
        <w:t>Dragoș este și avocat litigant, lucrând îndeaproape cu c</w:t>
      </w:r>
      <w:r>
        <w:rPr>
          <w:rFonts w:ascii="Georgia" w:hAnsi="Georgia"/>
          <w:sz w:val="20"/>
          <w:szCs w:val="20"/>
          <w:lang w:val="ro-RO"/>
        </w:rPr>
        <w:t>lienți locali și internaționali</w:t>
      </w:r>
      <w:r w:rsidRPr="00933E8D">
        <w:rPr>
          <w:rFonts w:ascii="Georgia" w:hAnsi="Georgia"/>
          <w:sz w:val="20"/>
          <w:szCs w:val="20"/>
          <w:lang w:val="ro-RO"/>
        </w:rPr>
        <w:t xml:space="preserve"> din sectoarele farmaceutic,</w:t>
      </w:r>
      <w:r>
        <w:rPr>
          <w:rStyle w:val="Strong"/>
          <w:rFonts w:ascii="Georgia" w:hAnsi="Georgia"/>
          <w:sz w:val="20"/>
          <w:szCs w:val="20"/>
          <w:lang w:val="ro-RO"/>
        </w:rPr>
        <w:t xml:space="preserve"> </w:t>
      </w:r>
      <w:r w:rsidRPr="009127F6">
        <w:rPr>
          <w:rStyle w:val="Strong"/>
          <w:rFonts w:ascii="Georgia" w:hAnsi="Georgia"/>
          <w:b w:val="0"/>
          <w:sz w:val="20"/>
          <w:szCs w:val="20"/>
          <w:lang w:val="ro-RO"/>
        </w:rPr>
        <w:t>energetic, imobiliar și retail, tehnologie și servicii de outsourcing, fiind cunoscut pentru soluțiile inovative oferite clienților.</w:t>
      </w:r>
    </w:p>
    <w:p w:rsidR="00745004" w:rsidRPr="006A7799" w:rsidRDefault="00745004" w:rsidP="00601314">
      <w:pPr>
        <w:spacing w:after="200" w:line="320" w:lineRule="exact"/>
        <w:jc w:val="both"/>
        <w:rPr>
          <w:rFonts w:ascii="Georgia" w:eastAsia="Times New Roman" w:hAnsi="Georgia" w:cs="Times New Roman"/>
          <w:bCs/>
          <w:noProof/>
          <w:sz w:val="20"/>
          <w:szCs w:val="20"/>
          <w:lang w:val="ro-RO"/>
        </w:rPr>
      </w:pPr>
    </w:p>
    <w:p w:rsidR="00745004" w:rsidRPr="00FB13CD" w:rsidRDefault="00745004" w:rsidP="00601314">
      <w:pPr>
        <w:spacing w:after="200" w:line="320" w:lineRule="exact"/>
        <w:jc w:val="both"/>
        <w:rPr>
          <w:rFonts w:ascii="Georgia" w:eastAsia="Calibri" w:hAnsi="Georgia" w:cs="Times New Roman"/>
          <w:b/>
          <w:noProof/>
          <w:sz w:val="20"/>
          <w:szCs w:val="18"/>
          <w:lang w:val="ro-RO"/>
        </w:rPr>
      </w:pPr>
      <w:r w:rsidRPr="00FB13CD">
        <w:rPr>
          <w:rFonts w:ascii="Georgia" w:eastAsia="Calibri" w:hAnsi="Georgia" w:cs="Times New Roman"/>
          <w:b/>
          <w:noProof/>
          <w:sz w:val="20"/>
          <w:szCs w:val="18"/>
          <w:lang w:val="ro-RO"/>
        </w:rPr>
        <w:t>Despre Mușat &amp; Asociații </w:t>
      </w:r>
    </w:p>
    <w:p w:rsidR="00745004" w:rsidRPr="00FB13CD" w:rsidRDefault="00745004" w:rsidP="00601314">
      <w:pPr>
        <w:shd w:val="clear" w:color="auto" w:fill="FFFFFF"/>
        <w:spacing w:after="200" w:line="320" w:lineRule="exact"/>
        <w:jc w:val="both"/>
        <w:rPr>
          <w:rFonts w:ascii="Georgia" w:eastAsia="Calibri" w:hAnsi="Georgia" w:cs="Times New Roman"/>
          <w:noProof/>
          <w:sz w:val="20"/>
          <w:szCs w:val="18"/>
          <w:lang w:val="ro-RO"/>
        </w:rPr>
      </w:pPr>
      <w:r w:rsidRPr="00FB13CD">
        <w:rPr>
          <w:rFonts w:ascii="Georgia" w:eastAsia="Calibri" w:hAnsi="Georgia" w:cs="Times New Roman"/>
          <w:iCs/>
          <w:noProof/>
          <w:sz w:val="20"/>
          <w:szCs w:val="18"/>
          <w:lang w:val="ro-RO"/>
        </w:rPr>
        <w:t>Numele Mușat &amp; Asociații este sinonim cu excelența în practica avocaturii de business din România.</w:t>
      </w:r>
      <w:r w:rsidRPr="00FB13CD">
        <w:rPr>
          <w:rFonts w:ascii="Georgia" w:eastAsia="Calibri" w:hAnsi="Georgia" w:cs="Times New Roman"/>
          <w:noProof/>
          <w:sz w:val="20"/>
          <w:szCs w:val="18"/>
          <w:lang w:val="ro-RO"/>
        </w:rPr>
        <w:t xml:space="preserve"> De peste 33 de ani, Mușat &amp; Asociații acordă servicii de consultanță în toate sectoarele avocaturii de business, incluzând fuziuni &amp; achiziții, privatizări, drept bancar, energie &amp; resurse naturale, concurență, drept societar, telecomunicații &amp; IT, dreptul muncii, fiscalitate, piețe de capital, drept imobiliar, dreptul mediului, litigii &amp; arbitraje comerciale. </w:t>
      </w:r>
    </w:p>
    <w:p w:rsidR="00745004" w:rsidRPr="00FB13CD" w:rsidRDefault="00745004" w:rsidP="00601314">
      <w:pPr>
        <w:shd w:val="clear" w:color="auto" w:fill="FFFFFF"/>
        <w:spacing w:after="200" w:line="320" w:lineRule="exact"/>
        <w:jc w:val="both"/>
        <w:rPr>
          <w:rFonts w:ascii="Georgia" w:eastAsia="Calibri" w:hAnsi="Georgia" w:cs="Times New Roman"/>
          <w:noProof/>
          <w:sz w:val="20"/>
          <w:szCs w:val="18"/>
          <w:lang w:val="ro-RO"/>
        </w:rPr>
      </w:pPr>
      <w:r w:rsidRPr="00FB13CD">
        <w:rPr>
          <w:rFonts w:ascii="Georgia" w:eastAsia="Calibri" w:hAnsi="Georgia" w:cs="Times New Roman"/>
          <w:noProof/>
          <w:sz w:val="20"/>
          <w:szCs w:val="18"/>
          <w:lang w:val="ro-RO"/>
        </w:rPr>
        <w:t>Mușat &amp; Asociații este recunoscută ca fiind unul dintre pilonii avocaturii de business din România, iar publicațiile internaționale de specialitate (Chambers &amp; Partners, International Financial Law Review, Legal 500 etc.) recomandă cu regularitate firma ca fiind unul din liderii pieței avocațiale, mulți dintre avocații firmei fiind la rândul lor nominalizați de aceste publicații ca făcând parte din elita avocaturii de business din România.</w:t>
      </w:r>
    </w:p>
    <w:p w:rsidR="00745004" w:rsidRPr="00FB13CD" w:rsidRDefault="00745004" w:rsidP="00601314">
      <w:pPr>
        <w:numPr>
          <w:ilvl w:val="0"/>
          <w:numId w:val="2"/>
        </w:numPr>
        <w:shd w:val="clear" w:color="auto" w:fill="FFFFFF"/>
        <w:spacing w:after="200" w:line="320" w:lineRule="exact"/>
        <w:jc w:val="both"/>
        <w:rPr>
          <w:rFonts w:ascii="Georgia" w:eastAsia="Times New Roman" w:hAnsi="Georgia" w:cs="Times New Roman"/>
          <w:noProof/>
          <w:sz w:val="20"/>
          <w:szCs w:val="18"/>
          <w:lang w:val="ro-RO"/>
        </w:rPr>
      </w:pPr>
      <w:r w:rsidRPr="00FB13CD">
        <w:rPr>
          <w:rFonts w:ascii="Georgia" w:eastAsia="Times New Roman" w:hAnsi="Georgia" w:cs="Times New Roman"/>
          <w:b/>
          <w:noProof/>
          <w:sz w:val="20"/>
          <w:szCs w:val="18"/>
          <w:lang w:val="ro-RO"/>
        </w:rPr>
        <w:t>2023</w:t>
      </w:r>
      <w:r w:rsidRPr="00FB13CD">
        <w:rPr>
          <w:rFonts w:ascii="Georgia" w:eastAsia="Times New Roman" w:hAnsi="Georgia" w:cs="Times New Roman"/>
          <w:noProof/>
          <w:sz w:val="20"/>
          <w:szCs w:val="18"/>
          <w:lang w:val="ro-RO"/>
        </w:rPr>
        <w:t xml:space="preserve">: Mușat &amp; Asociații a fost desemnată pentru al doilea an consecutiv </w:t>
      </w:r>
      <w:r w:rsidRPr="00FB13CD">
        <w:rPr>
          <w:rFonts w:ascii="Georgia" w:eastAsia="Times New Roman" w:hAnsi="Georgia" w:cs="Times New Roman"/>
          <w:b/>
          <w:noProof/>
          <w:sz w:val="20"/>
          <w:szCs w:val="18"/>
          <w:lang w:val="ro-RO"/>
        </w:rPr>
        <w:t>câștigătoare a premiului Eastern Europe Firm of the Year în cadrul galei LMG Life Sciences Awards EMEA 2023</w:t>
      </w:r>
      <w:r w:rsidRPr="00FB13CD">
        <w:rPr>
          <w:rFonts w:ascii="Georgia" w:eastAsia="Times New Roman" w:hAnsi="Georgia" w:cs="Times New Roman"/>
          <w:noProof/>
          <w:sz w:val="20"/>
          <w:szCs w:val="18"/>
          <w:lang w:val="ro-RO"/>
        </w:rPr>
        <w:t xml:space="preserve">, care a avut loc pe 13 iulie la Londra. LMG Life Sciences este unul dintre cele mai prestigioase ghiduri juridice care centralizează cele mai importante firme de avocatură </w:t>
      </w:r>
      <w:r w:rsidRPr="00FB13CD">
        <w:rPr>
          <w:rFonts w:ascii="Georgia" w:eastAsia="Times New Roman" w:hAnsi="Georgia" w:cs="Times New Roman"/>
          <w:noProof/>
          <w:sz w:val="20"/>
          <w:szCs w:val="18"/>
          <w:lang w:val="ro-RO"/>
        </w:rPr>
        <w:lastRenderedPageBreak/>
        <w:t>și avocați care activează în domeniul life sciences (biotehnologie, produse farmaceutice, dispozitive medicale, suplimente alimentare, alimente, cosmetice etc.).</w:t>
      </w:r>
    </w:p>
    <w:p w:rsidR="00745004" w:rsidRPr="00FB13CD" w:rsidRDefault="00745004" w:rsidP="00601314">
      <w:pPr>
        <w:numPr>
          <w:ilvl w:val="0"/>
          <w:numId w:val="2"/>
        </w:numPr>
        <w:shd w:val="clear" w:color="auto" w:fill="FFFFFF"/>
        <w:spacing w:after="200" w:line="320" w:lineRule="exact"/>
        <w:jc w:val="both"/>
        <w:rPr>
          <w:rFonts w:ascii="Georgia" w:eastAsia="Times New Roman" w:hAnsi="Georgia" w:cs="Times New Roman"/>
          <w:noProof/>
          <w:sz w:val="20"/>
          <w:szCs w:val="18"/>
          <w:lang w:val="ro-RO"/>
        </w:rPr>
      </w:pPr>
      <w:r w:rsidRPr="00FB13CD">
        <w:rPr>
          <w:rFonts w:ascii="Georgia" w:eastAsia="Times New Roman" w:hAnsi="Georgia" w:cs="Times New Roman"/>
          <w:b/>
          <w:noProof/>
          <w:sz w:val="20"/>
          <w:szCs w:val="18"/>
          <w:lang w:val="ro-RO"/>
        </w:rPr>
        <w:t>2022: Mușat &amp; Asociații a fost desemnată câștigătoarea premiilor pentru ariile de practică Fuziuni și Achiziții (M&amp;A)</w:t>
      </w:r>
      <w:r w:rsidRPr="00FB13CD">
        <w:rPr>
          <w:rFonts w:ascii="Georgia" w:eastAsia="Times New Roman" w:hAnsi="Georgia" w:cs="Times New Roman"/>
          <w:noProof/>
          <w:sz w:val="20"/>
          <w:szCs w:val="18"/>
          <w:lang w:val="ro-RO"/>
        </w:rPr>
        <w:t xml:space="preserve">, </w:t>
      </w:r>
      <w:r w:rsidRPr="00FB13CD">
        <w:rPr>
          <w:rFonts w:ascii="Georgia" w:eastAsia="Times New Roman" w:hAnsi="Georgia" w:cs="Times New Roman"/>
          <w:b/>
          <w:noProof/>
          <w:sz w:val="20"/>
          <w:szCs w:val="18"/>
          <w:lang w:val="ro-RO"/>
        </w:rPr>
        <w:t>Litigii și Farma</w:t>
      </w:r>
      <w:r w:rsidRPr="00FB13CD">
        <w:rPr>
          <w:rFonts w:ascii="Georgia" w:eastAsia="Times New Roman" w:hAnsi="Georgia" w:cs="Times New Roman"/>
          <w:noProof/>
          <w:sz w:val="20"/>
          <w:szCs w:val="18"/>
          <w:lang w:val="ro-RO"/>
        </w:rPr>
        <w:t xml:space="preserve">, acordate în cadrul Galei Romanian Legal Awards, organizate de “Legal Marketing”. </w:t>
      </w:r>
      <w:r w:rsidRPr="00FB13CD">
        <w:rPr>
          <w:rFonts w:ascii="Georgia" w:eastAsia="Times New Roman" w:hAnsi="Georgia" w:cs="Times New Roman"/>
          <w:noProof/>
          <w:sz w:val="20"/>
          <w:szCs w:val="18"/>
          <w:shd w:val="clear" w:color="auto" w:fill="FFFFFF"/>
          <w:lang w:val="ro-RO"/>
        </w:rPr>
        <w:t xml:space="preserve">Au fost recunoscute performanțele echipei noastre de M&amp;A din anul 2021, în continuarea premiilor acordate pentru anii 2020 și 2019, an în care Mușat &amp; Asociații a fost desemnată și Firma anului în avocatură din România. </w:t>
      </w:r>
      <w:r w:rsidRPr="00FB13CD">
        <w:rPr>
          <w:rFonts w:ascii="Georgia" w:eastAsia="Times New Roman" w:hAnsi="Georgia" w:cs="Times New Roman"/>
          <w:noProof/>
          <w:sz w:val="20"/>
          <w:szCs w:val="18"/>
          <w:lang w:val="ro-RO"/>
        </w:rPr>
        <w:t xml:space="preserve">De asemenea, în 2022, Mușat &amp; Asociații a câștigat premiul </w:t>
      </w:r>
      <w:r w:rsidRPr="00FB13CD">
        <w:rPr>
          <w:rFonts w:ascii="Georgia" w:eastAsia="Times New Roman" w:hAnsi="Georgia" w:cs="Times New Roman"/>
          <w:b/>
          <w:noProof/>
          <w:sz w:val="20"/>
          <w:szCs w:val="18"/>
          <w:lang w:val="ro-RO"/>
        </w:rPr>
        <w:t>„Firma de avocatură a anului în Europa de Est”</w:t>
      </w:r>
      <w:r w:rsidRPr="00FB13CD">
        <w:rPr>
          <w:rFonts w:ascii="Georgia" w:eastAsia="Times New Roman" w:hAnsi="Georgia" w:cs="Times New Roman"/>
          <w:noProof/>
          <w:sz w:val="20"/>
          <w:szCs w:val="18"/>
          <w:lang w:val="ro-RO"/>
        </w:rPr>
        <w:t xml:space="preserve">  în cadrul galei organizate în Londra de LMG Life Sciences Awards, unul dintre cele mai prestigioase ghiduri juridice internaționale care premiază firmele de avocatură și avocații ce se află în spatele celor mai inovatoare și provocatoare proiecte juridice din EMEA, SUA și Canada, împreună cu companiile sale surori International Financial Law Review, Benchmark Litigation, Managing IP, Expert Guides și ITR.</w:t>
      </w:r>
    </w:p>
    <w:p w:rsidR="00745004" w:rsidRPr="00FB13CD" w:rsidRDefault="00745004" w:rsidP="00601314">
      <w:pPr>
        <w:numPr>
          <w:ilvl w:val="0"/>
          <w:numId w:val="2"/>
        </w:numPr>
        <w:shd w:val="clear" w:color="auto" w:fill="FFFFFF"/>
        <w:spacing w:after="200" w:line="320" w:lineRule="exact"/>
        <w:contextualSpacing/>
        <w:jc w:val="both"/>
        <w:rPr>
          <w:rFonts w:ascii="Georgia" w:eastAsia="Calibri" w:hAnsi="Georgia" w:cs="Times New Roman"/>
          <w:noProof/>
          <w:sz w:val="20"/>
          <w:szCs w:val="18"/>
          <w:lang w:val="ro-RO"/>
        </w:rPr>
      </w:pPr>
      <w:r w:rsidRPr="00FB13CD">
        <w:rPr>
          <w:rFonts w:ascii="Georgia" w:eastAsia="Calibri" w:hAnsi="Georgia" w:cs="Times New Roman"/>
          <w:b/>
          <w:noProof/>
          <w:sz w:val="20"/>
          <w:szCs w:val="18"/>
          <w:lang w:val="ro-RO"/>
        </w:rPr>
        <w:t>2020:</w:t>
      </w:r>
      <w:r w:rsidRPr="00FB13CD">
        <w:rPr>
          <w:rFonts w:ascii="Georgia" w:eastAsia="Calibri" w:hAnsi="Georgia" w:cs="Times New Roman"/>
          <w:noProof/>
          <w:sz w:val="20"/>
          <w:szCs w:val="18"/>
          <w:lang w:val="ro-RO"/>
        </w:rPr>
        <w:t xml:space="preserve"> Mușat &amp; Asociații a câștigat premiul </w:t>
      </w:r>
      <w:r w:rsidRPr="00FB13CD">
        <w:rPr>
          <w:rFonts w:ascii="Georgia" w:eastAsia="Calibri" w:hAnsi="Georgia" w:cs="Times New Roman"/>
          <w:b/>
          <w:noProof/>
          <w:sz w:val="20"/>
          <w:szCs w:val="18"/>
          <w:lang w:val="ro-RO"/>
        </w:rPr>
        <w:t>„Firma de avocatură a anului în ariile Fuziuni &amp; Achiziții, Achiziții Publice și Farma”,</w:t>
      </w:r>
      <w:r w:rsidRPr="00FB13CD">
        <w:rPr>
          <w:rFonts w:ascii="Georgia" w:eastAsia="Calibri" w:hAnsi="Georgia" w:cs="Times New Roman"/>
          <w:noProof/>
          <w:sz w:val="20"/>
          <w:szCs w:val="18"/>
          <w:lang w:val="ro-RO"/>
        </w:rPr>
        <w:t xml:space="preserve"> distincție acordată de publicația “The Times Legal Innovation” firmelor de avocați din România care au obținut performanțe deosebite în anul de referință.</w:t>
      </w:r>
    </w:p>
    <w:p w:rsidR="00745004" w:rsidRPr="00FB13CD" w:rsidRDefault="00745004" w:rsidP="00601314">
      <w:pPr>
        <w:shd w:val="clear" w:color="auto" w:fill="FFFFFF"/>
        <w:spacing w:after="200" w:line="320" w:lineRule="exact"/>
        <w:ind w:left="720"/>
        <w:contextualSpacing/>
        <w:jc w:val="both"/>
        <w:rPr>
          <w:rFonts w:ascii="Georgia" w:eastAsia="Calibri" w:hAnsi="Georgia" w:cs="Times New Roman"/>
          <w:noProof/>
          <w:sz w:val="20"/>
          <w:szCs w:val="18"/>
          <w:lang w:val="ro-RO"/>
        </w:rPr>
      </w:pPr>
    </w:p>
    <w:p w:rsidR="00745004" w:rsidRPr="00FB13CD" w:rsidRDefault="00745004" w:rsidP="00601314">
      <w:pPr>
        <w:numPr>
          <w:ilvl w:val="0"/>
          <w:numId w:val="2"/>
        </w:numPr>
        <w:shd w:val="clear" w:color="auto" w:fill="FFFFFF"/>
        <w:spacing w:after="200" w:line="320" w:lineRule="exact"/>
        <w:contextualSpacing/>
        <w:jc w:val="both"/>
        <w:rPr>
          <w:rFonts w:ascii="Georgia" w:eastAsia="Calibri" w:hAnsi="Georgia" w:cs="Times New Roman"/>
          <w:noProof/>
          <w:sz w:val="20"/>
          <w:szCs w:val="18"/>
          <w:lang w:val="ro-RO"/>
        </w:rPr>
      </w:pPr>
      <w:r w:rsidRPr="00FB13CD">
        <w:rPr>
          <w:rFonts w:ascii="Georgia" w:eastAsia="Calibri" w:hAnsi="Georgia" w:cs="Times New Roman"/>
          <w:b/>
          <w:noProof/>
          <w:sz w:val="20"/>
          <w:szCs w:val="18"/>
          <w:lang w:val="ro-RO"/>
        </w:rPr>
        <w:t>2019:</w:t>
      </w:r>
      <w:r w:rsidRPr="00FB13CD">
        <w:rPr>
          <w:rFonts w:ascii="Georgia" w:eastAsia="Calibri" w:hAnsi="Georgia" w:cs="Times New Roman"/>
          <w:noProof/>
          <w:sz w:val="20"/>
          <w:szCs w:val="18"/>
          <w:lang w:val="ro-RO"/>
        </w:rPr>
        <w:t xml:space="preserve"> Mușat &amp; Asociații a câștigat premiul </w:t>
      </w:r>
      <w:r w:rsidRPr="00FB13CD">
        <w:rPr>
          <w:rFonts w:ascii="Georgia" w:eastAsia="Calibri" w:hAnsi="Georgia" w:cs="Times New Roman"/>
          <w:b/>
          <w:noProof/>
          <w:sz w:val="20"/>
          <w:szCs w:val="18"/>
          <w:lang w:val="ro-RO"/>
        </w:rPr>
        <w:t>“Firma de avocatură a anului în România”</w:t>
      </w:r>
      <w:r w:rsidRPr="00FB13CD">
        <w:rPr>
          <w:rFonts w:ascii="Georgia" w:eastAsia="Calibri" w:hAnsi="Georgia" w:cs="Times New Roman"/>
          <w:noProof/>
          <w:sz w:val="20"/>
          <w:szCs w:val="18"/>
          <w:lang w:val="ro-RO"/>
        </w:rPr>
        <w:t xml:space="preserve">, distincție acordată de “The Times Legal Innovation”, precum și alte premii, acordate pentru ariile de practică </w:t>
      </w:r>
      <w:r w:rsidRPr="00FB13CD">
        <w:rPr>
          <w:rFonts w:ascii="Georgia" w:eastAsia="Calibri" w:hAnsi="Georgia" w:cs="Times New Roman"/>
          <w:b/>
          <w:noProof/>
          <w:sz w:val="20"/>
          <w:szCs w:val="18"/>
          <w:lang w:val="ro-RO"/>
        </w:rPr>
        <w:t>Fuziuni și Achiziții, Achiziții Publice și Drept Penal</w:t>
      </w:r>
      <w:r w:rsidRPr="00FB13CD">
        <w:rPr>
          <w:rFonts w:ascii="Georgia" w:eastAsia="Calibri" w:hAnsi="Georgia" w:cs="Times New Roman"/>
          <w:noProof/>
          <w:sz w:val="20"/>
          <w:szCs w:val="18"/>
          <w:lang w:val="ro-RO"/>
        </w:rPr>
        <w:t>.</w:t>
      </w:r>
    </w:p>
    <w:p w:rsidR="00745004" w:rsidRPr="00FB13CD" w:rsidRDefault="00745004" w:rsidP="00601314">
      <w:pPr>
        <w:shd w:val="clear" w:color="auto" w:fill="FFFFFF"/>
        <w:spacing w:after="200" w:line="320" w:lineRule="exact"/>
        <w:ind w:left="720"/>
        <w:contextualSpacing/>
        <w:jc w:val="both"/>
        <w:rPr>
          <w:rFonts w:ascii="Georgia" w:eastAsia="Calibri" w:hAnsi="Georgia" w:cs="Times New Roman"/>
          <w:noProof/>
          <w:sz w:val="20"/>
          <w:szCs w:val="18"/>
          <w:lang w:val="ro-RO"/>
        </w:rPr>
      </w:pPr>
    </w:p>
    <w:p w:rsidR="00745004" w:rsidRPr="00FB13CD" w:rsidRDefault="00745004" w:rsidP="00601314">
      <w:pPr>
        <w:numPr>
          <w:ilvl w:val="0"/>
          <w:numId w:val="2"/>
        </w:numPr>
        <w:shd w:val="clear" w:color="auto" w:fill="FFFFFF"/>
        <w:spacing w:after="200" w:line="320" w:lineRule="exact"/>
        <w:contextualSpacing/>
        <w:jc w:val="both"/>
        <w:rPr>
          <w:rFonts w:ascii="Georgia" w:eastAsia="Calibri" w:hAnsi="Georgia" w:cs="Times New Roman"/>
          <w:noProof/>
          <w:sz w:val="20"/>
          <w:szCs w:val="18"/>
          <w:lang w:val="ro-RO"/>
        </w:rPr>
      </w:pPr>
      <w:r w:rsidRPr="00FB13CD">
        <w:rPr>
          <w:rFonts w:ascii="Georgia" w:eastAsia="Calibri" w:hAnsi="Georgia" w:cs="Times New Roman"/>
          <w:b/>
          <w:noProof/>
          <w:sz w:val="20"/>
          <w:szCs w:val="18"/>
          <w:lang w:val="ro-RO"/>
        </w:rPr>
        <w:t>2018:</w:t>
      </w:r>
      <w:r w:rsidRPr="00FB13CD">
        <w:rPr>
          <w:rFonts w:ascii="Georgia" w:eastAsia="Calibri" w:hAnsi="Georgia" w:cs="Times New Roman"/>
          <w:noProof/>
          <w:sz w:val="20"/>
          <w:szCs w:val="18"/>
          <w:lang w:val="ro-RO"/>
        </w:rPr>
        <w:t xml:space="preserve"> Mușat &amp; Asociații a câștigat </w:t>
      </w:r>
      <w:r w:rsidRPr="00FB13CD">
        <w:rPr>
          <w:rFonts w:ascii="Georgia" w:eastAsia="Calibri" w:hAnsi="Georgia" w:cs="Times New Roman"/>
          <w:b/>
          <w:noProof/>
          <w:sz w:val="20"/>
          <w:szCs w:val="18"/>
          <w:lang w:val="ro-RO"/>
        </w:rPr>
        <w:t>premiul pentru cea mai mare tranzacție M&amp;A în domeniul Farma în România</w:t>
      </w:r>
      <w:r w:rsidRPr="00FB13CD">
        <w:rPr>
          <w:rFonts w:ascii="Georgia" w:eastAsia="Calibri" w:hAnsi="Georgia" w:cs="Times New Roman"/>
          <w:noProof/>
          <w:sz w:val="20"/>
          <w:szCs w:val="18"/>
          <w:lang w:val="ro-RO"/>
        </w:rPr>
        <w:t xml:space="preserve">, pentru asistența acordată Dr. Max în achiziția grupului A&amp;D Pharma, precum și alte premii, acordate pentru ariile de practică Fuziuni și achiziții/Privatizare, Infrastructură și PPP/Achiziții Publice și Drept Penal. </w:t>
      </w:r>
    </w:p>
    <w:p w:rsidR="00745004" w:rsidRPr="00FB13CD" w:rsidRDefault="00745004" w:rsidP="00601314">
      <w:pPr>
        <w:shd w:val="clear" w:color="auto" w:fill="FFFFFF"/>
        <w:spacing w:after="200" w:line="320" w:lineRule="exact"/>
        <w:ind w:left="720"/>
        <w:contextualSpacing/>
        <w:jc w:val="both"/>
        <w:rPr>
          <w:rFonts w:ascii="Georgia" w:eastAsia="Calibri" w:hAnsi="Georgia" w:cs="Times New Roman"/>
          <w:noProof/>
          <w:sz w:val="20"/>
          <w:szCs w:val="18"/>
          <w:lang w:val="ro-RO"/>
        </w:rPr>
      </w:pPr>
    </w:p>
    <w:p w:rsidR="00745004" w:rsidRPr="00FB13CD" w:rsidRDefault="00745004" w:rsidP="00601314">
      <w:pPr>
        <w:numPr>
          <w:ilvl w:val="0"/>
          <w:numId w:val="2"/>
        </w:numPr>
        <w:shd w:val="clear" w:color="auto" w:fill="FFFFFF"/>
        <w:spacing w:after="200" w:line="320" w:lineRule="exact"/>
        <w:contextualSpacing/>
        <w:jc w:val="both"/>
        <w:rPr>
          <w:rFonts w:ascii="Georgia" w:eastAsia="Calibri" w:hAnsi="Georgia" w:cs="Times New Roman"/>
          <w:noProof/>
          <w:sz w:val="20"/>
          <w:szCs w:val="18"/>
          <w:lang w:val="ro-RO"/>
        </w:rPr>
      </w:pPr>
      <w:r w:rsidRPr="00FB13CD">
        <w:rPr>
          <w:rFonts w:ascii="Georgia" w:eastAsia="Calibri" w:hAnsi="Georgia" w:cs="Times New Roman"/>
          <w:b/>
          <w:noProof/>
          <w:sz w:val="20"/>
          <w:szCs w:val="18"/>
          <w:lang w:val="ro-RO"/>
        </w:rPr>
        <w:t>2016:</w:t>
      </w:r>
      <w:r w:rsidRPr="00FB13CD">
        <w:rPr>
          <w:rFonts w:ascii="Georgia" w:eastAsia="Calibri" w:hAnsi="Georgia" w:cs="Times New Roman"/>
          <w:noProof/>
          <w:sz w:val="20"/>
          <w:szCs w:val="18"/>
          <w:lang w:val="ro-RO"/>
        </w:rPr>
        <w:t xml:space="preserve"> Mușat &amp; Asociații a câștigat </w:t>
      </w:r>
      <w:r w:rsidRPr="00FB13CD">
        <w:rPr>
          <w:rFonts w:ascii="Georgia" w:eastAsia="Calibri" w:hAnsi="Georgia" w:cs="Times New Roman"/>
          <w:b/>
          <w:noProof/>
          <w:sz w:val="20"/>
          <w:szCs w:val="18"/>
          <w:lang w:val="ro-RO"/>
        </w:rPr>
        <w:t>premiul pentru cea mai mare tranzacție în domeniul energiei</w:t>
      </w:r>
      <w:r w:rsidRPr="00FB13CD">
        <w:rPr>
          <w:rFonts w:ascii="Georgia" w:eastAsia="Calibri" w:hAnsi="Georgia" w:cs="Times New Roman"/>
          <w:noProof/>
          <w:sz w:val="20"/>
          <w:szCs w:val="18"/>
          <w:lang w:val="ro-RO"/>
        </w:rPr>
        <w:t xml:space="preserve"> pentru asistența acordată Sterling Resources în procesul de vânzare a operațiunilor din România către Carlyle International Energy Partners, precum și premiul pentru cea mai mare tranzacție din HORECA pentru asistarea Premier Capital în achiziționarea McDonald’s în România. Distincțiile au fost oferite de Ziarul Financiar, în cadrul Galei Avocaților 2016, ediția a VII-a.</w:t>
      </w:r>
    </w:p>
    <w:p w:rsidR="00745004" w:rsidRPr="00FB13CD" w:rsidRDefault="00745004" w:rsidP="00601314">
      <w:pPr>
        <w:shd w:val="clear" w:color="auto" w:fill="FFFFFF"/>
        <w:spacing w:after="200" w:line="320" w:lineRule="exact"/>
        <w:ind w:left="720"/>
        <w:contextualSpacing/>
        <w:jc w:val="both"/>
        <w:rPr>
          <w:rFonts w:ascii="Georgia" w:eastAsia="Calibri" w:hAnsi="Georgia" w:cs="Times New Roman"/>
          <w:noProof/>
          <w:sz w:val="20"/>
          <w:szCs w:val="18"/>
          <w:lang w:val="ro-RO"/>
        </w:rPr>
      </w:pPr>
    </w:p>
    <w:p w:rsidR="00745004" w:rsidRPr="00FB13CD" w:rsidRDefault="00745004" w:rsidP="00601314">
      <w:pPr>
        <w:numPr>
          <w:ilvl w:val="0"/>
          <w:numId w:val="2"/>
        </w:numPr>
        <w:shd w:val="clear" w:color="auto" w:fill="FFFFFF"/>
        <w:spacing w:after="200" w:line="320" w:lineRule="exact"/>
        <w:contextualSpacing/>
        <w:jc w:val="both"/>
        <w:rPr>
          <w:rFonts w:ascii="Georgia" w:eastAsia="Calibri" w:hAnsi="Georgia" w:cs="Times New Roman"/>
          <w:noProof/>
          <w:sz w:val="20"/>
          <w:szCs w:val="18"/>
          <w:lang w:val="ro-RO"/>
        </w:rPr>
      </w:pPr>
      <w:r w:rsidRPr="00FB13CD">
        <w:rPr>
          <w:rFonts w:ascii="Georgia" w:eastAsia="Calibri" w:hAnsi="Georgia" w:cs="Times New Roman"/>
          <w:b/>
          <w:noProof/>
          <w:sz w:val="20"/>
          <w:szCs w:val="18"/>
          <w:lang w:val="ro-RO"/>
        </w:rPr>
        <w:t>2015:</w:t>
      </w:r>
      <w:r w:rsidRPr="00FB13CD">
        <w:rPr>
          <w:rFonts w:ascii="Georgia" w:eastAsia="Calibri" w:hAnsi="Georgia" w:cs="Times New Roman"/>
          <w:noProof/>
          <w:sz w:val="20"/>
          <w:szCs w:val="18"/>
          <w:lang w:val="ro-RO"/>
        </w:rPr>
        <w:t xml:space="preserve"> Mușat &amp; Asociații a câștigat premiul </w:t>
      </w:r>
      <w:r w:rsidRPr="00FB13CD">
        <w:rPr>
          <w:rFonts w:ascii="Georgia" w:eastAsia="Calibri" w:hAnsi="Georgia" w:cs="Times New Roman"/>
          <w:b/>
          <w:noProof/>
          <w:sz w:val="20"/>
          <w:szCs w:val="18"/>
          <w:lang w:val="ro-RO"/>
        </w:rPr>
        <w:t>“Firma de avocatură a anului în România”</w:t>
      </w:r>
      <w:r w:rsidRPr="00FB13CD">
        <w:rPr>
          <w:rFonts w:ascii="Georgia" w:eastAsia="Calibri" w:hAnsi="Georgia" w:cs="Times New Roman"/>
          <w:noProof/>
          <w:sz w:val="20"/>
          <w:szCs w:val="18"/>
          <w:lang w:val="ro-RO"/>
        </w:rPr>
        <w:t>, distincție acordată anual de reputata publicație britanică “The Lawyer” firmelor de avocați din Europa care au obținut performante deosebite în anul de referință.</w:t>
      </w:r>
    </w:p>
    <w:p w:rsidR="00745004" w:rsidRPr="00FB13CD" w:rsidRDefault="00745004" w:rsidP="00601314">
      <w:pPr>
        <w:shd w:val="clear" w:color="auto" w:fill="FFFFFF"/>
        <w:spacing w:after="200" w:line="320" w:lineRule="exact"/>
        <w:ind w:left="720"/>
        <w:contextualSpacing/>
        <w:jc w:val="both"/>
        <w:rPr>
          <w:rFonts w:ascii="Georgia" w:eastAsia="Calibri" w:hAnsi="Georgia" w:cs="Times New Roman"/>
          <w:noProof/>
          <w:sz w:val="20"/>
          <w:szCs w:val="18"/>
          <w:lang w:val="ro-RO"/>
        </w:rPr>
      </w:pPr>
    </w:p>
    <w:p w:rsidR="00745004" w:rsidRPr="00FB13CD" w:rsidRDefault="00745004" w:rsidP="00601314">
      <w:pPr>
        <w:numPr>
          <w:ilvl w:val="0"/>
          <w:numId w:val="2"/>
        </w:numPr>
        <w:shd w:val="clear" w:color="auto" w:fill="FFFFFF"/>
        <w:spacing w:after="200" w:line="320" w:lineRule="exact"/>
        <w:contextualSpacing/>
        <w:jc w:val="both"/>
        <w:rPr>
          <w:rFonts w:ascii="Georgia" w:eastAsia="Calibri" w:hAnsi="Georgia" w:cs="Times New Roman"/>
          <w:noProof/>
          <w:sz w:val="20"/>
          <w:szCs w:val="18"/>
          <w:lang w:val="ro-RO"/>
        </w:rPr>
      </w:pPr>
      <w:r w:rsidRPr="00FB13CD">
        <w:rPr>
          <w:rFonts w:ascii="Georgia" w:eastAsia="Calibri" w:hAnsi="Georgia" w:cs="Times New Roman"/>
          <w:b/>
          <w:noProof/>
          <w:sz w:val="20"/>
          <w:szCs w:val="18"/>
          <w:lang w:val="ro-RO"/>
        </w:rPr>
        <w:lastRenderedPageBreak/>
        <w:t>2013:</w:t>
      </w:r>
      <w:r w:rsidRPr="00FB13CD">
        <w:rPr>
          <w:rFonts w:ascii="Georgia" w:eastAsia="Calibri" w:hAnsi="Georgia" w:cs="Times New Roman"/>
          <w:noProof/>
          <w:sz w:val="20"/>
          <w:szCs w:val="18"/>
          <w:lang w:val="ro-RO"/>
        </w:rPr>
        <w:t xml:space="preserve"> Mușat &amp; Asociații a fost desemnată </w:t>
      </w:r>
      <w:r w:rsidRPr="00FB13CD">
        <w:rPr>
          <w:rFonts w:ascii="Georgia" w:eastAsia="Calibri" w:hAnsi="Georgia" w:cs="Times New Roman"/>
          <w:b/>
          <w:noProof/>
          <w:sz w:val="20"/>
          <w:szCs w:val="18"/>
          <w:lang w:val="ro-RO"/>
        </w:rPr>
        <w:t>„Casa de avocatură a anului în România”</w:t>
      </w:r>
      <w:r w:rsidRPr="00FB13CD">
        <w:rPr>
          <w:rFonts w:ascii="Georgia" w:eastAsia="Calibri" w:hAnsi="Georgia" w:cs="Times New Roman"/>
          <w:noProof/>
          <w:sz w:val="20"/>
          <w:szCs w:val="18"/>
          <w:lang w:val="ro-RO"/>
        </w:rPr>
        <w:t xml:space="preserve">, de către International Financial Law Review (IFLR), fiind pentru a doua oară când Mușat &amp; Asociații își adjudecă acest valoros premiu, după distincția primită în 2011, când România a fost inclusă pentru prima dată în lista țărilor nominalizate pentru premiile IFLR. </w:t>
      </w:r>
    </w:p>
    <w:p w:rsidR="00745004" w:rsidRPr="00FB13CD" w:rsidRDefault="00745004" w:rsidP="00601314">
      <w:pPr>
        <w:spacing w:line="320" w:lineRule="exact"/>
        <w:ind w:left="720"/>
        <w:contextualSpacing/>
        <w:rPr>
          <w:rFonts w:ascii="Georgia" w:eastAsia="Calibri" w:hAnsi="Georgia" w:cs="Times New Roman"/>
          <w:noProof/>
          <w:sz w:val="20"/>
          <w:szCs w:val="18"/>
          <w:lang w:val="ro-RO"/>
        </w:rPr>
      </w:pPr>
    </w:p>
    <w:p w:rsidR="00745004" w:rsidRPr="00FB13CD" w:rsidRDefault="00745004" w:rsidP="00601314">
      <w:pPr>
        <w:numPr>
          <w:ilvl w:val="0"/>
          <w:numId w:val="2"/>
        </w:numPr>
        <w:shd w:val="clear" w:color="auto" w:fill="FFFFFF"/>
        <w:spacing w:after="200" w:line="320" w:lineRule="exact"/>
        <w:contextualSpacing/>
        <w:jc w:val="both"/>
        <w:rPr>
          <w:rFonts w:ascii="Georgia" w:eastAsia="Calibri" w:hAnsi="Georgia" w:cs="Times New Roman"/>
          <w:noProof/>
          <w:sz w:val="20"/>
          <w:szCs w:val="18"/>
          <w:lang w:val="ro-RO"/>
        </w:rPr>
      </w:pPr>
      <w:r w:rsidRPr="00FB13CD">
        <w:rPr>
          <w:rFonts w:ascii="Georgia" w:eastAsia="Calibri" w:hAnsi="Georgia" w:cs="Times New Roman"/>
          <w:b/>
          <w:noProof/>
          <w:sz w:val="20"/>
          <w:szCs w:val="18"/>
          <w:lang w:val="ro-RO"/>
        </w:rPr>
        <w:t>2012</w:t>
      </w:r>
      <w:r w:rsidRPr="00FB13CD">
        <w:rPr>
          <w:rFonts w:ascii="Georgia" w:eastAsia="Calibri" w:hAnsi="Georgia" w:cs="Times New Roman"/>
          <w:noProof/>
          <w:sz w:val="20"/>
          <w:szCs w:val="18"/>
          <w:lang w:val="ro-RO"/>
        </w:rPr>
        <w:t xml:space="preserve">: Mușat &amp; Asociații a câștigat premiul </w:t>
      </w:r>
      <w:r w:rsidRPr="00FB13CD">
        <w:rPr>
          <w:rFonts w:ascii="Georgia" w:eastAsia="Calibri" w:hAnsi="Georgia" w:cs="Times New Roman"/>
          <w:b/>
          <w:noProof/>
          <w:sz w:val="20"/>
          <w:szCs w:val="18"/>
          <w:lang w:val="ro-RO"/>
        </w:rPr>
        <w:t xml:space="preserve">Gold Award </w:t>
      </w:r>
      <w:r w:rsidRPr="00FB13CD">
        <w:rPr>
          <w:rFonts w:ascii="Georgia" w:eastAsia="Calibri" w:hAnsi="Georgia" w:cs="Times New Roman"/>
          <w:noProof/>
          <w:sz w:val="20"/>
          <w:szCs w:val="18"/>
          <w:lang w:val="ro-RO"/>
        </w:rPr>
        <w:t xml:space="preserve">la categoria </w:t>
      </w:r>
      <w:r w:rsidRPr="00FB13CD">
        <w:rPr>
          <w:rFonts w:ascii="Georgia" w:eastAsia="Calibri" w:hAnsi="Georgia" w:cs="Times New Roman"/>
          <w:b/>
          <w:noProof/>
          <w:sz w:val="20"/>
          <w:szCs w:val="18"/>
          <w:lang w:val="ro-RO"/>
        </w:rPr>
        <w:t>„Cea mai bună casă de avocatură din Europa Centrală și de Est”</w:t>
      </w:r>
      <w:r w:rsidRPr="00FB13CD">
        <w:rPr>
          <w:rFonts w:ascii="Georgia" w:eastAsia="Calibri" w:hAnsi="Georgia" w:cs="Times New Roman"/>
          <w:noProof/>
          <w:sz w:val="20"/>
          <w:szCs w:val="18"/>
          <w:lang w:val="ro-RO"/>
        </w:rPr>
        <w:t>, distincție acordată de International Legal Alliance Summit &amp; Awards 2012, pentru rezultatele excelente în ceea ce privește evoluția portofoliului de mandate în practica de fuziuni &amp; achiziții și strategia de management adoptată.</w:t>
      </w:r>
    </w:p>
    <w:p w:rsidR="00745004" w:rsidRPr="00FB13CD" w:rsidRDefault="00745004" w:rsidP="00601314">
      <w:pPr>
        <w:spacing w:after="200" w:line="320" w:lineRule="exact"/>
        <w:jc w:val="both"/>
        <w:rPr>
          <w:rFonts w:ascii="Georgia" w:hAnsi="Georgia"/>
          <w:sz w:val="20"/>
          <w:szCs w:val="18"/>
          <w:lang w:val="ro-RO"/>
        </w:rPr>
      </w:pPr>
      <w:r w:rsidRPr="00FB13CD">
        <w:rPr>
          <w:rFonts w:ascii="Georgia" w:hAnsi="Georgia"/>
          <w:sz w:val="20"/>
          <w:szCs w:val="18"/>
          <w:lang w:val="ro-RO"/>
        </w:rPr>
        <w:t>            </w:t>
      </w:r>
    </w:p>
    <w:p w:rsidR="004F11FB" w:rsidRPr="000C22F4" w:rsidRDefault="004F11FB" w:rsidP="00601314">
      <w:pPr>
        <w:spacing w:after="200" w:line="320" w:lineRule="exact"/>
        <w:jc w:val="both"/>
        <w:rPr>
          <w:rFonts w:ascii="Georgia" w:hAnsi="Georgia"/>
          <w:sz w:val="20"/>
          <w:szCs w:val="20"/>
          <w:lang w:val="en-GB"/>
        </w:rPr>
      </w:pPr>
    </w:p>
    <w:sectPr w:rsidR="004F11FB" w:rsidRPr="000C22F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96F" w:rsidRDefault="003F096F">
      <w:pPr>
        <w:spacing w:after="0" w:line="240" w:lineRule="auto"/>
      </w:pPr>
      <w:r>
        <w:separator/>
      </w:r>
    </w:p>
  </w:endnote>
  <w:endnote w:type="continuationSeparator" w:id="0">
    <w:p w:rsidR="003F096F" w:rsidRDefault="003F0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96F" w:rsidRDefault="003F096F">
      <w:pPr>
        <w:spacing w:after="0" w:line="240" w:lineRule="auto"/>
      </w:pPr>
      <w:r>
        <w:separator/>
      </w:r>
    </w:p>
  </w:footnote>
  <w:footnote w:type="continuationSeparator" w:id="0">
    <w:p w:rsidR="003F096F" w:rsidRDefault="003F09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480" w:rsidRPr="009255F4" w:rsidRDefault="000C2480" w:rsidP="000C2480">
    <w:pPr>
      <w:pStyle w:val="Header"/>
      <w:jc w:val="center"/>
      <w:rPr>
        <w:rFonts w:ascii="Georgia" w:hAnsi="Georgia"/>
        <w:lang w:val="ro-RO"/>
      </w:rPr>
    </w:pPr>
    <w:r w:rsidRPr="009255F4">
      <w:rPr>
        <w:rFonts w:ascii="Georgia" w:hAnsi="Georgia"/>
        <w:noProof/>
      </w:rPr>
      <w:drawing>
        <wp:inline distT="0" distB="0" distL="0" distR="0" wp14:anchorId="75670B84" wp14:editId="0D31BCAB">
          <wp:extent cx="2638425" cy="5238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8425" cy="523875"/>
                  </a:xfrm>
                  <a:prstGeom prst="rect">
                    <a:avLst/>
                  </a:prstGeom>
                  <a:noFill/>
                  <a:ln>
                    <a:noFill/>
                  </a:ln>
                </pic:spPr>
              </pic:pic>
            </a:graphicData>
          </a:graphic>
        </wp:inline>
      </w:drawing>
    </w:r>
  </w:p>
  <w:p w:rsidR="000C2480" w:rsidRPr="009255F4" w:rsidRDefault="000C2480" w:rsidP="000C2480">
    <w:pPr>
      <w:pStyle w:val="Header"/>
      <w:jc w:val="center"/>
      <w:rPr>
        <w:rFonts w:ascii="Georgia" w:hAnsi="Georgia"/>
        <w:lang w:val="ro-RO"/>
      </w:rPr>
    </w:pPr>
  </w:p>
  <w:p w:rsidR="000C2480" w:rsidRPr="009255F4" w:rsidRDefault="000C2480" w:rsidP="000C2480">
    <w:pPr>
      <w:pStyle w:val="Header"/>
      <w:jc w:val="center"/>
      <w:rPr>
        <w:rFonts w:ascii="Georgia" w:hAnsi="Georgia"/>
        <w:sz w:val="18"/>
        <w:lang w:val="ro-RO"/>
      </w:rPr>
    </w:pPr>
    <w:r w:rsidRPr="009255F4">
      <w:rPr>
        <w:rFonts w:ascii="Georgia" w:hAnsi="Georgia"/>
        <w:sz w:val="18"/>
        <w:lang w:val="ro-RO"/>
      </w:rPr>
      <w:t>B-dul Aviatorilor, nr. 43, sector 1, cod 011853, Bucure</w:t>
    </w:r>
    <w:r>
      <w:rPr>
        <w:rFonts w:ascii="Georgia" w:hAnsi="Georgia"/>
        <w:sz w:val="18"/>
        <w:lang w:val="ro-RO"/>
      </w:rPr>
      <w:t>ști, ROMÂ</w:t>
    </w:r>
    <w:r w:rsidRPr="009255F4">
      <w:rPr>
        <w:rFonts w:ascii="Georgia" w:hAnsi="Georgia"/>
        <w:sz w:val="18"/>
        <w:lang w:val="ro-RO"/>
      </w:rPr>
      <w:t>NIA</w:t>
    </w:r>
  </w:p>
  <w:p w:rsidR="000C2480" w:rsidRPr="00DC3721" w:rsidRDefault="000C2480" w:rsidP="000C2480">
    <w:pPr>
      <w:pStyle w:val="Header"/>
      <w:pBdr>
        <w:bottom w:val="single" w:sz="4" w:space="1" w:color="auto"/>
      </w:pBdr>
      <w:jc w:val="center"/>
      <w:rPr>
        <w:rFonts w:ascii="Georgia" w:hAnsi="Georgia"/>
        <w:sz w:val="18"/>
      </w:rPr>
    </w:pPr>
    <w:r w:rsidRPr="009255F4">
      <w:rPr>
        <w:rFonts w:ascii="Georgia" w:hAnsi="Georgia"/>
        <w:sz w:val="18"/>
        <w:lang w:val="ro-RO"/>
      </w:rPr>
      <w:t xml:space="preserve">Tel: (40-21) 202 5900; Fax: (40-21) 223 3957; 223 0495; E-mail: </w:t>
    </w:r>
    <w:hyperlink r:id="rId2" w:history="1">
      <w:r w:rsidRPr="009255F4">
        <w:rPr>
          <w:rStyle w:val="Hyperlink"/>
          <w:rFonts w:ascii="Georgia" w:hAnsi="Georgia"/>
          <w:sz w:val="18"/>
          <w:lang w:val="ro-RO"/>
        </w:rPr>
        <w:t>general@musat.ro</w:t>
      </w:r>
    </w:hyperlink>
    <w:r w:rsidRPr="009255F4">
      <w:rPr>
        <w:rFonts w:ascii="Georgia" w:hAnsi="Georgia"/>
        <w:sz w:val="18"/>
        <w:lang w:val="ro-RO"/>
      </w:rPr>
      <w:t xml:space="preserve">; Website: </w:t>
    </w:r>
    <w:hyperlink r:id="rId3" w:history="1">
      <w:r w:rsidRPr="009255F4">
        <w:rPr>
          <w:rStyle w:val="Hyperlink"/>
          <w:rFonts w:ascii="Georgia" w:hAnsi="Georgia"/>
          <w:sz w:val="18"/>
          <w:lang w:val="ro-RO"/>
        </w:rPr>
        <w:t>www.musat.ro</w:t>
      </w:r>
    </w:hyperlink>
    <w:r w:rsidRPr="00DC3721">
      <w:rPr>
        <w:rFonts w:ascii="Georgia" w:hAnsi="Georgia"/>
        <w:sz w:val="18"/>
      </w:rPr>
      <w:t xml:space="preserve"> </w:t>
    </w:r>
  </w:p>
  <w:p w:rsidR="000C2480" w:rsidRPr="00DC3721" w:rsidRDefault="000C2480" w:rsidP="000C2480">
    <w:pPr>
      <w:pStyle w:val="Header"/>
      <w:pBdr>
        <w:bottom w:val="single" w:sz="4" w:space="1" w:color="auto"/>
      </w:pBdr>
      <w:jc w:val="center"/>
      <w:rPr>
        <w:rFonts w:ascii="Georgia" w:hAnsi="Georgia"/>
        <w:sz w:val="18"/>
      </w:rPr>
    </w:pPr>
  </w:p>
  <w:p w:rsidR="000C2480" w:rsidRDefault="000C2480" w:rsidP="000C2480">
    <w:pPr>
      <w:pStyle w:val="Header"/>
    </w:pPr>
  </w:p>
  <w:p w:rsidR="000C2480" w:rsidRPr="00F157F7" w:rsidRDefault="000C2480" w:rsidP="000C2480">
    <w:pPr>
      <w:pStyle w:val="Header"/>
    </w:pPr>
  </w:p>
  <w:p w:rsidR="004C7F6F" w:rsidRPr="000C2480" w:rsidRDefault="004C7F6F" w:rsidP="000C24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A911EA"/>
    <w:multiLevelType w:val="hybridMultilevel"/>
    <w:tmpl w:val="01E062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449E9"/>
    <w:multiLevelType w:val="hybridMultilevel"/>
    <w:tmpl w:val="8CEE0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971CC1"/>
    <w:multiLevelType w:val="hybridMultilevel"/>
    <w:tmpl w:val="B5F86A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4947C9"/>
    <w:multiLevelType w:val="hybridMultilevel"/>
    <w:tmpl w:val="55B69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58D"/>
    <w:rsid w:val="000130B6"/>
    <w:rsid w:val="0001615D"/>
    <w:rsid w:val="00036741"/>
    <w:rsid w:val="00065A19"/>
    <w:rsid w:val="00073349"/>
    <w:rsid w:val="000C22F4"/>
    <w:rsid w:val="000C2480"/>
    <w:rsid w:val="000E11D2"/>
    <w:rsid w:val="00101AAD"/>
    <w:rsid w:val="001214CD"/>
    <w:rsid w:val="00145275"/>
    <w:rsid w:val="0016212F"/>
    <w:rsid w:val="00176D11"/>
    <w:rsid w:val="001971D5"/>
    <w:rsid w:val="001B28E4"/>
    <w:rsid w:val="001B66F5"/>
    <w:rsid w:val="001B7C9E"/>
    <w:rsid w:val="001C766A"/>
    <w:rsid w:val="002B6F6D"/>
    <w:rsid w:val="002B78A1"/>
    <w:rsid w:val="002C506B"/>
    <w:rsid w:val="002D2B53"/>
    <w:rsid w:val="002E267D"/>
    <w:rsid w:val="002E5924"/>
    <w:rsid w:val="002E6B75"/>
    <w:rsid w:val="00302EE6"/>
    <w:rsid w:val="00305C57"/>
    <w:rsid w:val="00326711"/>
    <w:rsid w:val="00353B77"/>
    <w:rsid w:val="003A7930"/>
    <w:rsid w:val="003B23C3"/>
    <w:rsid w:val="003D1DE2"/>
    <w:rsid w:val="003D481E"/>
    <w:rsid w:val="003D658F"/>
    <w:rsid w:val="003F096F"/>
    <w:rsid w:val="00404D1C"/>
    <w:rsid w:val="004454A0"/>
    <w:rsid w:val="004A30FE"/>
    <w:rsid w:val="004B0F36"/>
    <w:rsid w:val="004C5BF6"/>
    <w:rsid w:val="004C7F6F"/>
    <w:rsid w:val="004E4ACB"/>
    <w:rsid w:val="004F11FB"/>
    <w:rsid w:val="0051335E"/>
    <w:rsid w:val="0054315E"/>
    <w:rsid w:val="00581B7C"/>
    <w:rsid w:val="005A55AB"/>
    <w:rsid w:val="005B4405"/>
    <w:rsid w:val="005C50EB"/>
    <w:rsid w:val="005D773D"/>
    <w:rsid w:val="005E6C44"/>
    <w:rsid w:val="00600671"/>
    <w:rsid w:val="00601314"/>
    <w:rsid w:val="006A4BEE"/>
    <w:rsid w:val="006A7799"/>
    <w:rsid w:val="006B027F"/>
    <w:rsid w:val="006B6602"/>
    <w:rsid w:val="006C74F1"/>
    <w:rsid w:val="006D002C"/>
    <w:rsid w:val="006E3BE1"/>
    <w:rsid w:val="007257AB"/>
    <w:rsid w:val="00745004"/>
    <w:rsid w:val="00766096"/>
    <w:rsid w:val="00785443"/>
    <w:rsid w:val="00791D5E"/>
    <w:rsid w:val="007951F4"/>
    <w:rsid w:val="007966F6"/>
    <w:rsid w:val="007D60B4"/>
    <w:rsid w:val="007E1E50"/>
    <w:rsid w:val="007E2231"/>
    <w:rsid w:val="007E7EB8"/>
    <w:rsid w:val="008134A1"/>
    <w:rsid w:val="00830AAF"/>
    <w:rsid w:val="008470DD"/>
    <w:rsid w:val="008743A9"/>
    <w:rsid w:val="0088353C"/>
    <w:rsid w:val="008A5ADE"/>
    <w:rsid w:val="008C6357"/>
    <w:rsid w:val="008E5770"/>
    <w:rsid w:val="008F6FD8"/>
    <w:rsid w:val="009127F6"/>
    <w:rsid w:val="009312D5"/>
    <w:rsid w:val="0095547C"/>
    <w:rsid w:val="00972C36"/>
    <w:rsid w:val="009A6B8C"/>
    <w:rsid w:val="009B5379"/>
    <w:rsid w:val="009D4DD4"/>
    <w:rsid w:val="009D58B1"/>
    <w:rsid w:val="009F7B16"/>
    <w:rsid w:val="00A265BA"/>
    <w:rsid w:val="00A36254"/>
    <w:rsid w:val="00A46A74"/>
    <w:rsid w:val="00A5768D"/>
    <w:rsid w:val="00A72220"/>
    <w:rsid w:val="00A864FD"/>
    <w:rsid w:val="00A90003"/>
    <w:rsid w:val="00AA3E2C"/>
    <w:rsid w:val="00AB693A"/>
    <w:rsid w:val="00AC74E9"/>
    <w:rsid w:val="00B31C72"/>
    <w:rsid w:val="00B56458"/>
    <w:rsid w:val="00B6045C"/>
    <w:rsid w:val="00BF7D71"/>
    <w:rsid w:val="00C0335A"/>
    <w:rsid w:val="00C07DFB"/>
    <w:rsid w:val="00C2308C"/>
    <w:rsid w:val="00D063A2"/>
    <w:rsid w:val="00D53DA8"/>
    <w:rsid w:val="00D54CBD"/>
    <w:rsid w:val="00D8027C"/>
    <w:rsid w:val="00D84120"/>
    <w:rsid w:val="00D92CA5"/>
    <w:rsid w:val="00DA1CFB"/>
    <w:rsid w:val="00DA662A"/>
    <w:rsid w:val="00DC32D1"/>
    <w:rsid w:val="00DD6699"/>
    <w:rsid w:val="00DD70BA"/>
    <w:rsid w:val="00DE058D"/>
    <w:rsid w:val="00DE31E9"/>
    <w:rsid w:val="00DE6E4A"/>
    <w:rsid w:val="00DE6F34"/>
    <w:rsid w:val="00E4627B"/>
    <w:rsid w:val="00E61ACC"/>
    <w:rsid w:val="00E6570A"/>
    <w:rsid w:val="00E6753C"/>
    <w:rsid w:val="00EB18C9"/>
    <w:rsid w:val="00ED4DBA"/>
    <w:rsid w:val="00F0572C"/>
    <w:rsid w:val="00F076F9"/>
    <w:rsid w:val="00F15D2E"/>
    <w:rsid w:val="00F273FB"/>
    <w:rsid w:val="00F51BD4"/>
    <w:rsid w:val="00F611B9"/>
    <w:rsid w:val="00F67AEA"/>
    <w:rsid w:val="00F80D7C"/>
    <w:rsid w:val="00F95EC6"/>
    <w:rsid w:val="00FB13CD"/>
    <w:rsid w:val="00FE043C"/>
    <w:rsid w:val="00FF50EA"/>
    <w:rsid w:val="00FF5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A0F99-0F57-4B7F-8502-6263D37D4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C2308C"/>
    <w:rPr>
      <w:color w:val="0000FF"/>
      <w:u w:val="single"/>
    </w:rPr>
  </w:style>
  <w:style w:type="paragraph" w:styleId="NormalWeb">
    <w:name w:val="Normal (Web)"/>
    <w:basedOn w:val="Normal"/>
    <w:uiPriority w:val="99"/>
    <w:unhideWhenUsed/>
    <w:rsid w:val="00C2308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nhideWhenUsed/>
    <w:rsid w:val="00C2308C"/>
    <w:pPr>
      <w:tabs>
        <w:tab w:val="center" w:pos="4680"/>
        <w:tab w:val="right" w:pos="9360"/>
      </w:tabs>
      <w:spacing w:after="0" w:line="240" w:lineRule="auto"/>
    </w:pPr>
  </w:style>
  <w:style w:type="character" w:customStyle="1" w:styleId="HeaderChar">
    <w:name w:val="Header Char"/>
    <w:basedOn w:val="DefaultParagraphFont"/>
    <w:link w:val="Header"/>
    <w:rsid w:val="00C2308C"/>
  </w:style>
  <w:style w:type="paragraph" w:styleId="PlainText">
    <w:name w:val="Plain Text"/>
    <w:basedOn w:val="Normal"/>
    <w:link w:val="PlainTextChar"/>
    <w:uiPriority w:val="99"/>
    <w:unhideWhenUsed/>
    <w:rsid w:val="00C2308C"/>
    <w:pPr>
      <w:spacing w:after="0" w:line="240" w:lineRule="auto"/>
    </w:pPr>
    <w:rPr>
      <w:rFonts w:ascii="Georgia" w:hAnsi="Georgia"/>
      <w:szCs w:val="21"/>
    </w:rPr>
  </w:style>
  <w:style w:type="character" w:customStyle="1" w:styleId="PlainTextChar">
    <w:name w:val="Plain Text Char"/>
    <w:basedOn w:val="DefaultParagraphFont"/>
    <w:link w:val="PlainText"/>
    <w:uiPriority w:val="99"/>
    <w:rsid w:val="00C2308C"/>
    <w:rPr>
      <w:rFonts w:ascii="Georgia" w:hAnsi="Georgia"/>
      <w:szCs w:val="21"/>
    </w:rPr>
  </w:style>
  <w:style w:type="character" w:styleId="Strong">
    <w:name w:val="Strong"/>
    <w:basedOn w:val="DefaultParagraphFont"/>
    <w:uiPriority w:val="22"/>
    <w:qFormat/>
    <w:rsid w:val="006D002C"/>
    <w:rPr>
      <w:b/>
      <w:bCs/>
    </w:rPr>
  </w:style>
  <w:style w:type="paragraph" w:styleId="Footer">
    <w:name w:val="footer"/>
    <w:basedOn w:val="Normal"/>
    <w:link w:val="FooterChar"/>
    <w:uiPriority w:val="99"/>
    <w:unhideWhenUsed/>
    <w:rsid w:val="006A77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799"/>
  </w:style>
  <w:style w:type="paragraph" w:styleId="ListParagraph">
    <w:name w:val="List Paragraph"/>
    <w:basedOn w:val="Normal"/>
    <w:uiPriority w:val="34"/>
    <w:qFormat/>
    <w:rsid w:val="008134A1"/>
    <w:pPr>
      <w:ind w:left="720"/>
      <w:contextualSpacing/>
    </w:pPr>
  </w:style>
  <w:style w:type="paragraph" w:styleId="BodyText3">
    <w:name w:val="Body Text 3"/>
    <w:basedOn w:val="Normal"/>
    <w:link w:val="BodyText3Char"/>
    <w:uiPriority w:val="99"/>
    <w:semiHidden/>
    <w:unhideWhenUsed/>
    <w:rsid w:val="0051335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semiHidden/>
    <w:rsid w:val="0051335E"/>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B60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71649">
      <w:bodyDiv w:val="1"/>
      <w:marLeft w:val="0"/>
      <w:marRight w:val="0"/>
      <w:marTop w:val="0"/>
      <w:marBottom w:val="0"/>
      <w:divBdr>
        <w:top w:val="none" w:sz="0" w:space="0" w:color="auto"/>
        <w:left w:val="none" w:sz="0" w:space="0" w:color="auto"/>
        <w:bottom w:val="none" w:sz="0" w:space="0" w:color="auto"/>
        <w:right w:val="none" w:sz="0" w:space="0" w:color="auto"/>
      </w:divBdr>
    </w:div>
    <w:div w:id="134690352">
      <w:bodyDiv w:val="1"/>
      <w:marLeft w:val="0"/>
      <w:marRight w:val="0"/>
      <w:marTop w:val="0"/>
      <w:marBottom w:val="0"/>
      <w:divBdr>
        <w:top w:val="none" w:sz="0" w:space="0" w:color="auto"/>
        <w:left w:val="none" w:sz="0" w:space="0" w:color="auto"/>
        <w:bottom w:val="none" w:sz="0" w:space="0" w:color="auto"/>
        <w:right w:val="none" w:sz="0" w:space="0" w:color="auto"/>
      </w:divBdr>
    </w:div>
    <w:div w:id="440224079">
      <w:bodyDiv w:val="1"/>
      <w:marLeft w:val="0"/>
      <w:marRight w:val="0"/>
      <w:marTop w:val="0"/>
      <w:marBottom w:val="0"/>
      <w:divBdr>
        <w:top w:val="none" w:sz="0" w:space="0" w:color="auto"/>
        <w:left w:val="none" w:sz="0" w:space="0" w:color="auto"/>
        <w:bottom w:val="none" w:sz="0" w:space="0" w:color="auto"/>
        <w:right w:val="none" w:sz="0" w:space="0" w:color="auto"/>
      </w:divBdr>
      <w:divsChild>
        <w:div w:id="477234011">
          <w:marLeft w:val="0"/>
          <w:marRight w:val="0"/>
          <w:marTop w:val="0"/>
          <w:marBottom w:val="0"/>
          <w:divBdr>
            <w:top w:val="none" w:sz="0" w:space="0" w:color="auto"/>
            <w:left w:val="none" w:sz="0" w:space="0" w:color="auto"/>
            <w:bottom w:val="none" w:sz="0" w:space="0" w:color="auto"/>
            <w:right w:val="none" w:sz="0" w:space="0" w:color="auto"/>
          </w:divBdr>
          <w:divsChild>
            <w:div w:id="879320310">
              <w:marLeft w:val="0"/>
              <w:marRight w:val="0"/>
              <w:marTop w:val="0"/>
              <w:marBottom w:val="0"/>
              <w:divBdr>
                <w:top w:val="none" w:sz="0" w:space="0" w:color="auto"/>
                <w:left w:val="none" w:sz="0" w:space="0" w:color="auto"/>
                <w:bottom w:val="none" w:sz="0" w:space="0" w:color="auto"/>
                <w:right w:val="none" w:sz="0" w:space="0" w:color="auto"/>
              </w:divBdr>
            </w:div>
            <w:div w:id="1944651690">
              <w:marLeft w:val="0"/>
              <w:marRight w:val="0"/>
              <w:marTop w:val="0"/>
              <w:marBottom w:val="0"/>
              <w:divBdr>
                <w:top w:val="none" w:sz="0" w:space="0" w:color="auto"/>
                <w:left w:val="none" w:sz="0" w:space="0" w:color="auto"/>
                <w:bottom w:val="none" w:sz="0" w:space="0" w:color="auto"/>
                <w:right w:val="none" w:sz="0" w:space="0" w:color="auto"/>
              </w:divBdr>
            </w:div>
          </w:divsChild>
        </w:div>
        <w:div w:id="97796205">
          <w:marLeft w:val="0"/>
          <w:marRight w:val="0"/>
          <w:marTop w:val="0"/>
          <w:marBottom w:val="0"/>
          <w:divBdr>
            <w:top w:val="none" w:sz="0" w:space="0" w:color="auto"/>
            <w:left w:val="none" w:sz="0" w:space="0" w:color="auto"/>
            <w:bottom w:val="none" w:sz="0" w:space="0" w:color="auto"/>
            <w:right w:val="none" w:sz="0" w:space="0" w:color="auto"/>
          </w:divBdr>
          <w:divsChild>
            <w:div w:id="1863591425">
              <w:marLeft w:val="0"/>
              <w:marRight w:val="0"/>
              <w:marTop w:val="0"/>
              <w:marBottom w:val="0"/>
              <w:divBdr>
                <w:top w:val="none" w:sz="0" w:space="0" w:color="auto"/>
                <w:left w:val="none" w:sz="0" w:space="0" w:color="auto"/>
                <w:bottom w:val="none" w:sz="0" w:space="0" w:color="auto"/>
                <w:right w:val="none" w:sz="0" w:space="0" w:color="auto"/>
              </w:divBdr>
              <w:divsChild>
                <w:div w:id="13925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86668">
      <w:bodyDiv w:val="1"/>
      <w:marLeft w:val="0"/>
      <w:marRight w:val="0"/>
      <w:marTop w:val="0"/>
      <w:marBottom w:val="0"/>
      <w:divBdr>
        <w:top w:val="none" w:sz="0" w:space="0" w:color="auto"/>
        <w:left w:val="none" w:sz="0" w:space="0" w:color="auto"/>
        <w:bottom w:val="none" w:sz="0" w:space="0" w:color="auto"/>
        <w:right w:val="none" w:sz="0" w:space="0" w:color="auto"/>
      </w:divBdr>
    </w:div>
    <w:div w:id="818229271">
      <w:bodyDiv w:val="1"/>
      <w:marLeft w:val="0"/>
      <w:marRight w:val="0"/>
      <w:marTop w:val="0"/>
      <w:marBottom w:val="0"/>
      <w:divBdr>
        <w:top w:val="none" w:sz="0" w:space="0" w:color="auto"/>
        <w:left w:val="none" w:sz="0" w:space="0" w:color="auto"/>
        <w:bottom w:val="none" w:sz="0" w:space="0" w:color="auto"/>
        <w:right w:val="none" w:sz="0" w:space="0" w:color="auto"/>
      </w:divBdr>
    </w:div>
    <w:div w:id="852573460">
      <w:bodyDiv w:val="1"/>
      <w:marLeft w:val="0"/>
      <w:marRight w:val="0"/>
      <w:marTop w:val="0"/>
      <w:marBottom w:val="0"/>
      <w:divBdr>
        <w:top w:val="none" w:sz="0" w:space="0" w:color="auto"/>
        <w:left w:val="none" w:sz="0" w:space="0" w:color="auto"/>
        <w:bottom w:val="none" w:sz="0" w:space="0" w:color="auto"/>
        <w:right w:val="none" w:sz="0" w:space="0" w:color="auto"/>
      </w:divBdr>
    </w:div>
    <w:div w:id="1021903153">
      <w:bodyDiv w:val="1"/>
      <w:marLeft w:val="0"/>
      <w:marRight w:val="0"/>
      <w:marTop w:val="0"/>
      <w:marBottom w:val="0"/>
      <w:divBdr>
        <w:top w:val="none" w:sz="0" w:space="0" w:color="auto"/>
        <w:left w:val="none" w:sz="0" w:space="0" w:color="auto"/>
        <w:bottom w:val="none" w:sz="0" w:space="0" w:color="auto"/>
        <w:right w:val="none" w:sz="0" w:space="0" w:color="auto"/>
      </w:divBdr>
    </w:div>
    <w:div w:id="1136794159">
      <w:bodyDiv w:val="1"/>
      <w:marLeft w:val="0"/>
      <w:marRight w:val="0"/>
      <w:marTop w:val="0"/>
      <w:marBottom w:val="0"/>
      <w:divBdr>
        <w:top w:val="none" w:sz="0" w:space="0" w:color="auto"/>
        <w:left w:val="none" w:sz="0" w:space="0" w:color="auto"/>
        <w:bottom w:val="none" w:sz="0" w:space="0" w:color="auto"/>
        <w:right w:val="none" w:sz="0" w:space="0" w:color="auto"/>
      </w:divBdr>
    </w:div>
    <w:div w:id="1259948173">
      <w:bodyDiv w:val="1"/>
      <w:marLeft w:val="0"/>
      <w:marRight w:val="0"/>
      <w:marTop w:val="0"/>
      <w:marBottom w:val="0"/>
      <w:divBdr>
        <w:top w:val="none" w:sz="0" w:space="0" w:color="auto"/>
        <w:left w:val="none" w:sz="0" w:space="0" w:color="auto"/>
        <w:bottom w:val="none" w:sz="0" w:space="0" w:color="auto"/>
        <w:right w:val="none" w:sz="0" w:space="0" w:color="auto"/>
      </w:divBdr>
    </w:div>
    <w:div w:id="1691445966">
      <w:bodyDiv w:val="1"/>
      <w:marLeft w:val="0"/>
      <w:marRight w:val="0"/>
      <w:marTop w:val="0"/>
      <w:marBottom w:val="0"/>
      <w:divBdr>
        <w:top w:val="none" w:sz="0" w:space="0" w:color="auto"/>
        <w:left w:val="none" w:sz="0" w:space="0" w:color="auto"/>
        <w:bottom w:val="none" w:sz="0" w:space="0" w:color="auto"/>
        <w:right w:val="none" w:sz="0" w:space="0" w:color="auto"/>
      </w:divBdr>
    </w:div>
    <w:div w:id="1775249385">
      <w:bodyDiv w:val="1"/>
      <w:marLeft w:val="0"/>
      <w:marRight w:val="0"/>
      <w:marTop w:val="0"/>
      <w:marBottom w:val="0"/>
      <w:divBdr>
        <w:top w:val="none" w:sz="0" w:space="0" w:color="auto"/>
        <w:left w:val="none" w:sz="0" w:space="0" w:color="auto"/>
        <w:bottom w:val="none" w:sz="0" w:space="0" w:color="auto"/>
        <w:right w:val="none" w:sz="0" w:space="0" w:color="auto"/>
      </w:divBdr>
    </w:div>
    <w:div w:id="1880581157">
      <w:bodyDiv w:val="1"/>
      <w:marLeft w:val="0"/>
      <w:marRight w:val="0"/>
      <w:marTop w:val="0"/>
      <w:marBottom w:val="0"/>
      <w:divBdr>
        <w:top w:val="none" w:sz="0" w:space="0" w:color="auto"/>
        <w:left w:val="none" w:sz="0" w:space="0" w:color="auto"/>
        <w:bottom w:val="none" w:sz="0" w:space="0" w:color="auto"/>
        <w:right w:val="none" w:sz="0" w:space="0" w:color="auto"/>
      </w:divBdr>
    </w:div>
    <w:div w:id="198142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musat.ro" TargetMode="External"/><Relationship Id="rId2" Type="http://schemas.openxmlformats.org/officeDocument/2006/relationships/hyperlink" Target="mailto:general@musat.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A6809-0912-45F6-84B0-576834B1B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2878</Words>
  <Characters>16409</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2023-08-21T09:20:00Z</dcterms:created>
  <dcterms:modified xsi:type="dcterms:W3CDTF">2023-08-21T09:21:00Z</dcterms:modified>
</cp:coreProperties>
</file>