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1038" w14:textId="77777777" w:rsidR="003F50DD" w:rsidRPr="00D406CB" w:rsidRDefault="003F50DD" w:rsidP="003F50DD">
      <w:pPr>
        <w:pageBreakBefore/>
        <w:spacing w:after="140" w:line="280" w:lineRule="exact"/>
        <w:jc w:val="both"/>
        <w:rPr>
          <w:rFonts w:ascii="Georgia" w:hAnsi="Georgia"/>
          <w:sz w:val="20"/>
          <w:szCs w:val="20"/>
          <w:lang w:val="ro-RO"/>
        </w:rPr>
      </w:pPr>
    </w:p>
    <w:p w14:paraId="0D9900C3" w14:textId="77777777" w:rsidR="003F50DD" w:rsidRDefault="003F50DD" w:rsidP="003F50DD">
      <w:pPr>
        <w:spacing w:after="140" w:line="280" w:lineRule="exact"/>
        <w:jc w:val="both"/>
        <w:rPr>
          <w:rFonts w:ascii="Georgia" w:hAnsi="Georgia"/>
          <w:b/>
          <w:bCs/>
          <w:sz w:val="28"/>
          <w:szCs w:val="28"/>
          <w:lang w:val="ro-RO"/>
        </w:rPr>
      </w:pPr>
      <w:r w:rsidRPr="003F50DD">
        <w:rPr>
          <w:rFonts w:ascii="Georgia" w:eastAsia="Arial" w:hAnsi="Georgia" w:cs="Arial"/>
          <w:b/>
          <w:bCs/>
          <w:color w:val="252525"/>
          <w:sz w:val="28"/>
          <w:szCs w:val="28"/>
          <w:lang w:val="ro-RO"/>
        </w:rPr>
        <w:t>Noi modificări în domeniul construcțiilor, urbanismului și contenciosului administrativ</w:t>
      </w:r>
    </w:p>
    <w:p w14:paraId="67AD7058" w14:textId="53D009CA" w:rsidR="003F50DD" w:rsidRPr="003F50DD" w:rsidRDefault="003F50DD" w:rsidP="003F50DD">
      <w:pPr>
        <w:spacing w:after="140" w:line="280" w:lineRule="exact"/>
        <w:jc w:val="both"/>
        <w:rPr>
          <w:rFonts w:ascii="Georgia" w:hAnsi="Georgia"/>
          <w:b/>
          <w:bCs/>
          <w:sz w:val="28"/>
          <w:szCs w:val="28"/>
          <w:lang w:val="ro-RO"/>
        </w:rPr>
      </w:pPr>
      <w:r>
        <w:rPr>
          <w:rFonts w:ascii="Georgia" w:eastAsia="Arial" w:hAnsi="Georgia" w:cs="Arial"/>
          <w:i/>
          <w:iCs/>
          <w:color w:val="252525"/>
          <w:sz w:val="20"/>
          <w:szCs w:val="20"/>
          <w:lang w:val="ro-RO"/>
        </w:rPr>
        <w:t>Autori</w:t>
      </w:r>
      <w:r>
        <w:rPr>
          <w:rFonts w:ascii="Georgia" w:eastAsia="Arial" w:hAnsi="Georgia" w:cs="Arial"/>
          <w:i/>
          <w:iCs/>
          <w:color w:val="252525"/>
          <w:sz w:val="20"/>
          <w:szCs w:val="20"/>
        </w:rPr>
        <w:t>:</w:t>
      </w:r>
      <w:r w:rsidRPr="00D406CB">
        <w:rPr>
          <w:rFonts w:ascii="Georgia" w:eastAsia="Arial" w:hAnsi="Georgia" w:cs="Arial"/>
          <w:i/>
          <w:iCs/>
          <w:color w:val="252525"/>
          <w:sz w:val="20"/>
          <w:szCs w:val="20"/>
          <w:lang w:val="ro-RO"/>
        </w:rPr>
        <w:t xml:space="preserve"> Irina Suătean</w:t>
      </w:r>
      <w:r>
        <w:rPr>
          <w:rFonts w:ascii="Georgia" w:eastAsia="Arial" w:hAnsi="Georgia" w:cs="Arial"/>
          <w:i/>
          <w:iCs/>
          <w:color w:val="252525"/>
          <w:sz w:val="20"/>
          <w:szCs w:val="20"/>
          <w:lang w:val="ro-RO"/>
        </w:rPr>
        <w:t xml:space="preserve"> (s</w:t>
      </w:r>
      <w:r w:rsidRPr="00D406CB">
        <w:rPr>
          <w:rFonts w:ascii="Georgia" w:eastAsia="Arial" w:hAnsi="Georgia" w:cs="Arial"/>
          <w:i/>
          <w:iCs/>
          <w:color w:val="252525"/>
          <w:sz w:val="20"/>
          <w:szCs w:val="20"/>
          <w:lang w:val="ro-RO"/>
        </w:rPr>
        <w:t xml:space="preserve">enior </w:t>
      </w:r>
      <w:r>
        <w:rPr>
          <w:rFonts w:ascii="Georgia" w:eastAsia="Arial" w:hAnsi="Georgia" w:cs="Arial"/>
          <w:i/>
          <w:iCs/>
          <w:color w:val="252525"/>
          <w:sz w:val="20"/>
          <w:szCs w:val="20"/>
          <w:lang w:val="ro-RO"/>
        </w:rPr>
        <w:t>a</w:t>
      </w:r>
      <w:r w:rsidRPr="00D406CB">
        <w:rPr>
          <w:rFonts w:ascii="Georgia" w:eastAsia="Arial" w:hAnsi="Georgia" w:cs="Arial"/>
          <w:i/>
          <w:iCs/>
          <w:color w:val="252525"/>
          <w:sz w:val="20"/>
          <w:szCs w:val="20"/>
          <w:lang w:val="ro-RO"/>
        </w:rPr>
        <w:t>ssociate</w:t>
      </w:r>
      <w:r>
        <w:rPr>
          <w:rFonts w:ascii="Georgia" w:eastAsia="Arial" w:hAnsi="Georgia" w:cs="Arial"/>
          <w:i/>
          <w:iCs/>
          <w:color w:val="252525"/>
          <w:sz w:val="20"/>
          <w:szCs w:val="20"/>
          <w:lang w:val="ro-RO"/>
        </w:rPr>
        <w:t>)</w:t>
      </w:r>
      <w:r w:rsidRPr="00D406CB">
        <w:rPr>
          <w:rFonts w:ascii="Georgia" w:eastAsia="Arial" w:hAnsi="Georgia" w:cs="Arial"/>
          <w:i/>
          <w:iCs/>
          <w:color w:val="252525"/>
          <w:sz w:val="20"/>
          <w:szCs w:val="20"/>
          <w:lang w:val="ro-RO"/>
        </w:rPr>
        <w:t xml:space="preserve"> și Ilinca Porojan-Gheajă</w:t>
      </w:r>
      <w:r>
        <w:rPr>
          <w:rFonts w:ascii="Georgia" w:eastAsia="Arial" w:hAnsi="Georgia" w:cs="Arial"/>
          <w:i/>
          <w:iCs/>
          <w:color w:val="252525"/>
          <w:sz w:val="20"/>
          <w:szCs w:val="20"/>
          <w:lang w:val="ro-RO"/>
        </w:rPr>
        <w:t xml:space="preserve"> (a</w:t>
      </w:r>
      <w:r w:rsidRPr="00D406CB">
        <w:rPr>
          <w:rFonts w:ascii="Georgia" w:eastAsia="Arial" w:hAnsi="Georgia" w:cs="Arial"/>
          <w:i/>
          <w:iCs/>
          <w:color w:val="252525"/>
          <w:sz w:val="20"/>
          <w:szCs w:val="20"/>
          <w:lang w:val="ro-RO"/>
        </w:rPr>
        <w:t>ssociate</w:t>
      </w:r>
      <w:r>
        <w:rPr>
          <w:rFonts w:ascii="Georgia" w:eastAsia="Arial" w:hAnsi="Georgia" w:cs="Arial"/>
          <w:i/>
          <w:iCs/>
          <w:color w:val="252525"/>
          <w:sz w:val="20"/>
          <w:szCs w:val="20"/>
          <w:lang w:val="ro-RO"/>
        </w:rPr>
        <w:t>)</w:t>
      </w:r>
    </w:p>
    <w:p w14:paraId="03BBDE74" w14:textId="77777777" w:rsidR="003F50DD" w:rsidRPr="000A06CF" w:rsidRDefault="003F50DD" w:rsidP="003F50DD">
      <w:pPr>
        <w:spacing w:after="140" w:line="280" w:lineRule="exact"/>
        <w:jc w:val="both"/>
        <w:rPr>
          <w:rFonts w:ascii="Georgia" w:eastAsia="Arial" w:hAnsi="Georgia" w:cs="Arial"/>
          <w:color w:val="252525"/>
          <w:sz w:val="20"/>
          <w:szCs w:val="20"/>
          <w:lang w:val="ro-RO"/>
        </w:rPr>
      </w:pPr>
      <w:r w:rsidRPr="000A06CF">
        <w:rPr>
          <w:rFonts w:ascii="Georgia" w:eastAsia="Arial" w:hAnsi="Georgia" w:cs="Arial"/>
          <w:color w:val="252525"/>
          <w:sz w:val="20"/>
          <w:szCs w:val="20"/>
          <w:lang w:val="ro-RO"/>
        </w:rPr>
        <w:t>Legea nr. 102/2023 prin care se introduc o nouă serie de modificări în domeniul autorizării lucrărilor de construcții, urbanismului și contenciosului administrativ („</w:t>
      </w:r>
      <w:r w:rsidRPr="000A06CF">
        <w:rPr>
          <w:rFonts w:ascii="Georgia" w:eastAsia="Arial" w:hAnsi="Georgia" w:cs="Arial"/>
          <w:b/>
          <w:bCs/>
          <w:color w:val="252525"/>
          <w:sz w:val="20"/>
          <w:szCs w:val="20"/>
          <w:lang w:val="ro-RO"/>
        </w:rPr>
        <w:t>Legea</w:t>
      </w:r>
      <w:r w:rsidRPr="000A06CF">
        <w:rPr>
          <w:rFonts w:ascii="Georgia" w:eastAsia="Arial" w:hAnsi="Georgia" w:cs="Arial"/>
          <w:color w:val="252525"/>
          <w:sz w:val="20"/>
          <w:szCs w:val="20"/>
          <w:lang w:val="ro-RO"/>
        </w:rPr>
        <w:t xml:space="preserve">”) a fost publicată în Monitorul Oficial nr. 322 din 18 aprilie 2023. Deși a fost adoptată de Parlamentul României încă din noiembrie 2022, intrarea în vigoare a Legii a fost încetinită de formularea unei obiecții de neconstituționalitate respinsă cu unanimitate de Curtea Constituțională în 22 februarie 2023. </w:t>
      </w:r>
    </w:p>
    <w:p w14:paraId="5951ACA1" w14:textId="77777777" w:rsidR="003F50DD" w:rsidRPr="00D406CB" w:rsidRDefault="003F50DD" w:rsidP="003F50DD">
      <w:pPr>
        <w:spacing w:after="140" w:line="280" w:lineRule="exact"/>
        <w:jc w:val="both"/>
        <w:rPr>
          <w:rFonts w:ascii="Georgia" w:hAnsi="Georgia"/>
          <w:sz w:val="20"/>
          <w:szCs w:val="20"/>
          <w:lang w:val="ro-RO"/>
        </w:rPr>
      </w:pPr>
      <w:r w:rsidRPr="000A06CF">
        <w:rPr>
          <w:rFonts w:ascii="Georgia" w:eastAsia="Arial" w:hAnsi="Georgia" w:cs="Arial"/>
          <w:color w:val="252525"/>
          <w:sz w:val="20"/>
          <w:szCs w:val="20"/>
          <w:lang w:val="ro-RO"/>
        </w:rPr>
        <w:t>Noile modificări vor intra în vigoare în termen de 3 zile de la data publicării Legii în Monitorul Oficial.</w:t>
      </w:r>
      <w:r w:rsidRPr="00D406CB">
        <w:rPr>
          <w:rFonts w:ascii="Georgia" w:eastAsia="Arial" w:hAnsi="Georgia" w:cs="Arial"/>
          <w:color w:val="252525"/>
          <w:sz w:val="20"/>
          <w:szCs w:val="20"/>
          <w:lang w:val="ro-RO"/>
        </w:rPr>
        <w:t xml:space="preserve"> </w:t>
      </w:r>
    </w:p>
    <w:p w14:paraId="2D5887F0" w14:textId="77777777" w:rsidR="003F50DD" w:rsidRPr="00D406CB" w:rsidRDefault="003F50DD" w:rsidP="003F50DD">
      <w:pPr>
        <w:spacing w:after="140" w:line="280" w:lineRule="exact"/>
        <w:jc w:val="both"/>
        <w:rPr>
          <w:rFonts w:ascii="Georgia" w:hAnsi="Georgia"/>
          <w:b/>
          <w:bCs/>
          <w:sz w:val="20"/>
          <w:szCs w:val="20"/>
          <w:lang w:val="ro-RO"/>
        </w:rPr>
      </w:pPr>
      <w:r>
        <w:rPr>
          <w:rFonts w:ascii="Georgia" w:eastAsia="Arial" w:hAnsi="Georgia" w:cs="Arial"/>
          <w:b/>
          <w:bCs/>
          <w:color w:val="252525"/>
          <w:sz w:val="20"/>
          <w:szCs w:val="20"/>
          <w:lang w:val="ro-RO"/>
        </w:rPr>
        <w:t xml:space="preserve">Construcții și urbanism – </w:t>
      </w:r>
      <w:r w:rsidRPr="00D406CB">
        <w:rPr>
          <w:rFonts w:ascii="Georgia" w:eastAsia="Arial" w:hAnsi="Georgia" w:cs="Arial"/>
          <w:b/>
          <w:bCs/>
          <w:color w:val="252525"/>
          <w:sz w:val="20"/>
          <w:szCs w:val="20"/>
          <w:lang w:val="ro-RO"/>
        </w:rPr>
        <w:t>Modificări</w:t>
      </w:r>
      <w:r>
        <w:rPr>
          <w:rFonts w:ascii="Georgia" w:eastAsia="Arial" w:hAnsi="Georgia" w:cs="Arial"/>
          <w:b/>
          <w:bCs/>
          <w:color w:val="252525"/>
          <w:sz w:val="20"/>
          <w:szCs w:val="20"/>
          <w:lang w:val="ro-RO"/>
        </w:rPr>
        <w:t>le</w:t>
      </w:r>
      <w:r w:rsidRPr="00D406CB">
        <w:rPr>
          <w:rFonts w:ascii="Georgia" w:eastAsia="Arial" w:hAnsi="Georgia" w:cs="Arial"/>
          <w:b/>
          <w:bCs/>
          <w:color w:val="252525"/>
          <w:sz w:val="20"/>
          <w:szCs w:val="20"/>
          <w:lang w:val="ro-RO"/>
        </w:rPr>
        <w:t xml:space="preserve"> în materia </w:t>
      </w:r>
      <w:r>
        <w:rPr>
          <w:rFonts w:ascii="Georgia" w:eastAsia="Arial" w:hAnsi="Georgia" w:cs="Arial"/>
          <w:b/>
          <w:bCs/>
          <w:color w:val="252525"/>
          <w:sz w:val="20"/>
          <w:szCs w:val="20"/>
          <w:lang w:val="ro-RO"/>
        </w:rPr>
        <w:t>autorizării lucrărilor de construcții</w:t>
      </w:r>
    </w:p>
    <w:p w14:paraId="3863C7CC" w14:textId="77777777" w:rsidR="003F50DD" w:rsidRPr="00D406CB" w:rsidRDefault="003F50DD" w:rsidP="003F50DD">
      <w:pPr>
        <w:spacing w:after="140" w:line="280" w:lineRule="exact"/>
        <w:jc w:val="both"/>
        <w:rPr>
          <w:rFonts w:ascii="Georgia" w:hAnsi="Georgia"/>
          <w:sz w:val="20"/>
          <w:szCs w:val="20"/>
          <w:lang w:val="ro-RO"/>
        </w:rPr>
      </w:pPr>
      <w:r w:rsidRPr="00D406CB">
        <w:rPr>
          <w:rFonts w:ascii="Georgia" w:eastAsia="Arial" w:hAnsi="Georgia" w:cs="Arial"/>
          <w:color w:val="252525"/>
          <w:sz w:val="20"/>
          <w:szCs w:val="20"/>
          <w:lang w:val="ro-RO"/>
        </w:rPr>
        <w:t xml:space="preserve">Legea introduce o serie de prevederi </w:t>
      </w: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 legătur</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cu publicitatea autorizațiilor de construire, menite 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asigure o informare efectiv</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a oricăror persoane interesate. </w:t>
      </w:r>
    </w:p>
    <w:p w14:paraId="66F4AD21" w14:textId="77777777" w:rsidR="003F50DD" w:rsidRDefault="003F50DD" w:rsidP="003F50DD">
      <w:pPr>
        <w:spacing w:after="140" w:line="280" w:lineRule="exact"/>
        <w:jc w:val="both"/>
        <w:rPr>
          <w:rFonts w:ascii="Georgia" w:eastAsia="Arial" w:hAnsi="Georgia" w:cs="Arial"/>
          <w:color w:val="252525"/>
          <w:sz w:val="20"/>
          <w:szCs w:val="20"/>
          <w:lang w:val="ro-RO"/>
        </w:rPr>
      </w:pPr>
      <w:r w:rsidRPr="00D406CB">
        <w:rPr>
          <w:rFonts w:ascii="Georgia" w:eastAsia="Arial" w:hAnsi="Georgia" w:cs="Arial"/>
          <w:color w:val="252525"/>
          <w:sz w:val="20"/>
          <w:szCs w:val="20"/>
          <w:lang w:val="ro-RO"/>
        </w:rPr>
        <w:t>Potrivit Legii, după comunicarea autorizației de construire, dar înainte de începerea lucrărilor, titularul acesteia va trebui 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realizeze următoarele formalități: </w:t>
      </w:r>
    </w:p>
    <w:p w14:paraId="53A2CAE4" w14:textId="77777777" w:rsidR="003F50DD" w:rsidRPr="00E466EF" w:rsidRDefault="003F50DD">
      <w:pPr>
        <w:pStyle w:val="ListParagraph"/>
        <w:numPr>
          <w:ilvl w:val="0"/>
          <w:numId w:val="14"/>
        </w:numPr>
        <w:spacing w:after="140" w:line="280" w:lineRule="exact"/>
        <w:ind w:left="540" w:hanging="540"/>
        <w:contextualSpacing w:val="0"/>
        <w:jc w:val="both"/>
        <w:rPr>
          <w:rFonts w:ascii="Georgia" w:eastAsia="Arial" w:hAnsi="Georgia" w:cs="Arial"/>
          <w:color w:val="252525"/>
          <w:sz w:val="20"/>
          <w:szCs w:val="20"/>
          <w:lang w:val="ro-RO"/>
        </w:rPr>
      </w:pPr>
      <w:r w:rsidRPr="00E466EF">
        <w:rPr>
          <w:rFonts w:ascii="Georgia" w:eastAsia="Arial" w:hAnsi="Georgia" w:cs="Arial"/>
          <w:color w:val="252525"/>
          <w:sz w:val="20"/>
          <w:szCs w:val="20"/>
          <w:lang w:val="ro-RO"/>
        </w:rPr>
        <w:t xml:space="preserve">să noteze autorizația de construire în cartea funciară a imobilului în cauză; </w:t>
      </w:r>
    </w:p>
    <w:p w14:paraId="274E68FE" w14:textId="77777777" w:rsidR="003F50DD" w:rsidRPr="00E466EF" w:rsidRDefault="003F50DD">
      <w:pPr>
        <w:pStyle w:val="ListParagraph"/>
        <w:numPr>
          <w:ilvl w:val="0"/>
          <w:numId w:val="14"/>
        </w:numPr>
        <w:spacing w:after="140" w:line="280" w:lineRule="exact"/>
        <w:ind w:left="540" w:hanging="540"/>
        <w:contextualSpacing w:val="0"/>
        <w:jc w:val="both"/>
        <w:rPr>
          <w:rFonts w:ascii="Georgia" w:hAnsi="Georgia"/>
          <w:sz w:val="20"/>
          <w:szCs w:val="20"/>
          <w:lang w:val="ro-RO"/>
        </w:rPr>
      </w:pPr>
      <w:r w:rsidRPr="00E466EF">
        <w:rPr>
          <w:rFonts w:ascii="Georgia" w:eastAsia="Arial" w:hAnsi="Georgia" w:cs="Arial"/>
          <w:color w:val="252525"/>
          <w:sz w:val="20"/>
          <w:szCs w:val="20"/>
          <w:lang w:val="ro-RO"/>
        </w:rPr>
        <w:t>să publice într-un ziar de largă răspândire numărul și data autorizației, precum și titlul obiectivului de investiții</w:t>
      </w:r>
      <w:r>
        <w:rPr>
          <w:rFonts w:ascii="Georgia" w:eastAsia="Arial" w:hAnsi="Georgia" w:cs="Arial"/>
          <w:color w:val="252525"/>
          <w:sz w:val="20"/>
          <w:szCs w:val="20"/>
          <w:lang w:val="ro-RO"/>
        </w:rPr>
        <w:t xml:space="preserve"> –</w:t>
      </w:r>
      <w:r w:rsidRPr="00E466EF">
        <w:rPr>
          <w:rFonts w:ascii="Georgia" w:eastAsia="Arial" w:hAnsi="Georgia" w:cs="Arial"/>
          <w:color w:val="252525"/>
          <w:sz w:val="20"/>
          <w:szCs w:val="20"/>
          <w:lang w:val="ro-RO"/>
        </w:rPr>
        <w:t xml:space="preserve"> Legea nu menționează dacă ziarul trebuie să fie național ori local, însă având în vedere că potențialele persoane interesate să atace autorizația fac parte</w:t>
      </w:r>
      <w:r>
        <w:rPr>
          <w:rFonts w:ascii="Georgia" w:eastAsia="Arial" w:hAnsi="Georgia" w:cs="Arial"/>
          <w:color w:val="252525"/>
          <w:sz w:val="20"/>
          <w:szCs w:val="20"/>
          <w:lang w:val="ro-RO"/>
        </w:rPr>
        <w:t>, de regulă,</w:t>
      </w:r>
      <w:r w:rsidRPr="00E466EF">
        <w:rPr>
          <w:rFonts w:ascii="Georgia" w:eastAsia="Arial" w:hAnsi="Georgia" w:cs="Arial"/>
          <w:color w:val="252525"/>
          <w:sz w:val="20"/>
          <w:szCs w:val="20"/>
          <w:lang w:val="ro-RO"/>
        </w:rPr>
        <w:t xml:space="preserve"> din comunitatea unde investiția se realizează, consider</w:t>
      </w:r>
      <w:r>
        <w:rPr>
          <w:rFonts w:ascii="Georgia" w:eastAsia="Arial" w:hAnsi="Georgia" w:cs="Arial"/>
          <w:color w:val="252525"/>
          <w:sz w:val="20"/>
          <w:szCs w:val="20"/>
          <w:lang w:val="ro-RO"/>
        </w:rPr>
        <w:t>ă</w:t>
      </w:r>
      <w:r w:rsidRPr="00E466EF">
        <w:rPr>
          <w:rFonts w:ascii="Georgia" w:eastAsia="Arial" w:hAnsi="Georgia" w:cs="Arial"/>
          <w:color w:val="252525"/>
          <w:sz w:val="20"/>
          <w:szCs w:val="20"/>
          <w:lang w:val="ro-RO"/>
        </w:rPr>
        <w:t xml:space="preserve">m suficientă publicarea într-un ziar local de largă răspândire; </w:t>
      </w:r>
      <w:r>
        <w:rPr>
          <w:rFonts w:ascii="Georgia" w:eastAsia="Arial" w:hAnsi="Georgia" w:cs="Arial"/>
          <w:color w:val="252525"/>
          <w:sz w:val="20"/>
          <w:szCs w:val="20"/>
          <w:lang w:val="ro-RO"/>
        </w:rPr>
        <w:t>ș</w:t>
      </w:r>
      <w:r w:rsidRPr="00E466EF">
        <w:rPr>
          <w:rFonts w:ascii="Georgia" w:eastAsia="Arial" w:hAnsi="Georgia" w:cs="Arial"/>
          <w:color w:val="252525"/>
          <w:sz w:val="20"/>
          <w:szCs w:val="20"/>
          <w:lang w:val="ro-RO"/>
        </w:rPr>
        <w:t xml:space="preserve">i </w:t>
      </w:r>
    </w:p>
    <w:p w14:paraId="061E9BCA" w14:textId="77777777" w:rsidR="003F50DD" w:rsidRPr="00E466EF" w:rsidRDefault="003F50DD">
      <w:pPr>
        <w:pStyle w:val="ListParagraph"/>
        <w:numPr>
          <w:ilvl w:val="0"/>
          <w:numId w:val="14"/>
        </w:numPr>
        <w:spacing w:after="140" w:line="280" w:lineRule="exact"/>
        <w:ind w:left="540" w:hanging="540"/>
        <w:contextualSpacing w:val="0"/>
        <w:jc w:val="both"/>
        <w:rPr>
          <w:rFonts w:ascii="Georgia" w:hAnsi="Georgia"/>
          <w:sz w:val="20"/>
          <w:szCs w:val="20"/>
          <w:lang w:val="ro-RO"/>
        </w:rPr>
      </w:pPr>
      <w:r>
        <w:rPr>
          <w:rFonts w:ascii="Georgia" w:eastAsia="Arial" w:hAnsi="Georgia" w:cs="Arial"/>
          <w:color w:val="252525"/>
          <w:sz w:val="20"/>
          <w:szCs w:val="20"/>
          <w:lang w:val="ro-RO"/>
        </w:rPr>
        <w:t xml:space="preserve">să plaseze panoul </w:t>
      </w:r>
      <w:r w:rsidRPr="00E466EF">
        <w:rPr>
          <w:rFonts w:ascii="Georgia" w:eastAsia="Arial" w:hAnsi="Georgia" w:cs="Arial"/>
          <w:color w:val="252525"/>
          <w:sz w:val="20"/>
          <w:szCs w:val="20"/>
          <w:lang w:val="ro-RO"/>
        </w:rPr>
        <w:t>privind investiția într-un loc vizibil din șantier</w:t>
      </w:r>
      <w:r>
        <w:rPr>
          <w:rFonts w:ascii="Georgia" w:eastAsia="Arial" w:hAnsi="Georgia" w:cs="Arial"/>
          <w:color w:val="252525"/>
          <w:sz w:val="20"/>
          <w:szCs w:val="20"/>
          <w:lang w:val="ro-RO"/>
        </w:rPr>
        <w:t xml:space="preserve">, obligație ce exista deja în sarcina </w:t>
      </w:r>
      <w:r w:rsidRPr="00CB71FA">
        <w:rPr>
          <w:rFonts w:ascii="Georgia" w:eastAsia="Arial" w:hAnsi="Georgia" w:cs="Arial"/>
          <w:color w:val="252525"/>
          <w:sz w:val="20"/>
          <w:szCs w:val="20"/>
          <w:lang w:val="ro-RO"/>
        </w:rPr>
        <w:t xml:space="preserve">investitorilor în temeiul Ordinului </w:t>
      </w:r>
      <w:r w:rsidRPr="0070183D">
        <w:rPr>
          <w:rFonts w:ascii="Georgia" w:eastAsia="Arial" w:hAnsi="Georgia" w:cs="Arial"/>
          <w:color w:val="252525"/>
          <w:sz w:val="20"/>
          <w:szCs w:val="20"/>
          <w:lang w:val="ro-RO"/>
        </w:rPr>
        <w:t xml:space="preserve">nr. 63/1998 privind </w:t>
      </w:r>
      <w:r w:rsidRPr="00CB71FA">
        <w:rPr>
          <w:rFonts w:ascii="Georgia" w:eastAsia="Arial" w:hAnsi="Georgia" w:cs="Arial"/>
          <w:color w:val="252525"/>
          <w:sz w:val="20"/>
          <w:szCs w:val="20"/>
          <w:lang w:val="ro-RO"/>
        </w:rPr>
        <w:t>obligația</w:t>
      </w:r>
      <w:r w:rsidRPr="0070183D">
        <w:rPr>
          <w:rFonts w:ascii="Georgia" w:eastAsia="Arial" w:hAnsi="Georgia" w:cs="Arial"/>
          <w:color w:val="252525"/>
          <w:sz w:val="20"/>
          <w:szCs w:val="20"/>
          <w:lang w:val="ro-RO"/>
        </w:rPr>
        <w:t xml:space="preserve"> </w:t>
      </w:r>
      <w:r w:rsidRPr="00CB71FA">
        <w:rPr>
          <w:rFonts w:ascii="Georgia" w:eastAsia="Arial" w:hAnsi="Georgia" w:cs="Arial"/>
          <w:color w:val="252525"/>
          <w:sz w:val="20"/>
          <w:szCs w:val="20"/>
          <w:lang w:val="ro-RO"/>
        </w:rPr>
        <w:t>afișării</w:t>
      </w:r>
      <w:r w:rsidRPr="0070183D">
        <w:rPr>
          <w:rFonts w:ascii="Georgia" w:eastAsia="Arial" w:hAnsi="Georgia" w:cs="Arial"/>
          <w:color w:val="252525"/>
          <w:sz w:val="20"/>
          <w:szCs w:val="20"/>
          <w:lang w:val="ro-RO"/>
        </w:rPr>
        <w:t xml:space="preserve"> la loc vizibil a panoului de identificare a </w:t>
      </w:r>
      <w:r w:rsidRPr="00CB71FA">
        <w:rPr>
          <w:rFonts w:ascii="Georgia" w:eastAsia="Arial" w:hAnsi="Georgia" w:cs="Arial"/>
          <w:color w:val="252525"/>
          <w:sz w:val="20"/>
          <w:szCs w:val="20"/>
          <w:lang w:val="ro-RO"/>
        </w:rPr>
        <w:t>investiției.</w:t>
      </w:r>
    </w:p>
    <w:p w14:paraId="5F4B3ABF" w14:textId="77777777" w:rsidR="003F50DD" w:rsidRPr="00D406CB" w:rsidRDefault="003F50DD" w:rsidP="003F50DD">
      <w:pPr>
        <w:spacing w:after="140" w:line="280" w:lineRule="exact"/>
        <w:jc w:val="both"/>
        <w:rPr>
          <w:rFonts w:ascii="Georgia" w:hAnsi="Georgia"/>
          <w:sz w:val="20"/>
          <w:szCs w:val="20"/>
          <w:lang w:val="ro-RO"/>
        </w:rPr>
      </w:pP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 plus fa</w:t>
      </w:r>
      <w:r>
        <w:rPr>
          <w:rFonts w:ascii="Georgia" w:eastAsia="Arial" w:hAnsi="Georgia" w:cs="Arial"/>
          <w:color w:val="252525"/>
          <w:sz w:val="20"/>
          <w:szCs w:val="20"/>
          <w:lang w:val="ro-RO"/>
        </w:rPr>
        <w:t>ță</w:t>
      </w:r>
      <w:r w:rsidRPr="00D406CB">
        <w:rPr>
          <w:rFonts w:ascii="Georgia" w:eastAsia="Arial" w:hAnsi="Georgia" w:cs="Arial"/>
          <w:color w:val="252525"/>
          <w:sz w:val="20"/>
          <w:szCs w:val="20"/>
          <w:lang w:val="ro-RO"/>
        </w:rPr>
        <w:t xml:space="preserve"> de aceste modalități de publicitate întreprinse pe cheltuiala titularului, autoritatea emitent</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este obligat</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publice informațiile referitoare la principalele condiții de îndeplinit</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 xml:space="preserve">termen de </w:t>
      </w:r>
      <w:r>
        <w:rPr>
          <w:rFonts w:ascii="Georgia" w:eastAsia="Arial" w:hAnsi="Georgia" w:cs="Arial"/>
          <w:color w:val="252525"/>
          <w:sz w:val="20"/>
          <w:szCs w:val="20"/>
          <w:lang w:val="ro-RO"/>
        </w:rPr>
        <w:t xml:space="preserve">maximum </w:t>
      </w:r>
      <w:r w:rsidRPr="00D406CB">
        <w:rPr>
          <w:rFonts w:ascii="Georgia" w:eastAsia="Arial" w:hAnsi="Georgia" w:cs="Arial"/>
          <w:color w:val="252525"/>
          <w:sz w:val="20"/>
          <w:szCs w:val="20"/>
          <w:lang w:val="ro-RO"/>
        </w:rPr>
        <w:t>30 zile de la data emiterii autorizației. Printre condițiile considerate obligatoriu de publicat de către autoritate amintim POT</w:t>
      </w:r>
      <w:r>
        <w:rPr>
          <w:rFonts w:ascii="Georgia" w:eastAsia="Arial" w:hAnsi="Georgia" w:cs="Arial"/>
          <w:color w:val="252525"/>
          <w:sz w:val="20"/>
          <w:szCs w:val="20"/>
          <w:lang w:val="ro-RO"/>
        </w:rPr>
        <w:t xml:space="preserve"> (procentul de ocupare a terenului)</w:t>
      </w:r>
      <w:r w:rsidRPr="00D406CB">
        <w:rPr>
          <w:rFonts w:ascii="Georgia" w:eastAsia="Arial" w:hAnsi="Georgia" w:cs="Arial"/>
          <w:color w:val="252525"/>
          <w:sz w:val="20"/>
          <w:szCs w:val="20"/>
          <w:lang w:val="ro-RO"/>
        </w:rPr>
        <w:t>, CUT</w:t>
      </w:r>
      <w:r>
        <w:rPr>
          <w:rFonts w:ascii="Georgia" w:eastAsia="Arial" w:hAnsi="Georgia" w:cs="Arial"/>
          <w:color w:val="252525"/>
          <w:sz w:val="20"/>
          <w:szCs w:val="20"/>
          <w:lang w:val="ro-RO"/>
        </w:rPr>
        <w:t xml:space="preserve"> (coeficientul de utilizare a terenului)</w:t>
      </w:r>
      <w:r w:rsidRPr="00D406CB">
        <w:rPr>
          <w:rFonts w:ascii="Georgia" w:eastAsia="Arial" w:hAnsi="Georgia" w:cs="Arial"/>
          <w:color w:val="252525"/>
          <w:sz w:val="20"/>
          <w:szCs w:val="20"/>
          <w:lang w:val="ro-RO"/>
        </w:rPr>
        <w:t xml:space="preserve">, suprafețele, precum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i dac</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a fost solicitat/obținut avizul de la autoritatea competent</w:t>
      </w:r>
      <w:r>
        <w:rPr>
          <w:rFonts w:ascii="Georgia" w:eastAsia="Arial" w:hAnsi="Georgia" w:cs="Arial"/>
          <w:color w:val="252525"/>
          <w:sz w:val="20"/>
          <w:szCs w:val="20"/>
          <w:lang w:val="ro-RO"/>
        </w:rPr>
        <w:t xml:space="preserve">ă în </w:t>
      </w:r>
      <w:r w:rsidRPr="00D406CB">
        <w:rPr>
          <w:rFonts w:ascii="Georgia" w:eastAsia="Arial" w:hAnsi="Georgia" w:cs="Arial"/>
          <w:color w:val="252525"/>
          <w:sz w:val="20"/>
          <w:szCs w:val="20"/>
          <w:lang w:val="ro-RO"/>
        </w:rPr>
        <w:t>domeniul protejării patrimoniului cultural, respectiv avizul autorității competente pentru protecția mediului. Conținutul autorizației de construire se consider</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adus la cunoștința organismelor sociale interesate la data finalizării ultimei formalități de publicitate</w:t>
      </w:r>
      <w:r>
        <w:rPr>
          <w:rFonts w:ascii="Georgia" w:eastAsia="Arial" w:hAnsi="Georgia" w:cs="Arial"/>
          <w:color w:val="252525"/>
          <w:sz w:val="20"/>
          <w:szCs w:val="20"/>
          <w:lang w:val="ro-RO"/>
        </w:rPr>
        <w:t>, indiferent dacă aceasta este realizată de titular sau de către autoritate</w:t>
      </w:r>
      <w:r w:rsidRPr="00D406CB">
        <w:rPr>
          <w:rFonts w:ascii="Georgia" w:eastAsia="Arial" w:hAnsi="Georgia" w:cs="Arial"/>
          <w:color w:val="252525"/>
          <w:sz w:val="20"/>
          <w:szCs w:val="20"/>
          <w:lang w:val="ro-RO"/>
        </w:rPr>
        <w:t>.</w:t>
      </w:r>
    </w:p>
    <w:p w14:paraId="64198B39" w14:textId="77777777" w:rsidR="003F50DD" w:rsidRPr="00D406CB" w:rsidRDefault="003F50DD" w:rsidP="003F50DD">
      <w:pPr>
        <w:spacing w:after="140" w:line="280" w:lineRule="exact"/>
        <w:jc w:val="both"/>
        <w:rPr>
          <w:rFonts w:ascii="Georgia" w:hAnsi="Georgia"/>
          <w:sz w:val="20"/>
          <w:szCs w:val="20"/>
          <w:lang w:val="ro-RO"/>
        </w:rPr>
      </w:pPr>
      <w:r w:rsidRPr="00D406CB">
        <w:rPr>
          <w:rFonts w:ascii="Georgia" w:eastAsia="Arial" w:hAnsi="Georgia" w:cs="Arial"/>
          <w:color w:val="252525"/>
          <w:sz w:val="20"/>
          <w:szCs w:val="20"/>
          <w:lang w:val="ro-RO"/>
        </w:rPr>
        <w:t xml:space="preserve">Mai mult, Legea introduce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 xml:space="preserve">i posibilitatea publicului interesat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 xml:space="preserve">i a organismelor sociale interesate de a consulta la sediul autorității emitente informațiile referitoare la condițiile principale pentru executarea respectivelor lucrări de construire, precum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i a oricăror documente considerate publice.</w:t>
      </w:r>
    </w:p>
    <w:p w14:paraId="42FF01BE" w14:textId="77777777" w:rsidR="003F50DD" w:rsidRDefault="003F50DD" w:rsidP="003F50DD">
      <w:pPr>
        <w:spacing w:after="140" w:line="280" w:lineRule="exact"/>
        <w:jc w:val="both"/>
        <w:rPr>
          <w:rFonts w:ascii="Georgia" w:eastAsia="Arial" w:hAnsi="Georgia" w:cs="Arial"/>
          <w:color w:val="252525"/>
          <w:sz w:val="20"/>
          <w:szCs w:val="20"/>
          <w:lang w:val="ro-RO"/>
        </w:rPr>
      </w:pPr>
      <w:r w:rsidRPr="00D406CB">
        <w:rPr>
          <w:rFonts w:ascii="Georgia" w:eastAsia="Arial" w:hAnsi="Georgia" w:cs="Arial"/>
          <w:color w:val="252525"/>
          <w:sz w:val="20"/>
          <w:szCs w:val="20"/>
          <w:lang w:val="ro-RO"/>
        </w:rPr>
        <w:lastRenderedPageBreak/>
        <w:t>M</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surile adiționale de asigurare a publicității sunt dublate de reglementarea unor </w:t>
      </w:r>
      <w:r w:rsidRPr="00CB71FA">
        <w:rPr>
          <w:rFonts w:ascii="Georgia" w:eastAsia="Arial" w:hAnsi="Georgia" w:cs="Arial"/>
          <w:i/>
          <w:iCs/>
          <w:color w:val="252525"/>
          <w:sz w:val="20"/>
          <w:szCs w:val="20"/>
          <w:lang w:val="ro-RO"/>
        </w:rPr>
        <w:t>termene speciale</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 xml:space="preserve">care </w:t>
      </w:r>
      <w:r w:rsidRPr="00CB71FA">
        <w:rPr>
          <w:rFonts w:ascii="Georgia" w:eastAsia="Arial" w:hAnsi="Georgia" w:cs="Arial"/>
          <w:i/>
          <w:iCs/>
          <w:color w:val="252525"/>
          <w:sz w:val="20"/>
          <w:szCs w:val="20"/>
          <w:lang w:val="ro-RO"/>
        </w:rPr>
        <w:t>organismele sociale interesate</w:t>
      </w:r>
      <w:r w:rsidRPr="00D406CB">
        <w:rPr>
          <w:rFonts w:ascii="Georgia" w:eastAsia="Arial" w:hAnsi="Georgia" w:cs="Arial"/>
          <w:color w:val="252525"/>
          <w:sz w:val="20"/>
          <w:szCs w:val="20"/>
          <w:lang w:val="ro-RO"/>
        </w:rPr>
        <w:t xml:space="preserve"> pot introduce acțiune</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anularea autorizației de construire sau cereri de intervenție accesorie sau principal</w:t>
      </w:r>
      <w:r>
        <w:rPr>
          <w:rFonts w:ascii="Georgia" w:eastAsia="Arial" w:hAnsi="Georgia" w:cs="Arial"/>
          <w:color w:val="252525"/>
          <w:sz w:val="20"/>
          <w:szCs w:val="20"/>
          <w:lang w:val="ro-RO"/>
        </w:rPr>
        <w:t xml:space="preserve">ă în </w:t>
      </w:r>
      <w:r w:rsidRPr="00D406CB">
        <w:rPr>
          <w:rFonts w:ascii="Georgia" w:eastAsia="Arial" w:hAnsi="Georgia" w:cs="Arial"/>
          <w:color w:val="252525"/>
          <w:sz w:val="20"/>
          <w:szCs w:val="20"/>
          <w:lang w:val="ro-RO"/>
        </w:rPr>
        <w:t>astfel de litigii</w:t>
      </w:r>
      <w:r>
        <w:rPr>
          <w:rFonts w:ascii="Georgia" w:eastAsia="Arial" w:hAnsi="Georgia" w:cs="Arial"/>
          <w:color w:val="252525"/>
          <w:sz w:val="20"/>
          <w:szCs w:val="20"/>
          <w:lang w:val="ro-RO"/>
        </w:rPr>
        <w:t>:</w:t>
      </w:r>
    </w:p>
    <w:p w14:paraId="4BF2AF6A" w14:textId="77777777" w:rsidR="003F50DD" w:rsidRPr="00CB71FA" w:rsidRDefault="003F50DD">
      <w:pPr>
        <w:pStyle w:val="ListParagraph"/>
        <w:numPr>
          <w:ilvl w:val="0"/>
          <w:numId w:val="17"/>
        </w:numPr>
        <w:spacing w:after="140" w:line="280" w:lineRule="exact"/>
        <w:contextualSpacing w:val="0"/>
        <w:jc w:val="both"/>
        <w:rPr>
          <w:rFonts w:ascii="Georgia" w:hAnsi="Georgia"/>
          <w:sz w:val="20"/>
          <w:szCs w:val="20"/>
          <w:lang w:val="ro-RO"/>
        </w:rPr>
      </w:pPr>
      <w:r>
        <w:rPr>
          <w:rFonts w:ascii="Georgia" w:hAnsi="Georgia"/>
          <w:sz w:val="20"/>
          <w:szCs w:val="20"/>
          <w:lang w:val="ro-RO"/>
        </w:rPr>
        <w:t>î</w:t>
      </w:r>
      <w:r w:rsidRPr="00CB71FA">
        <w:rPr>
          <w:rFonts w:ascii="Georgia" w:eastAsia="Arial" w:hAnsi="Georgia" w:cs="Arial"/>
          <w:color w:val="252525"/>
          <w:sz w:val="20"/>
          <w:szCs w:val="20"/>
          <w:lang w:val="ro-RO"/>
        </w:rPr>
        <w:t xml:space="preserve">n situația în care plângerea prealabilă trebuie introdusă (respectiv în ipoteza în care autorizația de construire </w:t>
      </w:r>
      <w:r w:rsidRPr="00CB71FA">
        <w:rPr>
          <w:rFonts w:ascii="Georgia" w:eastAsia="Arial" w:hAnsi="Georgia" w:cs="Arial"/>
          <w:b/>
          <w:bCs/>
          <w:i/>
          <w:iCs/>
          <w:color w:val="252525"/>
          <w:sz w:val="20"/>
          <w:szCs w:val="20"/>
          <w:lang w:val="ro-RO"/>
        </w:rPr>
        <w:t>nu</w:t>
      </w:r>
      <w:r w:rsidRPr="00CB71FA">
        <w:rPr>
          <w:rFonts w:ascii="Georgia" w:eastAsia="Arial" w:hAnsi="Georgia" w:cs="Arial"/>
          <w:color w:val="252525"/>
          <w:sz w:val="20"/>
          <w:szCs w:val="20"/>
          <w:lang w:val="ro-RO"/>
        </w:rPr>
        <w:t xml:space="preserve"> a intrat în circuitul civil și nu a produs efecte juridice), </w:t>
      </w:r>
      <w:r>
        <w:rPr>
          <w:rFonts w:ascii="Georgia" w:eastAsia="Arial" w:hAnsi="Georgia" w:cs="Arial"/>
          <w:color w:val="252525"/>
          <w:sz w:val="20"/>
          <w:szCs w:val="20"/>
          <w:lang w:val="ro-RO"/>
        </w:rPr>
        <w:t xml:space="preserve">organismele sociale interesate trebuie să depună plângerea prealabilă în </w:t>
      </w:r>
      <w:r w:rsidRPr="00CB71FA">
        <w:rPr>
          <w:rFonts w:ascii="Georgia" w:eastAsia="Arial" w:hAnsi="Georgia" w:cs="Arial"/>
          <w:i/>
          <w:iCs/>
          <w:color w:val="252525"/>
          <w:sz w:val="20"/>
          <w:szCs w:val="20"/>
          <w:lang w:val="ro-RO"/>
        </w:rPr>
        <w:t>termen de 30 de zile</w:t>
      </w:r>
      <w:r w:rsidRPr="00CB71FA">
        <w:rPr>
          <w:rFonts w:ascii="Georgia" w:eastAsia="Arial" w:hAnsi="Georgia" w:cs="Arial"/>
          <w:color w:val="252525"/>
          <w:sz w:val="20"/>
          <w:szCs w:val="20"/>
          <w:lang w:val="ro-RO"/>
        </w:rPr>
        <w:t xml:space="preserve"> de la </w:t>
      </w:r>
      <w:r w:rsidRPr="00CB71FA">
        <w:rPr>
          <w:rFonts w:ascii="Georgia" w:eastAsia="Arial" w:hAnsi="Georgia" w:cs="Arial"/>
          <w:i/>
          <w:iCs/>
          <w:color w:val="252525"/>
          <w:sz w:val="20"/>
          <w:szCs w:val="20"/>
          <w:lang w:val="ro-RO"/>
        </w:rPr>
        <w:t>data ultimei formalități de publicitate</w:t>
      </w:r>
      <w:r w:rsidRPr="00CB71FA">
        <w:rPr>
          <w:rFonts w:ascii="Georgia" w:eastAsia="Arial" w:hAnsi="Georgia" w:cs="Arial"/>
          <w:color w:val="252525"/>
          <w:sz w:val="20"/>
          <w:szCs w:val="20"/>
          <w:lang w:val="ro-RO"/>
        </w:rPr>
        <w:t xml:space="preserve">. </w:t>
      </w:r>
    </w:p>
    <w:p w14:paraId="384043BC" w14:textId="77777777" w:rsidR="003F50DD" w:rsidRPr="00CB71FA" w:rsidRDefault="003F50DD" w:rsidP="003F50DD">
      <w:pPr>
        <w:pStyle w:val="ListParagraph"/>
        <w:spacing w:after="140" w:line="280" w:lineRule="exact"/>
        <w:ind w:left="360"/>
        <w:contextualSpacing w:val="0"/>
        <w:jc w:val="both"/>
        <w:rPr>
          <w:rFonts w:ascii="Georgia" w:hAnsi="Georgia"/>
          <w:sz w:val="20"/>
          <w:szCs w:val="20"/>
          <w:lang w:val="ro-RO"/>
        </w:rPr>
      </w:pPr>
      <w:r>
        <w:rPr>
          <w:rFonts w:ascii="Georgia" w:eastAsia="Arial" w:hAnsi="Georgia" w:cs="Arial"/>
          <w:color w:val="252525"/>
          <w:sz w:val="20"/>
          <w:szCs w:val="20"/>
          <w:lang w:val="ro-RO"/>
        </w:rPr>
        <w:t>Totodată, t</w:t>
      </w:r>
      <w:r w:rsidRPr="00CB71FA">
        <w:rPr>
          <w:rFonts w:ascii="Georgia" w:eastAsia="Arial" w:hAnsi="Georgia" w:cs="Arial"/>
          <w:color w:val="252525"/>
          <w:sz w:val="20"/>
          <w:szCs w:val="20"/>
          <w:lang w:val="ro-RO"/>
        </w:rPr>
        <w:t xml:space="preserve">ermenul pentru introducerea cererii de anulare, suspendare, intervenție accesorie și intervenție principală este de 60 zile și curge de la data primirii răspunsului la plângerea prealabilă/ data împlinirii termenului legal în care autoritatea ar fi trebuit să formuleze un răspuns la plângerea prealabilă. </w:t>
      </w:r>
    </w:p>
    <w:p w14:paraId="14734F0D" w14:textId="77777777" w:rsidR="003F50DD" w:rsidRPr="00D406CB" w:rsidRDefault="003F50DD">
      <w:pPr>
        <w:pStyle w:val="ListParagraph"/>
        <w:numPr>
          <w:ilvl w:val="0"/>
          <w:numId w:val="17"/>
        </w:numPr>
        <w:spacing w:after="140" w:line="280" w:lineRule="exact"/>
        <w:contextualSpacing w:val="0"/>
        <w:jc w:val="both"/>
        <w:rPr>
          <w:rFonts w:ascii="Georgia" w:hAnsi="Georgia"/>
          <w:sz w:val="20"/>
          <w:szCs w:val="20"/>
          <w:lang w:val="ro-RO"/>
        </w:rPr>
      </w:pP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 cazul</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care plângerea prealabila nu este obligatorie</w:t>
      </w:r>
      <w:r>
        <w:rPr>
          <w:rFonts w:ascii="Georgia" w:eastAsia="Arial" w:hAnsi="Georgia" w:cs="Arial"/>
          <w:color w:val="252525"/>
          <w:sz w:val="20"/>
          <w:szCs w:val="20"/>
          <w:lang w:val="ro-RO"/>
        </w:rPr>
        <w:t xml:space="preserve"> (situația în care autorizația de construire a intrat în circuitul civil și a produs efecte juridice)</w:t>
      </w:r>
      <w:r w:rsidRPr="00D406CB">
        <w:rPr>
          <w:rFonts w:ascii="Georgia" w:eastAsia="Arial" w:hAnsi="Georgia" w:cs="Arial"/>
          <w:color w:val="252525"/>
          <w:sz w:val="20"/>
          <w:szCs w:val="20"/>
          <w:lang w:val="ro-RO"/>
        </w:rPr>
        <w:t xml:space="preserve">, termenul pentru introducerea de către organismele sociale interesate a cererilor menționate mai sus este de </w:t>
      </w:r>
      <w:r w:rsidRPr="00CB71FA">
        <w:rPr>
          <w:rFonts w:ascii="Georgia" w:eastAsia="Arial" w:hAnsi="Georgia" w:cs="Arial"/>
          <w:i/>
          <w:iCs/>
          <w:color w:val="252525"/>
          <w:sz w:val="20"/>
          <w:szCs w:val="20"/>
          <w:lang w:val="ro-RO"/>
        </w:rPr>
        <w:t>60 zile</w:t>
      </w:r>
      <w:r w:rsidRPr="00D406CB">
        <w:rPr>
          <w:rFonts w:ascii="Georgia" w:eastAsia="Arial" w:hAnsi="Georgia" w:cs="Arial"/>
          <w:color w:val="252525"/>
          <w:sz w:val="20"/>
          <w:szCs w:val="20"/>
          <w:lang w:val="ro-RO"/>
        </w:rPr>
        <w:t xml:space="preserve">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 xml:space="preserve">i curge de la </w:t>
      </w:r>
      <w:r w:rsidRPr="00CB71FA">
        <w:rPr>
          <w:rFonts w:ascii="Georgia" w:eastAsia="Arial" w:hAnsi="Georgia" w:cs="Arial"/>
          <w:i/>
          <w:iCs/>
          <w:color w:val="252525"/>
          <w:sz w:val="20"/>
          <w:szCs w:val="20"/>
          <w:lang w:val="ro-RO"/>
        </w:rPr>
        <w:t>data ultimei formalități de publicitate</w:t>
      </w:r>
      <w:r w:rsidRPr="00D406CB">
        <w:rPr>
          <w:rFonts w:ascii="Georgia" w:eastAsia="Arial" w:hAnsi="Georgia" w:cs="Arial"/>
          <w:color w:val="252525"/>
          <w:sz w:val="20"/>
          <w:szCs w:val="20"/>
          <w:lang w:val="ro-RO"/>
        </w:rPr>
        <w:t>.</w:t>
      </w:r>
    </w:p>
    <w:p w14:paraId="26AC71B4"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În plus, în materia urbanismului, Legea introduce un termen special de prescripție </w:t>
      </w:r>
      <w:r w:rsidRPr="0070183D">
        <w:rPr>
          <w:rFonts w:ascii="Georgia" w:eastAsia="Arial" w:hAnsi="Georgia" w:cs="Arial"/>
          <w:b/>
          <w:bCs/>
          <w:i/>
          <w:iCs/>
          <w:color w:val="252525"/>
          <w:sz w:val="20"/>
          <w:szCs w:val="20"/>
          <w:lang w:val="ro-RO"/>
        </w:rPr>
        <w:t>de 1 an de la aprobare</w:t>
      </w:r>
      <w:r>
        <w:rPr>
          <w:rFonts w:ascii="Georgia" w:eastAsia="Arial" w:hAnsi="Georgia" w:cs="Arial"/>
          <w:color w:val="252525"/>
          <w:sz w:val="20"/>
          <w:szCs w:val="20"/>
          <w:lang w:val="ro-RO"/>
        </w:rPr>
        <w:t xml:space="preserve"> pentru atacarea hotărârilor de aprobare a documentațiilor de amenajare a teritoriului și de urbanism de către </w:t>
      </w:r>
      <w:r w:rsidRPr="0070183D">
        <w:rPr>
          <w:rFonts w:ascii="Georgia" w:eastAsia="Arial" w:hAnsi="Georgia" w:cs="Arial"/>
          <w:i/>
          <w:iCs/>
          <w:color w:val="252525"/>
          <w:sz w:val="20"/>
          <w:szCs w:val="20"/>
          <w:lang w:val="ro-RO"/>
        </w:rPr>
        <w:t>organismele sociale interesate</w:t>
      </w:r>
      <w:r>
        <w:rPr>
          <w:rFonts w:ascii="Georgia" w:eastAsia="Arial" w:hAnsi="Georgia" w:cs="Arial"/>
          <w:color w:val="252525"/>
          <w:sz w:val="20"/>
          <w:szCs w:val="20"/>
          <w:lang w:val="ro-RO"/>
        </w:rPr>
        <w:t>, prin derogare de la termenul general de 5 ani de la aprobare, prevăzut de art. 64 alin. (3) din Legea 350/2001 privind amenajarea teritoriului și urbanismului.</w:t>
      </w:r>
    </w:p>
    <w:p w14:paraId="4092C0E9" w14:textId="77777777" w:rsidR="003F50DD" w:rsidRPr="00D406CB" w:rsidRDefault="003F50DD" w:rsidP="003F50DD">
      <w:pPr>
        <w:spacing w:after="140" w:line="280" w:lineRule="exact"/>
        <w:jc w:val="both"/>
        <w:rPr>
          <w:rFonts w:ascii="Georgia" w:hAnsi="Georgia"/>
          <w:sz w:val="20"/>
          <w:szCs w:val="20"/>
          <w:lang w:val="ro-RO"/>
        </w:rPr>
      </w:pP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 reglementarea acestor termene speciale, Legea face referire expres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la organismele sociale interesate</w:t>
      </w:r>
      <w:r>
        <w:rPr>
          <w:rFonts w:ascii="Georgia" w:eastAsia="Arial" w:hAnsi="Georgia" w:cs="Arial"/>
          <w:color w:val="252525"/>
          <w:sz w:val="20"/>
          <w:szCs w:val="20"/>
          <w:lang w:val="ro-RO"/>
        </w:rPr>
        <w:t>.</w:t>
      </w:r>
      <w:r w:rsidRPr="00D406CB">
        <w:rPr>
          <w:rFonts w:ascii="Georgia" w:eastAsia="Arial" w:hAnsi="Georgia" w:cs="Arial"/>
          <w:color w:val="252525"/>
          <w:sz w:val="20"/>
          <w:szCs w:val="20"/>
          <w:lang w:val="ro-RO"/>
        </w:rPr>
        <w:t xml:space="preserve"> </w:t>
      </w:r>
      <w:r>
        <w:rPr>
          <w:rFonts w:ascii="Georgia" w:eastAsia="Arial" w:hAnsi="Georgia" w:cs="Arial"/>
          <w:color w:val="252525"/>
          <w:sz w:val="20"/>
          <w:szCs w:val="20"/>
          <w:lang w:val="ro-RO"/>
        </w:rPr>
        <w:t>P</w:t>
      </w:r>
      <w:r w:rsidRPr="00D406CB">
        <w:rPr>
          <w:rFonts w:ascii="Georgia" w:eastAsia="Arial" w:hAnsi="Georgia" w:cs="Arial"/>
          <w:color w:val="252525"/>
          <w:sz w:val="20"/>
          <w:szCs w:val="20"/>
          <w:lang w:val="ro-RO"/>
        </w:rPr>
        <w:t>rin urmare</w:t>
      </w:r>
      <w:r>
        <w:rPr>
          <w:rFonts w:ascii="Georgia" w:eastAsia="Arial" w:hAnsi="Georgia" w:cs="Arial"/>
          <w:color w:val="252525"/>
          <w:sz w:val="20"/>
          <w:szCs w:val="20"/>
          <w:lang w:val="ro-RO"/>
        </w:rPr>
        <w:t>,</w:t>
      </w:r>
      <w:r w:rsidRPr="00D406CB">
        <w:rPr>
          <w:rFonts w:ascii="Georgia" w:eastAsia="Arial" w:hAnsi="Georgia" w:cs="Arial"/>
          <w:color w:val="252525"/>
          <w:sz w:val="20"/>
          <w:szCs w:val="20"/>
          <w:lang w:val="ro-RO"/>
        </w:rPr>
        <w:t xml:space="preserve"> orice alte persoane interesate vor fi ținute de termenele generale</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materia contenciosului administrativ, astfel cum sunt detaliate mai jos</w:t>
      </w:r>
      <w:r>
        <w:rPr>
          <w:rFonts w:ascii="Georgia" w:eastAsia="Arial" w:hAnsi="Georgia" w:cs="Arial"/>
          <w:color w:val="252525"/>
          <w:sz w:val="20"/>
          <w:szCs w:val="20"/>
          <w:lang w:val="ro-RO"/>
        </w:rPr>
        <w:t>, respectiv de termenul general prevăzut de art. 64 din Legea 350/2001 privind atacarea hotărârilor de aprobare a documentațiilor de urbanism</w:t>
      </w:r>
    </w:p>
    <w:p w14:paraId="58FF7F2A" w14:textId="77777777" w:rsidR="003F50DD" w:rsidRPr="00D406CB" w:rsidRDefault="003F50DD" w:rsidP="003F50DD">
      <w:pPr>
        <w:spacing w:after="140" w:line="280" w:lineRule="exact"/>
        <w:jc w:val="both"/>
        <w:rPr>
          <w:rFonts w:ascii="Georgia" w:hAnsi="Georgia"/>
          <w:b/>
          <w:bCs/>
          <w:sz w:val="20"/>
          <w:szCs w:val="20"/>
          <w:lang w:val="ro-RO"/>
        </w:rPr>
      </w:pPr>
      <w:r w:rsidRPr="00D406CB">
        <w:rPr>
          <w:rFonts w:ascii="Georgia" w:eastAsia="Arial" w:hAnsi="Georgia" w:cs="Arial"/>
          <w:b/>
          <w:bCs/>
          <w:color w:val="252525"/>
          <w:sz w:val="20"/>
          <w:szCs w:val="20"/>
          <w:lang w:val="ro-RO"/>
        </w:rPr>
        <w:t>Litigii – Modificările în materia contenciosului administrativ</w:t>
      </w:r>
    </w:p>
    <w:p w14:paraId="5CBE43E6" w14:textId="77777777" w:rsidR="003F50DD" w:rsidRDefault="003F50DD" w:rsidP="003F50DD">
      <w:pPr>
        <w:spacing w:after="140" w:line="280" w:lineRule="exact"/>
        <w:jc w:val="both"/>
        <w:rPr>
          <w:rFonts w:ascii="Georgia" w:eastAsia="Arial" w:hAnsi="Georgia" w:cs="Arial"/>
          <w:color w:val="252525"/>
          <w:sz w:val="20"/>
          <w:szCs w:val="20"/>
          <w:lang w:val="ro-RO"/>
        </w:rPr>
      </w:pPr>
      <w:r w:rsidRPr="00D406CB">
        <w:rPr>
          <w:rFonts w:ascii="Georgia" w:eastAsia="Arial" w:hAnsi="Georgia" w:cs="Arial"/>
          <w:color w:val="252525"/>
          <w:sz w:val="20"/>
          <w:szCs w:val="20"/>
          <w:lang w:val="ro-RO"/>
        </w:rPr>
        <w:t xml:space="preserve">Legea </w:t>
      </w:r>
      <w:r>
        <w:rPr>
          <w:rFonts w:ascii="Georgia" w:eastAsia="Arial" w:hAnsi="Georgia" w:cs="Arial"/>
          <w:color w:val="252525"/>
          <w:sz w:val="20"/>
          <w:szCs w:val="20"/>
          <w:lang w:val="ro-RO"/>
        </w:rPr>
        <w:t>modifică și trei dintre cele mai folosite texte</w:t>
      </w:r>
      <w:r w:rsidRPr="00D406CB">
        <w:rPr>
          <w:rFonts w:ascii="Georgia" w:eastAsia="Arial" w:hAnsi="Georgia" w:cs="Arial"/>
          <w:color w:val="252525"/>
          <w:sz w:val="20"/>
          <w:szCs w:val="20"/>
          <w:lang w:val="ro-RO"/>
        </w:rPr>
        <w:t xml:space="preserve"> </w:t>
      </w:r>
      <w:r>
        <w:rPr>
          <w:rFonts w:ascii="Georgia" w:eastAsia="Arial" w:hAnsi="Georgia" w:cs="Arial"/>
          <w:color w:val="252525"/>
          <w:sz w:val="20"/>
          <w:szCs w:val="20"/>
          <w:lang w:val="ro-RO"/>
        </w:rPr>
        <w:t>din</w:t>
      </w:r>
      <w:r w:rsidRPr="00D406CB">
        <w:rPr>
          <w:rFonts w:ascii="Georgia" w:eastAsia="Arial" w:hAnsi="Georgia" w:cs="Arial"/>
          <w:color w:val="252525"/>
          <w:sz w:val="20"/>
          <w:szCs w:val="20"/>
          <w:lang w:val="ro-RO"/>
        </w:rPr>
        <w:t xml:space="preserve"> Legea nr. 554/2004 a contenciosului administrativ („</w:t>
      </w:r>
      <w:r w:rsidRPr="00D406CB">
        <w:rPr>
          <w:rFonts w:ascii="Georgia" w:eastAsia="Arial" w:hAnsi="Georgia" w:cs="Arial"/>
          <w:b/>
          <w:bCs/>
          <w:color w:val="252525"/>
          <w:sz w:val="20"/>
          <w:szCs w:val="20"/>
          <w:lang w:val="ro-RO"/>
        </w:rPr>
        <w:t>Legea contenciosului administrativ</w:t>
      </w:r>
      <w:r w:rsidRPr="00D406CB">
        <w:rPr>
          <w:rFonts w:ascii="Georgia" w:eastAsia="Arial" w:hAnsi="Georgia" w:cs="Arial"/>
          <w:color w:val="252525"/>
          <w:sz w:val="20"/>
          <w:szCs w:val="20"/>
          <w:lang w:val="ro-RO"/>
        </w:rPr>
        <w:t>”)</w:t>
      </w:r>
      <w:r>
        <w:rPr>
          <w:rStyle w:val="FootnoteReference"/>
          <w:rFonts w:ascii="Georgia" w:eastAsia="Arial" w:hAnsi="Georgia" w:cs="Arial"/>
          <w:color w:val="252525"/>
          <w:sz w:val="20"/>
          <w:szCs w:val="20"/>
          <w:lang w:val="ro-RO"/>
        </w:rPr>
        <w:footnoteReference w:id="1"/>
      </w:r>
      <w:r w:rsidRPr="00D406CB">
        <w:rPr>
          <w:rFonts w:ascii="Georgia" w:eastAsia="Arial" w:hAnsi="Georgia" w:cs="Arial"/>
          <w:color w:val="252525"/>
          <w:sz w:val="20"/>
          <w:szCs w:val="20"/>
          <w:lang w:val="ro-RO"/>
        </w:rPr>
        <w:t>.</w:t>
      </w:r>
      <w:r>
        <w:rPr>
          <w:rFonts w:ascii="Georgia" w:eastAsia="Arial" w:hAnsi="Georgia" w:cs="Arial"/>
          <w:color w:val="252525"/>
          <w:sz w:val="20"/>
          <w:szCs w:val="20"/>
          <w:lang w:val="ro-RO"/>
        </w:rPr>
        <w:t xml:space="preserve"> Modificările vizează în esență termenele de formulare a acțiunilor în anularea și suspendarea actelor administrative. </w:t>
      </w:r>
    </w:p>
    <w:p w14:paraId="0A3FC000" w14:textId="77777777" w:rsidR="003F50DD" w:rsidRPr="00C2435E" w:rsidRDefault="003F50DD" w:rsidP="003F50DD">
      <w:pPr>
        <w:spacing w:after="140" w:line="280" w:lineRule="exact"/>
        <w:jc w:val="both"/>
        <w:rPr>
          <w:rFonts w:ascii="Georgia" w:eastAsia="Arial" w:hAnsi="Georgia" w:cs="Arial"/>
          <w:b/>
          <w:bCs/>
          <w:color w:val="3C1053"/>
          <w:sz w:val="20"/>
          <w:szCs w:val="20"/>
          <w:lang w:val="ro-RO"/>
        </w:rPr>
      </w:pPr>
      <w:r w:rsidRPr="00C2435E">
        <w:rPr>
          <w:rFonts w:ascii="Georgia" w:eastAsia="Arial" w:hAnsi="Georgia" w:cs="Arial"/>
          <w:b/>
          <w:bCs/>
          <w:color w:val="3C1053"/>
          <w:sz w:val="20"/>
          <w:szCs w:val="20"/>
          <w:lang w:val="ro-RO"/>
        </w:rPr>
        <w:t>Termenul de introducere a acțiunii – art. 11</w:t>
      </w:r>
    </w:p>
    <w:p w14:paraId="4AB573A0"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Prima modificare vizează </w:t>
      </w:r>
      <w:r w:rsidRPr="00FF0D9F">
        <w:rPr>
          <w:rFonts w:ascii="Georgia" w:eastAsia="Arial" w:hAnsi="Georgia" w:cs="Arial"/>
          <w:color w:val="252525"/>
          <w:sz w:val="20"/>
          <w:szCs w:val="20"/>
          <w:lang w:val="ro-RO"/>
        </w:rPr>
        <w:t xml:space="preserve">termenul de formulare a acțiunii în anulare în contencios administrativ. </w:t>
      </w:r>
      <w:r w:rsidRPr="00D406CB">
        <w:rPr>
          <w:rFonts w:ascii="Georgia" w:eastAsia="Arial" w:hAnsi="Georgia" w:cs="Arial"/>
          <w:color w:val="252525"/>
          <w:sz w:val="20"/>
          <w:szCs w:val="20"/>
          <w:lang w:val="ro-RO"/>
        </w:rPr>
        <w:t>Legea introduce o nouă literă d</w:t>
      </w:r>
      <w:r w:rsidRPr="00D406CB">
        <w:rPr>
          <w:rFonts w:ascii="Georgia" w:eastAsia="Arial" w:hAnsi="Georgia" w:cs="Arial"/>
          <w:color w:val="252525"/>
          <w:sz w:val="20"/>
          <w:szCs w:val="20"/>
          <w:vertAlign w:val="superscript"/>
          <w:lang w:val="ro-RO"/>
        </w:rPr>
        <w:t>1</w:t>
      </w:r>
      <w:r w:rsidRPr="00D406CB">
        <w:rPr>
          <w:rFonts w:ascii="Georgia" w:eastAsia="Arial" w:hAnsi="Georgia" w:cs="Arial"/>
          <w:color w:val="252525"/>
          <w:sz w:val="20"/>
          <w:szCs w:val="20"/>
          <w:lang w:val="ro-RO"/>
        </w:rPr>
        <w:t>) la articolul 11 alin. (1) prin care</w:t>
      </w:r>
      <w:r>
        <w:rPr>
          <w:rFonts w:ascii="Georgia" w:eastAsia="Arial" w:hAnsi="Georgia" w:cs="Arial"/>
          <w:color w:val="252525"/>
          <w:sz w:val="20"/>
          <w:szCs w:val="20"/>
          <w:lang w:val="ro-RO"/>
        </w:rPr>
        <w:t xml:space="preserve"> precizează că, în cazul actelor administrative pentru care plângerea prealabilă nu </w:t>
      </w:r>
      <w:r w:rsidRPr="00F72B1E">
        <w:rPr>
          <w:rFonts w:ascii="Georgia" w:eastAsia="Arial" w:hAnsi="Georgia" w:cs="Arial"/>
          <w:i/>
          <w:iCs/>
          <w:color w:val="252525"/>
          <w:sz w:val="20"/>
          <w:szCs w:val="20"/>
          <w:lang w:val="ro-RO"/>
        </w:rPr>
        <w:t>mai</w:t>
      </w:r>
      <w:r>
        <w:rPr>
          <w:rFonts w:ascii="Georgia" w:eastAsia="Arial" w:hAnsi="Georgia" w:cs="Arial"/>
          <w:color w:val="252525"/>
          <w:sz w:val="20"/>
          <w:szCs w:val="20"/>
          <w:lang w:val="ro-RO"/>
        </w:rPr>
        <w:t xml:space="preserve"> e obligatorie, termenul de prescripție de 6 luni pentru introducerea acțiunii în anulare va curge de la </w:t>
      </w:r>
      <w:r w:rsidRPr="00095A98">
        <w:rPr>
          <w:rFonts w:ascii="Georgia" w:eastAsia="Arial" w:hAnsi="Georgia" w:cs="Arial"/>
          <w:b/>
          <w:bCs/>
          <w:i/>
          <w:iCs/>
          <w:color w:val="252525"/>
          <w:sz w:val="20"/>
          <w:szCs w:val="20"/>
          <w:lang w:val="ro-RO"/>
        </w:rPr>
        <w:t>data luării la cunoștință a conținutului actului</w:t>
      </w:r>
      <w:r>
        <w:rPr>
          <w:rFonts w:ascii="Georgia" w:eastAsia="Arial" w:hAnsi="Georgia" w:cs="Arial"/>
          <w:color w:val="252525"/>
          <w:sz w:val="20"/>
          <w:szCs w:val="20"/>
          <w:lang w:val="ro-RO"/>
        </w:rPr>
        <w:t xml:space="preserve">. </w:t>
      </w:r>
    </w:p>
    <w:p w14:paraId="2E21A0BC"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Deși noul alineat pare că se referă la </w:t>
      </w:r>
      <w:r w:rsidRPr="00F72B1E">
        <w:rPr>
          <w:rFonts w:ascii="Georgia" w:eastAsia="Arial" w:hAnsi="Georgia" w:cs="Arial"/>
          <w:i/>
          <w:iCs/>
          <w:color w:val="252525"/>
          <w:sz w:val="20"/>
          <w:szCs w:val="20"/>
          <w:lang w:val="ro-RO"/>
        </w:rPr>
        <w:t>toate</w:t>
      </w:r>
      <w:r w:rsidRPr="00D9023A">
        <w:rPr>
          <w:rFonts w:ascii="Georgia" w:eastAsia="Arial" w:hAnsi="Georgia" w:cs="Arial"/>
          <w:color w:val="252525"/>
          <w:sz w:val="20"/>
          <w:szCs w:val="20"/>
          <w:lang w:val="ro-RO"/>
        </w:rPr>
        <w:t xml:space="preserve"> </w:t>
      </w:r>
      <w:r>
        <w:rPr>
          <w:rFonts w:ascii="Georgia" w:eastAsia="Arial" w:hAnsi="Georgia" w:cs="Arial"/>
          <w:color w:val="252525"/>
          <w:sz w:val="20"/>
          <w:szCs w:val="20"/>
          <w:lang w:val="ro-RO"/>
        </w:rPr>
        <w:t xml:space="preserve">actele exceptate de la formularea plângerii prealabile (adică toate categoriile de acte enumerate în art. 7 alin. (5) din Legea contenciosului administrativ), din expunerea de motive a Legii rezultă că inițiatorii acesteia erau preocupați specific numai de una dintre aceste categorii – și anume, categoria </w:t>
      </w:r>
      <w:r w:rsidRPr="00095A98">
        <w:rPr>
          <w:rFonts w:ascii="Georgia" w:eastAsia="Arial" w:hAnsi="Georgia" w:cs="Arial"/>
          <w:i/>
          <w:iCs/>
          <w:color w:val="252525"/>
          <w:sz w:val="20"/>
          <w:szCs w:val="20"/>
          <w:lang w:val="ro-RO"/>
        </w:rPr>
        <w:t>actel</w:t>
      </w:r>
      <w:r>
        <w:rPr>
          <w:rFonts w:ascii="Georgia" w:eastAsia="Arial" w:hAnsi="Georgia" w:cs="Arial"/>
          <w:i/>
          <w:iCs/>
          <w:color w:val="252525"/>
          <w:sz w:val="20"/>
          <w:szCs w:val="20"/>
          <w:lang w:val="ro-RO"/>
        </w:rPr>
        <w:t>or</w:t>
      </w:r>
      <w:r w:rsidRPr="00095A98">
        <w:rPr>
          <w:rFonts w:ascii="Georgia" w:eastAsia="Arial" w:hAnsi="Georgia" w:cs="Arial"/>
          <w:i/>
          <w:iCs/>
          <w:color w:val="252525"/>
          <w:sz w:val="20"/>
          <w:szCs w:val="20"/>
          <w:lang w:val="ro-RO"/>
        </w:rPr>
        <w:t xml:space="preserve"> individuale care </w:t>
      </w:r>
      <w:r>
        <w:rPr>
          <w:rFonts w:ascii="Georgia" w:eastAsia="Arial" w:hAnsi="Georgia" w:cs="Arial"/>
          <w:i/>
          <w:iCs/>
          <w:color w:val="252525"/>
          <w:sz w:val="20"/>
          <w:szCs w:val="20"/>
          <w:lang w:val="ro-RO"/>
        </w:rPr>
        <w:t xml:space="preserve">nu mai pot fi revocate întrucât </w:t>
      </w:r>
      <w:r w:rsidRPr="00095A98">
        <w:rPr>
          <w:rFonts w:ascii="Georgia" w:eastAsia="Arial" w:hAnsi="Georgia" w:cs="Arial"/>
          <w:i/>
          <w:iCs/>
          <w:color w:val="252525"/>
          <w:sz w:val="20"/>
          <w:szCs w:val="20"/>
          <w:lang w:val="ro-RO"/>
        </w:rPr>
        <w:t>au intrat în circuitul civil și au produs efecte juridice</w:t>
      </w:r>
      <w:r>
        <w:rPr>
          <w:rFonts w:ascii="Georgia" w:eastAsia="Arial" w:hAnsi="Georgia" w:cs="Arial"/>
          <w:color w:val="252525"/>
          <w:sz w:val="20"/>
          <w:szCs w:val="20"/>
          <w:lang w:val="ro-RO"/>
        </w:rPr>
        <w:t xml:space="preserve">. Într-adevăr, aceasta era de fapt singura categorie de acte </w:t>
      </w:r>
      <w:r>
        <w:rPr>
          <w:rFonts w:ascii="Georgia" w:eastAsia="Arial" w:hAnsi="Georgia" w:cs="Arial"/>
          <w:color w:val="252525"/>
          <w:sz w:val="20"/>
          <w:szCs w:val="20"/>
          <w:lang w:val="ro-RO"/>
        </w:rPr>
        <w:lastRenderedPageBreak/>
        <w:t xml:space="preserve">pentru care nu exista deja o reglementare în cuprinsul art. 11 cu privire la începutul curgerii termenului de 6 luni. Această intenție nu a transpărut ca atare și în Lege. </w:t>
      </w:r>
    </w:p>
    <w:p w14:paraId="5B201D71"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Dincolo însă de acest aspect, momentul ales de legiuitor – </w:t>
      </w:r>
      <w:r w:rsidRPr="00095A98">
        <w:rPr>
          <w:rFonts w:ascii="Georgia" w:eastAsia="Arial" w:hAnsi="Georgia" w:cs="Arial"/>
          <w:i/>
          <w:iCs/>
          <w:color w:val="252525"/>
          <w:sz w:val="20"/>
          <w:szCs w:val="20"/>
          <w:lang w:val="ro-RO"/>
        </w:rPr>
        <w:t>data luării la cunoștință a conținutului actului</w:t>
      </w:r>
      <w:r>
        <w:rPr>
          <w:rFonts w:ascii="Georgia" w:eastAsia="Arial" w:hAnsi="Georgia" w:cs="Arial"/>
          <w:color w:val="252525"/>
          <w:sz w:val="20"/>
          <w:szCs w:val="20"/>
          <w:lang w:val="ro-RO"/>
        </w:rPr>
        <w:t xml:space="preserve"> – e susceptibil de a ridica câteva semne de întrebare în practică: </w:t>
      </w:r>
    </w:p>
    <w:p w14:paraId="7A166D63" w14:textId="77777777" w:rsidR="003F50DD" w:rsidRDefault="003F50DD">
      <w:pPr>
        <w:pStyle w:val="ListParagraph"/>
        <w:numPr>
          <w:ilvl w:val="0"/>
          <w:numId w:val="16"/>
        </w:numPr>
        <w:spacing w:after="140" w:line="280" w:lineRule="exact"/>
        <w:ind w:left="540" w:hanging="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noua prevedere nu distinge între situația </w:t>
      </w:r>
      <w:r w:rsidRPr="00095A98">
        <w:rPr>
          <w:rFonts w:ascii="Georgia" w:eastAsia="Arial" w:hAnsi="Georgia" w:cs="Arial"/>
          <w:i/>
          <w:iCs/>
          <w:color w:val="252525"/>
          <w:sz w:val="20"/>
          <w:szCs w:val="20"/>
          <w:lang w:val="ro-RO"/>
        </w:rPr>
        <w:t>beneficiarului actului individual</w:t>
      </w:r>
      <w:r>
        <w:rPr>
          <w:rFonts w:ascii="Georgia" w:eastAsia="Arial" w:hAnsi="Georgia" w:cs="Arial"/>
          <w:color w:val="252525"/>
          <w:sz w:val="20"/>
          <w:szCs w:val="20"/>
          <w:lang w:val="ro-RO"/>
        </w:rPr>
        <w:t xml:space="preserve"> și cea a </w:t>
      </w:r>
      <w:r w:rsidRPr="00095A98">
        <w:rPr>
          <w:rFonts w:ascii="Georgia" w:eastAsia="Arial" w:hAnsi="Georgia" w:cs="Arial"/>
          <w:i/>
          <w:iCs/>
          <w:color w:val="252525"/>
          <w:sz w:val="20"/>
          <w:szCs w:val="20"/>
          <w:lang w:val="ro-RO"/>
        </w:rPr>
        <w:t>terțului</w:t>
      </w:r>
      <w:r>
        <w:rPr>
          <w:rFonts w:ascii="Georgia" w:eastAsia="Arial" w:hAnsi="Georgia" w:cs="Arial"/>
          <w:color w:val="252525"/>
          <w:sz w:val="20"/>
          <w:szCs w:val="20"/>
          <w:lang w:val="ro-RO"/>
        </w:rPr>
        <w:t xml:space="preserve"> – ca regulă, în filosofia Legii contenciosului administrativ, data luării la cunoștință a existenței sau a conținutului actului este stabilită pentru acțiunile introduse de terți, iar cea a comunicării pentru acțiunile introduse de beneficiari; </w:t>
      </w:r>
    </w:p>
    <w:p w14:paraId="496F5A0A" w14:textId="77777777" w:rsidR="003F50DD" w:rsidRDefault="003F50DD">
      <w:pPr>
        <w:pStyle w:val="ListParagraph"/>
        <w:numPr>
          <w:ilvl w:val="0"/>
          <w:numId w:val="16"/>
        </w:numPr>
        <w:spacing w:after="140" w:line="280" w:lineRule="exact"/>
        <w:ind w:left="540" w:hanging="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stabilirea </w:t>
      </w:r>
      <w:r w:rsidRPr="00F72B1E">
        <w:rPr>
          <w:rFonts w:ascii="Georgia" w:eastAsia="Arial" w:hAnsi="Georgia" w:cs="Arial"/>
          <w:i/>
          <w:iCs/>
          <w:color w:val="252525"/>
          <w:sz w:val="20"/>
          <w:szCs w:val="20"/>
          <w:lang w:val="ro-RO"/>
        </w:rPr>
        <w:t>datei cunoașterii conținutului actului</w:t>
      </w:r>
      <w:r>
        <w:rPr>
          <w:rFonts w:ascii="Georgia" w:eastAsia="Arial" w:hAnsi="Georgia" w:cs="Arial"/>
          <w:color w:val="252525"/>
          <w:sz w:val="20"/>
          <w:szCs w:val="20"/>
          <w:lang w:val="ro-RO"/>
        </w:rPr>
        <w:t xml:space="preserve"> și pentru beneficiar poate genera complicații probatorii – în ceea ce îl privește pe beneficiar, ar trebui să opereze o prezumție de cunoaștere a conținutului actului de la momentul comunicării acestuia; în ce măsură însă beneficiarul ar putea să răstoarne această prezumție prin probe contrare, va rămâne de văzut; </w:t>
      </w:r>
    </w:p>
    <w:p w14:paraId="4FDDFAD6" w14:textId="77777777" w:rsidR="003F50DD" w:rsidRPr="00095A98" w:rsidRDefault="003F50DD">
      <w:pPr>
        <w:pStyle w:val="ListParagraph"/>
        <w:numPr>
          <w:ilvl w:val="0"/>
          <w:numId w:val="16"/>
        </w:numPr>
        <w:spacing w:after="140" w:line="280" w:lineRule="exact"/>
        <w:ind w:left="540" w:hanging="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de multe ori, data cunoașterii conținutului actului este </w:t>
      </w:r>
      <w:r w:rsidRPr="00F72B1E">
        <w:rPr>
          <w:rFonts w:ascii="Georgia" w:eastAsia="Arial" w:hAnsi="Georgia" w:cs="Arial"/>
          <w:i/>
          <w:iCs/>
          <w:color w:val="252525"/>
          <w:sz w:val="20"/>
          <w:szCs w:val="20"/>
          <w:lang w:val="ro-RO"/>
        </w:rPr>
        <w:t>anterioară</w:t>
      </w:r>
      <w:r>
        <w:rPr>
          <w:rFonts w:ascii="Georgia" w:eastAsia="Arial" w:hAnsi="Georgia" w:cs="Arial"/>
          <w:color w:val="252525"/>
          <w:sz w:val="20"/>
          <w:szCs w:val="20"/>
          <w:lang w:val="ro-RO"/>
        </w:rPr>
        <w:t xml:space="preserve"> momentului în care actul devine irevocabil ca urmare a intrării în circuitul civil și a producerii de efecte juridice – așadar, aplicarea acestei dispoziții va conduce în unele situații la o suprapunere între termenul de formulare a plângerii prealabile și termenul de formulare a acțiunii în anulare. </w:t>
      </w:r>
    </w:p>
    <w:p w14:paraId="11ECCF58" w14:textId="77777777" w:rsidR="003F50DD" w:rsidRPr="00C2435E" w:rsidRDefault="003F50DD" w:rsidP="003F50DD">
      <w:pPr>
        <w:spacing w:after="140" w:line="280" w:lineRule="exact"/>
        <w:jc w:val="both"/>
        <w:rPr>
          <w:rFonts w:ascii="Georgia" w:hAnsi="Georgia"/>
          <w:b/>
          <w:bCs/>
          <w:sz w:val="20"/>
          <w:szCs w:val="20"/>
          <w:lang w:val="ro-RO"/>
        </w:rPr>
      </w:pPr>
      <w:r w:rsidRPr="00C2435E">
        <w:rPr>
          <w:rFonts w:ascii="Georgia" w:eastAsia="Arial" w:hAnsi="Georgia" w:cs="Arial"/>
          <w:b/>
          <w:bCs/>
          <w:color w:val="3C1053"/>
          <w:sz w:val="20"/>
          <w:szCs w:val="20"/>
          <w:lang w:val="ro-RO"/>
        </w:rPr>
        <w:t xml:space="preserve">Suspendarea executării actului – art. 14 </w:t>
      </w:r>
    </w:p>
    <w:p w14:paraId="44DB1027"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Legea cuprinde două modificări cu privire la acțiunea în suspendarea executării actului administrativ formulată pe cale separată: </w:t>
      </w:r>
    </w:p>
    <w:p w14:paraId="23076FF4" w14:textId="77777777" w:rsidR="003F50DD" w:rsidRDefault="003F50DD">
      <w:pPr>
        <w:pStyle w:val="ListParagraph"/>
        <w:numPr>
          <w:ilvl w:val="0"/>
          <w:numId w:val="15"/>
        </w:numPr>
        <w:spacing w:after="140" w:line="280" w:lineRule="exact"/>
        <w:ind w:left="540" w:hanging="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Legea introduce un </w:t>
      </w:r>
      <w:r w:rsidRPr="00095A98">
        <w:rPr>
          <w:rFonts w:ascii="Georgia" w:eastAsia="Arial" w:hAnsi="Georgia" w:cs="Arial"/>
          <w:b/>
          <w:bCs/>
          <w:color w:val="252525"/>
          <w:sz w:val="20"/>
          <w:szCs w:val="20"/>
          <w:lang w:val="ro-RO"/>
        </w:rPr>
        <w:t>termen de 30 de zile</w:t>
      </w:r>
      <w:r>
        <w:rPr>
          <w:rFonts w:ascii="Georgia" w:eastAsia="Arial" w:hAnsi="Georgia" w:cs="Arial"/>
          <w:color w:val="252525"/>
          <w:sz w:val="20"/>
          <w:szCs w:val="20"/>
          <w:lang w:val="ro-RO"/>
        </w:rPr>
        <w:t xml:space="preserve"> pentru formularea acțiunii în suspendare în temeiul art. 14 pentru </w:t>
      </w:r>
      <w:r w:rsidRPr="00F72B1E">
        <w:rPr>
          <w:rFonts w:ascii="Georgia" w:eastAsia="Arial" w:hAnsi="Georgia" w:cs="Arial"/>
          <w:i/>
          <w:iCs/>
          <w:color w:val="252525"/>
          <w:sz w:val="20"/>
          <w:szCs w:val="20"/>
          <w:lang w:val="ro-RO"/>
        </w:rPr>
        <w:t>actele care nu mai pot fi revocate</w:t>
      </w:r>
    </w:p>
    <w:p w14:paraId="6F5E9790" w14:textId="77777777" w:rsidR="003F50DD" w:rsidRPr="00095A98" w:rsidRDefault="003F50DD" w:rsidP="003F50DD">
      <w:pPr>
        <w:pStyle w:val="ListParagraph"/>
        <w:spacing w:after="140" w:line="280" w:lineRule="exact"/>
        <w:ind w:left="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Posibil cea mai periculoasă dintre modificări și cu cel mai mare impact practic, limitarea termenului de formulare a acțiunii în suspendarea actelor care nu mai pot fi revocate (pentru că au intrat în circuitul civil și au produs efecte juridice) ridică probleme din perspectiva dreptului de acces la justiție. În practică, există situații în care una dintre condițiile necesare pentru suspendare – paguba iminentă – apare </w:t>
      </w:r>
      <w:r w:rsidRPr="00095A98">
        <w:rPr>
          <w:rFonts w:ascii="Georgia" w:eastAsia="Arial" w:hAnsi="Georgia" w:cs="Arial"/>
          <w:b/>
          <w:bCs/>
          <w:i/>
          <w:iCs/>
          <w:color w:val="252525"/>
          <w:sz w:val="20"/>
          <w:szCs w:val="20"/>
          <w:lang w:val="ro-RO"/>
        </w:rPr>
        <w:t>după</w:t>
      </w:r>
      <w:r>
        <w:rPr>
          <w:rFonts w:ascii="Georgia" w:eastAsia="Arial" w:hAnsi="Georgia" w:cs="Arial"/>
          <w:color w:val="252525"/>
          <w:sz w:val="20"/>
          <w:szCs w:val="20"/>
          <w:lang w:val="ro-RO"/>
        </w:rPr>
        <w:t xml:space="preserve"> 30 de zile de la luarea la cunoștință a conținutului actului. Or, în aceste situații, în urma modificărilor aduse Legii contenciosului administrativ, persoana vătămată nu va mai avea acces la acțiunea în suspendare prevăzută de art. 14.  </w:t>
      </w:r>
    </w:p>
    <w:p w14:paraId="1AE96ACC" w14:textId="77777777" w:rsidR="003F50DD" w:rsidRPr="00095A98" w:rsidRDefault="003F50DD">
      <w:pPr>
        <w:pStyle w:val="ListParagraph"/>
        <w:numPr>
          <w:ilvl w:val="0"/>
          <w:numId w:val="15"/>
        </w:numPr>
        <w:spacing w:after="140" w:line="280" w:lineRule="exact"/>
        <w:ind w:left="540" w:hanging="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Legea clarifică momentul de la care curge termenul limită de 60 de zile pentru introducerea acțiunii în anulare – în urma modificării, persoana vătămată care a recurs la remediul prevăzut de art. 14 va trebui să introducă acțiunea în anularea actului administrativ </w:t>
      </w:r>
      <w:r w:rsidRPr="00095A98">
        <w:rPr>
          <w:rFonts w:ascii="Georgia" w:eastAsia="Arial" w:hAnsi="Georgia" w:cs="Arial"/>
          <w:b/>
          <w:bCs/>
          <w:color w:val="252525"/>
          <w:sz w:val="20"/>
          <w:szCs w:val="20"/>
          <w:lang w:val="ro-RO"/>
        </w:rPr>
        <w:t>în termen de 60 de zile de la introducerea cer</w:t>
      </w:r>
      <w:r>
        <w:rPr>
          <w:rFonts w:ascii="Georgia" w:eastAsia="Arial" w:hAnsi="Georgia" w:cs="Arial"/>
          <w:b/>
          <w:bCs/>
          <w:color w:val="252525"/>
          <w:sz w:val="20"/>
          <w:szCs w:val="20"/>
          <w:lang w:val="ro-RO"/>
        </w:rPr>
        <w:t>er</w:t>
      </w:r>
      <w:r w:rsidRPr="00095A98">
        <w:rPr>
          <w:rFonts w:ascii="Georgia" w:eastAsia="Arial" w:hAnsi="Georgia" w:cs="Arial"/>
          <w:b/>
          <w:bCs/>
          <w:color w:val="252525"/>
          <w:sz w:val="20"/>
          <w:szCs w:val="20"/>
          <w:lang w:val="ro-RO"/>
        </w:rPr>
        <w:t>ii de suspendare</w:t>
      </w:r>
    </w:p>
    <w:p w14:paraId="07B2D4C7" w14:textId="77777777" w:rsidR="003F50DD" w:rsidRPr="00B2651C" w:rsidRDefault="003F50DD" w:rsidP="003F50DD">
      <w:pPr>
        <w:pStyle w:val="ListParagraph"/>
        <w:spacing w:after="140" w:line="280" w:lineRule="exact"/>
        <w:ind w:left="540"/>
        <w:contextualSpacing w:val="0"/>
        <w:jc w:val="both"/>
        <w:rPr>
          <w:rFonts w:ascii="Georgia" w:eastAsia="Arial" w:hAnsi="Georgia" w:cs="Arial"/>
          <w:color w:val="252525"/>
          <w:sz w:val="20"/>
          <w:szCs w:val="20"/>
          <w:lang w:val="ro-RO"/>
        </w:rPr>
      </w:pPr>
      <w:r>
        <w:rPr>
          <w:rFonts w:ascii="Georgia" w:eastAsia="Arial" w:hAnsi="Georgia" w:cs="Arial"/>
          <w:color w:val="252525"/>
          <w:sz w:val="20"/>
          <w:szCs w:val="20"/>
          <w:lang w:val="ro-RO"/>
        </w:rPr>
        <w:t>Deși înainte de modificare Legea contenciosului administrativ nu prevedea expres momentul de la care începe curgerea termenului de 60 de zile, exista o interpretare statornicită (inclusiv prin decizii ale Curții Constituționale) în sensul că termenul curge de la</w:t>
      </w:r>
      <w:r w:rsidRPr="00B2651C">
        <w:rPr>
          <w:rFonts w:ascii="Georgia" w:eastAsia="Arial" w:hAnsi="Georgia" w:cs="Arial"/>
          <w:color w:val="252525"/>
          <w:sz w:val="20"/>
          <w:szCs w:val="20"/>
          <w:lang w:val="ro-RO"/>
        </w:rPr>
        <w:t xml:space="preserve"> data</w:t>
      </w:r>
      <w:r w:rsidRPr="00095A98">
        <w:rPr>
          <w:rFonts w:ascii="Georgia" w:eastAsia="Arial" w:hAnsi="Georgia" w:cs="Arial"/>
          <w:b/>
          <w:bCs/>
          <w:i/>
          <w:iCs/>
          <w:color w:val="252525"/>
          <w:sz w:val="20"/>
          <w:szCs w:val="20"/>
          <w:lang w:val="ro-RO"/>
        </w:rPr>
        <w:t xml:space="preserve"> soluționării</w:t>
      </w:r>
      <w:r w:rsidRPr="00095A98">
        <w:rPr>
          <w:rFonts w:ascii="Georgia" w:eastAsia="Arial" w:hAnsi="Georgia" w:cs="Arial"/>
          <w:i/>
          <w:iCs/>
          <w:color w:val="252525"/>
          <w:sz w:val="20"/>
          <w:szCs w:val="20"/>
          <w:lang w:val="ro-RO"/>
        </w:rPr>
        <w:t xml:space="preserve"> </w:t>
      </w:r>
      <w:r w:rsidRPr="00B2651C">
        <w:rPr>
          <w:rFonts w:ascii="Georgia" w:eastAsia="Arial" w:hAnsi="Georgia" w:cs="Arial"/>
          <w:color w:val="252525"/>
          <w:sz w:val="20"/>
          <w:szCs w:val="20"/>
          <w:lang w:val="ro-RO"/>
        </w:rPr>
        <w:t>cererii de suspendare</w:t>
      </w:r>
      <w:r>
        <w:rPr>
          <w:rFonts w:ascii="Georgia" w:eastAsia="Arial" w:hAnsi="Georgia" w:cs="Arial"/>
          <w:color w:val="252525"/>
          <w:sz w:val="20"/>
          <w:szCs w:val="20"/>
          <w:lang w:val="ro-RO"/>
        </w:rPr>
        <w:t xml:space="preserve">. Urmare a modificării, acest moment va fi înlocuit cu cel al </w:t>
      </w:r>
      <w:r w:rsidRPr="00095A98">
        <w:rPr>
          <w:rFonts w:ascii="Georgia" w:eastAsia="Arial" w:hAnsi="Georgia" w:cs="Arial"/>
          <w:b/>
          <w:bCs/>
          <w:i/>
          <w:iCs/>
          <w:color w:val="252525"/>
          <w:sz w:val="20"/>
          <w:szCs w:val="20"/>
          <w:lang w:val="ro-RO"/>
        </w:rPr>
        <w:t>introducerii</w:t>
      </w:r>
      <w:r w:rsidRPr="00095A98">
        <w:rPr>
          <w:rFonts w:ascii="Georgia" w:eastAsia="Arial" w:hAnsi="Georgia" w:cs="Arial"/>
          <w:b/>
          <w:bCs/>
          <w:color w:val="252525"/>
          <w:sz w:val="20"/>
          <w:szCs w:val="20"/>
          <w:lang w:val="ro-RO"/>
        </w:rPr>
        <w:t xml:space="preserve"> </w:t>
      </w:r>
      <w:r w:rsidRPr="00B2651C">
        <w:rPr>
          <w:rFonts w:ascii="Georgia" w:eastAsia="Arial" w:hAnsi="Georgia" w:cs="Arial"/>
          <w:color w:val="252525"/>
          <w:sz w:val="20"/>
          <w:szCs w:val="20"/>
          <w:lang w:val="ro-RO"/>
        </w:rPr>
        <w:t>cererii de suspendare,</w:t>
      </w:r>
      <w:r>
        <w:rPr>
          <w:rFonts w:ascii="Georgia" w:eastAsia="Arial" w:hAnsi="Georgia" w:cs="Arial"/>
          <w:color w:val="252525"/>
          <w:sz w:val="20"/>
          <w:szCs w:val="20"/>
          <w:lang w:val="ro-RO"/>
        </w:rPr>
        <w:t xml:space="preserve"> scurtând semnificativ timpul aflat la dispoziția persoanei vătămate pentru formularea acțiunii în anulare. </w:t>
      </w:r>
    </w:p>
    <w:p w14:paraId="72998066" w14:textId="77777777" w:rsidR="003F50DD" w:rsidRPr="00C2435E" w:rsidRDefault="003F50DD" w:rsidP="003F50DD">
      <w:pPr>
        <w:spacing w:after="140" w:line="280" w:lineRule="exact"/>
        <w:jc w:val="both"/>
        <w:rPr>
          <w:rFonts w:ascii="Georgia" w:hAnsi="Georgia"/>
          <w:b/>
          <w:bCs/>
          <w:color w:val="3C1053"/>
          <w:sz w:val="20"/>
          <w:szCs w:val="20"/>
          <w:lang w:val="ro-RO"/>
        </w:rPr>
      </w:pPr>
      <w:r w:rsidRPr="00C2435E">
        <w:rPr>
          <w:rFonts w:ascii="Georgia" w:eastAsia="Arial" w:hAnsi="Georgia" w:cs="Arial"/>
          <w:b/>
          <w:bCs/>
          <w:color w:val="3C1053"/>
          <w:sz w:val="20"/>
          <w:szCs w:val="20"/>
          <w:lang w:val="ro-RO"/>
        </w:rPr>
        <w:t>Solicitarea suspendării prin acțiunea principală – art. 15</w:t>
      </w:r>
    </w:p>
    <w:p w14:paraId="05DFCC68" w14:textId="77777777" w:rsidR="003F50DD" w:rsidRDefault="003F50DD" w:rsidP="003F50DD">
      <w:pPr>
        <w:spacing w:after="140" w:line="280" w:lineRule="exact"/>
        <w:jc w:val="both"/>
        <w:rPr>
          <w:rFonts w:ascii="Georgia" w:eastAsia="Arial" w:hAnsi="Georgia" w:cs="Arial"/>
          <w:color w:val="252525"/>
          <w:sz w:val="20"/>
          <w:szCs w:val="20"/>
          <w:lang w:val="ro-RO"/>
        </w:rPr>
      </w:pPr>
      <w:r>
        <w:rPr>
          <w:rFonts w:ascii="Georgia" w:eastAsia="Arial" w:hAnsi="Georgia" w:cs="Arial"/>
          <w:color w:val="252525"/>
          <w:sz w:val="20"/>
          <w:szCs w:val="20"/>
          <w:lang w:val="ro-RO"/>
        </w:rPr>
        <w:t xml:space="preserve">Ultima modificare vizează tot acțiunea în suspendarea actului administrativ introdusă pe cale separată, însă în temeiul art. 15 din Legea contenciosului administrativ, adică </w:t>
      </w:r>
      <w:r w:rsidRPr="00F72B1E">
        <w:rPr>
          <w:rFonts w:ascii="Georgia" w:eastAsia="Arial" w:hAnsi="Georgia" w:cs="Arial"/>
          <w:b/>
          <w:bCs/>
          <w:i/>
          <w:iCs/>
          <w:color w:val="252525"/>
          <w:sz w:val="20"/>
          <w:szCs w:val="20"/>
          <w:lang w:val="ro-RO"/>
        </w:rPr>
        <w:t>după</w:t>
      </w:r>
      <w:r>
        <w:rPr>
          <w:rFonts w:ascii="Georgia" w:eastAsia="Arial" w:hAnsi="Georgia" w:cs="Arial"/>
          <w:color w:val="252525"/>
          <w:sz w:val="20"/>
          <w:szCs w:val="20"/>
          <w:lang w:val="ro-RO"/>
        </w:rPr>
        <w:t xml:space="preserve"> formularea acțiunii în anulare. </w:t>
      </w:r>
    </w:p>
    <w:p w14:paraId="75B1754A" w14:textId="77777777" w:rsidR="003F50DD" w:rsidRPr="00D406CB" w:rsidRDefault="003F50DD" w:rsidP="003F50DD">
      <w:pPr>
        <w:spacing w:after="140" w:line="280" w:lineRule="exact"/>
        <w:jc w:val="both"/>
        <w:rPr>
          <w:rFonts w:ascii="Georgia" w:hAnsi="Georgia"/>
          <w:sz w:val="20"/>
          <w:szCs w:val="20"/>
          <w:lang w:val="ro-RO"/>
        </w:rPr>
      </w:pPr>
      <w:r>
        <w:rPr>
          <w:rFonts w:ascii="Georgia" w:eastAsia="Arial" w:hAnsi="Georgia" w:cs="Arial"/>
          <w:color w:val="252525"/>
          <w:sz w:val="20"/>
          <w:szCs w:val="20"/>
          <w:lang w:val="ro-RO"/>
        </w:rPr>
        <w:t xml:space="preserve">Înainte de modificare, Legea contenciosului prevedea că o astfel de cerere de suspendare poate fi introdusă oricând până la soluționarea în fond a acțiunii în anulare. Legea vine să scurteze acest termen, </w:t>
      </w:r>
      <w:r>
        <w:rPr>
          <w:rFonts w:ascii="Georgia" w:eastAsia="Arial" w:hAnsi="Georgia" w:cs="Arial"/>
          <w:color w:val="252525"/>
          <w:sz w:val="20"/>
          <w:szCs w:val="20"/>
          <w:lang w:val="ro-RO"/>
        </w:rPr>
        <w:lastRenderedPageBreak/>
        <w:t xml:space="preserve">precizând că cererea de suspendare poate fi formulată în </w:t>
      </w:r>
      <w:r w:rsidRPr="00F72B1E">
        <w:rPr>
          <w:rFonts w:ascii="Georgia" w:eastAsia="Arial" w:hAnsi="Georgia" w:cs="Arial"/>
          <w:b/>
          <w:bCs/>
          <w:i/>
          <w:iCs/>
          <w:color w:val="252525"/>
          <w:sz w:val="20"/>
          <w:szCs w:val="20"/>
          <w:lang w:val="ro-RO"/>
        </w:rPr>
        <w:t>termen de maxim</w:t>
      </w:r>
      <w:r>
        <w:rPr>
          <w:rFonts w:ascii="Georgia" w:eastAsia="Arial" w:hAnsi="Georgia" w:cs="Arial"/>
          <w:b/>
          <w:bCs/>
          <w:i/>
          <w:iCs/>
          <w:color w:val="252525"/>
          <w:sz w:val="20"/>
          <w:szCs w:val="20"/>
          <w:lang w:val="ro-RO"/>
        </w:rPr>
        <w:t>um</w:t>
      </w:r>
      <w:r w:rsidRPr="00F72B1E">
        <w:rPr>
          <w:rFonts w:ascii="Georgia" w:eastAsia="Arial" w:hAnsi="Georgia" w:cs="Arial"/>
          <w:b/>
          <w:bCs/>
          <w:i/>
          <w:iCs/>
          <w:color w:val="252525"/>
          <w:sz w:val="20"/>
          <w:szCs w:val="20"/>
          <w:lang w:val="ro-RO"/>
        </w:rPr>
        <w:t xml:space="preserve"> 60 de zile</w:t>
      </w:r>
      <w:r>
        <w:rPr>
          <w:rFonts w:ascii="Georgia" w:eastAsia="Arial" w:hAnsi="Georgia" w:cs="Arial"/>
          <w:color w:val="252525"/>
          <w:sz w:val="20"/>
          <w:szCs w:val="20"/>
          <w:lang w:val="ro-RO"/>
        </w:rPr>
        <w:t xml:space="preserve"> de la introducerea acțiunii în anulare.  </w:t>
      </w:r>
    </w:p>
    <w:p w14:paraId="33ED8AF9" w14:textId="77777777" w:rsidR="003F50DD" w:rsidRDefault="003F50DD" w:rsidP="003F50DD">
      <w:pPr>
        <w:spacing w:after="140" w:line="280" w:lineRule="exact"/>
        <w:jc w:val="both"/>
        <w:rPr>
          <w:rFonts w:ascii="Georgia" w:eastAsia="Arial" w:hAnsi="Georgia" w:cs="Arial"/>
          <w:b/>
          <w:bCs/>
          <w:color w:val="252525"/>
          <w:sz w:val="20"/>
          <w:szCs w:val="20"/>
          <w:lang w:val="ro-RO"/>
        </w:rPr>
      </w:pPr>
    </w:p>
    <w:p w14:paraId="3AF94C4C" w14:textId="77777777" w:rsidR="003F50DD" w:rsidRDefault="003F50DD" w:rsidP="003F50DD">
      <w:pPr>
        <w:spacing w:after="140" w:line="280" w:lineRule="exact"/>
        <w:jc w:val="both"/>
        <w:rPr>
          <w:rFonts w:ascii="Georgia" w:eastAsia="Arial" w:hAnsi="Georgia" w:cs="Arial"/>
          <w:b/>
          <w:bCs/>
          <w:color w:val="252525"/>
          <w:sz w:val="20"/>
          <w:szCs w:val="20"/>
          <w:lang w:val="ro-RO"/>
        </w:rPr>
      </w:pPr>
      <w:r w:rsidRPr="00D406CB">
        <w:rPr>
          <w:rFonts w:ascii="Georgia" w:eastAsia="Arial" w:hAnsi="Georgia" w:cs="Arial"/>
          <w:b/>
          <w:bCs/>
          <w:color w:val="252525"/>
          <w:sz w:val="20"/>
          <w:szCs w:val="20"/>
          <w:lang w:val="ro-RO"/>
        </w:rPr>
        <w:t>Concluzii</w:t>
      </w:r>
    </w:p>
    <w:p w14:paraId="08F0D149" w14:textId="77777777" w:rsidR="003F50DD" w:rsidRPr="00D406CB" w:rsidRDefault="003F50DD" w:rsidP="003F50DD">
      <w:pPr>
        <w:spacing w:after="140" w:line="280" w:lineRule="exact"/>
        <w:jc w:val="both"/>
        <w:rPr>
          <w:rFonts w:ascii="Georgia" w:hAnsi="Georgia"/>
          <w:sz w:val="20"/>
          <w:szCs w:val="20"/>
          <w:lang w:val="ro-RO"/>
        </w:rPr>
      </w:pP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 materia autorizării lucrărilor de construire, Legea introduce noi formalități de publicitate</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vederea aducerii la cunoștința publicului interesat a conținutul</w:t>
      </w:r>
      <w:r>
        <w:rPr>
          <w:rFonts w:ascii="Georgia" w:eastAsia="Arial" w:hAnsi="Georgia" w:cs="Arial"/>
          <w:color w:val="252525"/>
          <w:sz w:val="20"/>
          <w:szCs w:val="20"/>
          <w:lang w:val="ro-RO"/>
        </w:rPr>
        <w:t>ui</w:t>
      </w:r>
      <w:r w:rsidRPr="00D406CB">
        <w:rPr>
          <w:rFonts w:ascii="Georgia" w:eastAsia="Arial" w:hAnsi="Georgia" w:cs="Arial"/>
          <w:color w:val="252525"/>
          <w:sz w:val="20"/>
          <w:szCs w:val="20"/>
          <w:lang w:val="ro-RO"/>
        </w:rPr>
        <w:t xml:space="preserve"> autorizației de construire. Aceste modificări sunt menite 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securizeze circuitul civil </w:t>
      </w:r>
      <w:r>
        <w:rPr>
          <w:rFonts w:ascii="Georgia" w:eastAsia="Arial" w:hAnsi="Georgia" w:cs="Arial"/>
          <w:color w:val="252525"/>
          <w:sz w:val="20"/>
          <w:szCs w:val="20"/>
          <w:lang w:val="ro-RO"/>
        </w:rPr>
        <w:t>ș</w:t>
      </w:r>
      <w:r w:rsidRPr="00D406CB">
        <w:rPr>
          <w:rFonts w:ascii="Georgia" w:eastAsia="Arial" w:hAnsi="Georgia" w:cs="Arial"/>
          <w:color w:val="252525"/>
          <w:sz w:val="20"/>
          <w:szCs w:val="20"/>
          <w:lang w:val="ro-RO"/>
        </w:rPr>
        <w:t>i s</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curme situații</w:t>
      </w:r>
      <w:r>
        <w:rPr>
          <w:rFonts w:ascii="Georgia" w:eastAsia="Arial" w:hAnsi="Georgia" w:cs="Arial"/>
          <w:color w:val="252525"/>
          <w:sz w:val="20"/>
          <w:szCs w:val="20"/>
          <w:lang w:val="ro-RO"/>
        </w:rPr>
        <w:t xml:space="preserve">le în </w:t>
      </w:r>
      <w:r w:rsidRPr="00D406CB">
        <w:rPr>
          <w:rFonts w:ascii="Georgia" w:eastAsia="Arial" w:hAnsi="Georgia" w:cs="Arial"/>
          <w:color w:val="252525"/>
          <w:sz w:val="20"/>
          <w:szCs w:val="20"/>
          <w:lang w:val="ro-RO"/>
        </w:rPr>
        <w:t>care autorizațiile de construire sunt atacate</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instanță la perioade lungi fa</w:t>
      </w:r>
      <w:r>
        <w:rPr>
          <w:rFonts w:ascii="Georgia" w:eastAsia="Arial" w:hAnsi="Georgia" w:cs="Arial"/>
          <w:color w:val="252525"/>
          <w:sz w:val="20"/>
          <w:szCs w:val="20"/>
          <w:lang w:val="ro-RO"/>
        </w:rPr>
        <w:t>ță</w:t>
      </w:r>
      <w:r w:rsidRPr="00D406CB">
        <w:rPr>
          <w:rFonts w:ascii="Georgia" w:eastAsia="Arial" w:hAnsi="Georgia" w:cs="Arial"/>
          <w:color w:val="252525"/>
          <w:sz w:val="20"/>
          <w:szCs w:val="20"/>
          <w:lang w:val="ro-RO"/>
        </w:rPr>
        <w:t xml:space="preserve"> de emiterea </w:t>
      </w:r>
      <w:r>
        <w:rPr>
          <w:rFonts w:ascii="Georgia" w:eastAsia="Arial" w:hAnsi="Georgia" w:cs="Arial"/>
          <w:color w:val="252525"/>
          <w:sz w:val="20"/>
          <w:szCs w:val="20"/>
          <w:lang w:val="ro-RO"/>
        </w:rPr>
        <w:t>acestora</w:t>
      </w:r>
      <w:r w:rsidRPr="00D406CB">
        <w:rPr>
          <w:rFonts w:ascii="Georgia" w:eastAsia="Arial" w:hAnsi="Georgia" w:cs="Arial"/>
          <w:color w:val="252525"/>
          <w:sz w:val="20"/>
          <w:szCs w:val="20"/>
          <w:lang w:val="ro-RO"/>
        </w:rPr>
        <w:t>, iar</w:t>
      </w:r>
      <w:r>
        <w:rPr>
          <w:rFonts w:ascii="Georgia" w:eastAsia="Arial" w:hAnsi="Georgia" w:cs="Arial"/>
          <w:color w:val="252525"/>
          <w:sz w:val="20"/>
          <w:szCs w:val="20"/>
          <w:lang w:val="ro-RO"/>
        </w:rPr>
        <w:t xml:space="preserve"> în </w:t>
      </w:r>
      <w:r w:rsidRPr="00D406CB">
        <w:rPr>
          <w:rFonts w:ascii="Georgia" w:eastAsia="Arial" w:hAnsi="Georgia" w:cs="Arial"/>
          <w:color w:val="252525"/>
          <w:sz w:val="20"/>
          <w:szCs w:val="20"/>
          <w:lang w:val="ro-RO"/>
        </w:rPr>
        <w:t xml:space="preserve">multe cazuri chiar </w:t>
      </w:r>
      <w:r>
        <w:rPr>
          <w:rFonts w:ascii="Georgia" w:eastAsia="Arial" w:hAnsi="Georgia" w:cs="Arial"/>
          <w:color w:val="252525"/>
          <w:sz w:val="20"/>
          <w:szCs w:val="20"/>
          <w:lang w:val="ro-RO"/>
        </w:rPr>
        <w:t>î</w:t>
      </w:r>
      <w:r w:rsidRPr="00D406CB">
        <w:rPr>
          <w:rFonts w:ascii="Georgia" w:eastAsia="Arial" w:hAnsi="Georgia" w:cs="Arial"/>
          <w:color w:val="252525"/>
          <w:sz w:val="20"/>
          <w:szCs w:val="20"/>
          <w:lang w:val="ro-RO"/>
        </w:rPr>
        <w:t>ntr-un stadiu avansat ori chiar dup</w:t>
      </w:r>
      <w:r>
        <w:rPr>
          <w:rFonts w:ascii="Georgia" w:eastAsia="Arial" w:hAnsi="Georgia" w:cs="Arial"/>
          <w:color w:val="252525"/>
          <w:sz w:val="20"/>
          <w:szCs w:val="20"/>
          <w:lang w:val="ro-RO"/>
        </w:rPr>
        <w:t>ă</w:t>
      </w:r>
      <w:r w:rsidRPr="00D406CB">
        <w:rPr>
          <w:rFonts w:ascii="Georgia" w:eastAsia="Arial" w:hAnsi="Georgia" w:cs="Arial"/>
          <w:color w:val="252525"/>
          <w:sz w:val="20"/>
          <w:szCs w:val="20"/>
          <w:lang w:val="ro-RO"/>
        </w:rPr>
        <w:t xml:space="preserve"> finalizarea lucrărilor de constru</w:t>
      </w:r>
      <w:r>
        <w:rPr>
          <w:rFonts w:ascii="Georgia" w:eastAsia="Arial" w:hAnsi="Georgia" w:cs="Arial"/>
          <w:color w:val="252525"/>
          <w:sz w:val="20"/>
          <w:szCs w:val="20"/>
          <w:lang w:val="ro-RO"/>
        </w:rPr>
        <w:t>ire</w:t>
      </w:r>
      <w:r w:rsidRPr="00D406CB">
        <w:rPr>
          <w:rFonts w:ascii="Georgia" w:eastAsia="Arial" w:hAnsi="Georgia" w:cs="Arial"/>
          <w:color w:val="252525"/>
          <w:sz w:val="20"/>
          <w:szCs w:val="20"/>
          <w:lang w:val="ro-RO"/>
        </w:rPr>
        <w:t>.</w:t>
      </w:r>
      <w:r>
        <w:rPr>
          <w:rFonts w:ascii="Georgia" w:eastAsia="Arial" w:hAnsi="Georgia" w:cs="Arial"/>
          <w:color w:val="252525"/>
          <w:sz w:val="20"/>
          <w:szCs w:val="20"/>
          <w:lang w:val="ro-RO"/>
        </w:rPr>
        <w:t xml:space="preserve"> În plus, Legea introduce și o serie de dispoziții speciale privind cererea de anulare a autorizației de construire sau a hotărârilor de aprobare documentațiilor de urbanism introduse de organismele sociale interesate.</w:t>
      </w:r>
    </w:p>
    <w:p w14:paraId="1999908C" w14:textId="77777777" w:rsidR="003F50DD" w:rsidRPr="00D406CB" w:rsidRDefault="003F50DD" w:rsidP="003F50DD">
      <w:pPr>
        <w:spacing w:after="140" w:line="280" w:lineRule="exact"/>
        <w:jc w:val="both"/>
        <w:rPr>
          <w:rFonts w:ascii="Georgia" w:hAnsi="Georgia"/>
          <w:sz w:val="20"/>
          <w:szCs w:val="20"/>
          <w:lang w:val="ro-RO"/>
        </w:rPr>
      </w:pPr>
      <w:r w:rsidRPr="00D406CB">
        <w:rPr>
          <w:rFonts w:ascii="Georgia" w:eastAsia="Arial" w:hAnsi="Georgia" w:cs="Arial"/>
          <w:color w:val="252525"/>
          <w:sz w:val="20"/>
          <w:szCs w:val="20"/>
          <w:lang w:val="ro-RO"/>
        </w:rPr>
        <w:t xml:space="preserve">În materia contenciosului administrativ, </w:t>
      </w:r>
      <w:r>
        <w:rPr>
          <w:rFonts w:ascii="Georgia" w:eastAsia="Arial" w:hAnsi="Georgia" w:cs="Arial"/>
          <w:color w:val="252525"/>
          <w:sz w:val="20"/>
          <w:szCs w:val="20"/>
          <w:lang w:val="ro-RO"/>
        </w:rPr>
        <w:t xml:space="preserve">modificările par mici dar privesc texte cât se poate de relevante și uzitate în practică: termenul de introducere a acțiunii în anulare și termenele relevante în materia acțiunii în suspendare. Ele se vor aplica acțiunilor introduse de orice persoană vătămată (nu doar de organismele social interesate) și cu privire la orice tip de act administrativ (nu doar cu privire la actele emise în domeniul construcțiilor și urbanismului). </w:t>
      </w:r>
    </w:p>
    <w:p w14:paraId="4E4DF9EE" w14:textId="77777777" w:rsidR="00AA3463" w:rsidRPr="00813FD0" w:rsidRDefault="00AA3463" w:rsidP="00813FD0">
      <w:pPr>
        <w:rPr>
          <w:szCs w:val="20"/>
          <w:lang w:val="ro-RO"/>
        </w:rPr>
      </w:pPr>
    </w:p>
    <w:sectPr w:rsidR="00AA3463" w:rsidRPr="00813FD0" w:rsidSect="0004484A">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5821" w14:textId="77777777" w:rsidR="00A427A8" w:rsidRDefault="00A427A8">
      <w:r>
        <w:separator/>
      </w:r>
    </w:p>
  </w:endnote>
  <w:endnote w:type="continuationSeparator" w:id="0">
    <w:p w14:paraId="648F79FD" w14:textId="77777777" w:rsidR="00A427A8" w:rsidRDefault="00A4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Pr="0004484A">
            <w:rPr>
              <w:rFonts w:cstheme="minorHAnsi"/>
              <w:b/>
              <w:bCs/>
              <w:color w:val="3C1053"/>
              <w:sz w:val="14"/>
              <w:szCs w:val="14"/>
            </w:rPr>
            <w:t>1</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Pr="0004484A">
            <w:rPr>
              <w:rFonts w:cstheme="minorHAnsi"/>
              <w:b/>
              <w:bCs/>
              <w:color w:val="3C1053"/>
              <w:sz w:val="14"/>
              <w:szCs w:val="14"/>
            </w:rPr>
            <w:t>1</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C168" w14:textId="77777777" w:rsidR="00A427A8" w:rsidRDefault="00A427A8">
      <w:r>
        <w:separator/>
      </w:r>
    </w:p>
  </w:footnote>
  <w:footnote w:type="continuationSeparator" w:id="0">
    <w:p w14:paraId="12BD105B" w14:textId="77777777" w:rsidR="00A427A8" w:rsidRDefault="00A427A8">
      <w:r>
        <w:continuationSeparator/>
      </w:r>
    </w:p>
  </w:footnote>
  <w:footnote w:id="1">
    <w:p w14:paraId="334B1916" w14:textId="77777777" w:rsidR="003F50DD" w:rsidRDefault="003F50DD" w:rsidP="003F50DD">
      <w:pPr>
        <w:pStyle w:val="FootnoteText"/>
        <w:jc w:val="both"/>
        <w:rPr>
          <w:rFonts w:ascii="Georgia" w:hAnsi="Georgia"/>
          <w:sz w:val="18"/>
          <w:szCs w:val="18"/>
          <w:lang w:val="ro-RO"/>
        </w:rPr>
      </w:pPr>
      <w:r>
        <w:rPr>
          <w:rStyle w:val="FootnoteReference"/>
        </w:rPr>
        <w:footnoteRef/>
      </w:r>
      <w:r>
        <w:t xml:space="preserve"> </w:t>
      </w:r>
      <w:r>
        <w:rPr>
          <w:rFonts w:ascii="Georgia" w:hAnsi="Georgia"/>
          <w:sz w:val="18"/>
          <w:szCs w:val="18"/>
        </w:rPr>
        <w:t xml:space="preserve">O </w:t>
      </w:r>
      <w:proofErr w:type="spellStart"/>
      <w:r>
        <w:rPr>
          <w:rFonts w:ascii="Georgia" w:hAnsi="Georgia"/>
          <w:sz w:val="18"/>
          <w:szCs w:val="18"/>
        </w:rPr>
        <w:t>analiz</w:t>
      </w:r>
      <w:proofErr w:type="spellEnd"/>
      <w:r>
        <w:rPr>
          <w:rFonts w:ascii="Georgia" w:hAnsi="Georgia"/>
          <w:sz w:val="18"/>
          <w:szCs w:val="18"/>
          <w:lang w:val="ro-RO"/>
        </w:rPr>
        <w:t xml:space="preserve">ă detaliată </w:t>
      </w:r>
      <w:proofErr w:type="gramStart"/>
      <w:r>
        <w:rPr>
          <w:rFonts w:ascii="Georgia" w:hAnsi="Georgia"/>
          <w:sz w:val="18"/>
          <w:szCs w:val="18"/>
          <w:lang w:val="ro-RO"/>
        </w:rPr>
        <w:t>a</w:t>
      </w:r>
      <w:proofErr w:type="gramEnd"/>
      <w:r>
        <w:rPr>
          <w:rFonts w:ascii="Georgia" w:hAnsi="Georgia"/>
          <w:sz w:val="18"/>
          <w:szCs w:val="18"/>
          <w:lang w:val="ro-RO"/>
        </w:rPr>
        <w:t xml:space="preserve"> acestor modificări se poate regăsi în articolul </w:t>
      </w:r>
      <w:r w:rsidRPr="00095A98">
        <w:rPr>
          <w:rFonts w:ascii="Georgia" w:hAnsi="Georgia"/>
          <w:i/>
          <w:iCs/>
          <w:sz w:val="18"/>
          <w:szCs w:val="18"/>
          <w:lang w:val="ro-RO"/>
        </w:rPr>
        <w:t>Scurtă radiografie a ultimelor discrete propuneri de modificare a Legii contenciosului administrativ adoptate de Parlamenul României la finalul anului 2022</w:t>
      </w:r>
      <w:r>
        <w:rPr>
          <w:rFonts w:ascii="Georgia" w:hAnsi="Georgia"/>
          <w:sz w:val="18"/>
          <w:szCs w:val="18"/>
          <w:lang w:val="ro-RO"/>
        </w:rPr>
        <w:t>, Irina Suătean, publicat în Forum AUBD – Forum Juridic nr. 1/2023 și disponibil la:</w:t>
      </w:r>
    </w:p>
    <w:p w14:paraId="630E2CBE" w14:textId="77777777" w:rsidR="003F50DD" w:rsidRPr="00095A98" w:rsidRDefault="003F50DD" w:rsidP="003F50DD">
      <w:pPr>
        <w:pStyle w:val="FootnoteText"/>
        <w:jc w:val="both"/>
        <w:rPr>
          <w:rFonts w:ascii="Georgia" w:hAnsi="Georgia"/>
          <w:sz w:val="18"/>
          <w:szCs w:val="18"/>
          <w:lang w:val="ro-RO"/>
        </w:rPr>
      </w:pPr>
      <w:hyperlink r:id="rId1" w:history="1">
        <w:r w:rsidRPr="000C53F9">
          <w:rPr>
            <w:rStyle w:val="Hyperlink"/>
            <w:rFonts w:ascii="Georgia" w:hAnsi="Georgia"/>
            <w:sz w:val="18"/>
            <w:szCs w:val="18"/>
            <w:lang w:val="ro-RO"/>
          </w:rPr>
          <w:t>https://drept.unibuc.ro/documente/2023/AUBD/1,%202023,%202.%20Irina%20Suatean%20-%20Scurta%20radiografie%20a%20ultimelor%20discrete%20propuneri%20de%20modificare%20a%20Legii%20Contenciosului%20administrativ.pdf</w:t>
        </w:r>
      </w:hyperlink>
      <w:r>
        <w:rPr>
          <w:rFonts w:ascii="Georgia" w:hAnsi="Georgia"/>
          <w:sz w:val="18"/>
          <w:szCs w:val="18"/>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3"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A14D32"/>
    <w:multiLevelType w:val="hybridMultilevel"/>
    <w:tmpl w:val="0EF295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B5997"/>
    <w:multiLevelType w:val="hybridMultilevel"/>
    <w:tmpl w:val="0EF295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4DE64060"/>
    <w:multiLevelType w:val="hybridMultilevel"/>
    <w:tmpl w:val="0EF295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5"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1879EB"/>
    <w:multiLevelType w:val="hybridMultilevel"/>
    <w:tmpl w:val="0EF295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6536627">
    <w:abstractNumId w:val="12"/>
  </w:num>
  <w:num w:numId="2" w16cid:durableId="1463235524">
    <w:abstractNumId w:val="6"/>
  </w:num>
  <w:num w:numId="3" w16cid:durableId="1530411080">
    <w:abstractNumId w:val="2"/>
  </w:num>
  <w:num w:numId="4" w16cid:durableId="484054054">
    <w:abstractNumId w:val="9"/>
  </w:num>
  <w:num w:numId="5" w16cid:durableId="653264346">
    <w:abstractNumId w:val="1"/>
  </w:num>
  <w:num w:numId="6" w16cid:durableId="1208642426">
    <w:abstractNumId w:val="0"/>
  </w:num>
  <w:num w:numId="7" w16cid:durableId="254094672">
    <w:abstractNumId w:val="7"/>
  </w:num>
  <w:num w:numId="8" w16cid:durableId="1318680960">
    <w:abstractNumId w:val="13"/>
  </w:num>
  <w:num w:numId="9" w16cid:durableId="1095131205">
    <w:abstractNumId w:val="5"/>
  </w:num>
  <w:num w:numId="10" w16cid:durableId="2102994174">
    <w:abstractNumId w:val="11"/>
  </w:num>
  <w:num w:numId="11" w16cid:durableId="183835020">
    <w:abstractNumId w:val="14"/>
  </w:num>
  <w:num w:numId="12" w16cid:durableId="1607883685">
    <w:abstractNumId w:val="3"/>
  </w:num>
  <w:num w:numId="13" w16cid:durableId="213780956">
    <w:abstractNumId w:val="17"/>
  </w:num>
  <w:num w:numId="14" w16cid:durableId="589579401">
    <w:abstractNumId w:val="8"/>
  </w:num>
  <w:num w:numId="15" w16cid:durableId="1884561129">
    <w:abstractNumId w:val="16"/>
  </w:num>
  <w:num w:numId="16" w16cid:durableId="2114739615">
    <w:abstractNumId w:val="4"/>
  </w:num>
  <w:num w:numId="17" w16cid:durableId="204177688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15804"/>
    <w:rsid w:val="00020C04"/>
    <w:rsid w:val="00025DE5"/>
    <w:rsid w:val="00031CFC"/>
    <w:rsid w:val="00035ECB"/>
    <w:rsid w:val="00036449"/>
    <w:rsid w:val="0004484A"/>
    <w:rsid w:val="00045133"/>
    <w:rsid w:val="00045DBE"/>
    <w:rsid w:val="00046147"/>
    <w:rsid w:val="0006010E"/>
    <w:rsid w:val="000621AD"/>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0880"/>
    <w:rsid w:val="000F1A04"/>
    <w:rsid w:val="000F339D"/>
    <w:rsid w:val="000F51EB"/>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207C"/>
    <w:rsid w:val="00142AFE"/>
    <w:rsid w:val="0015351F"/>
    <w:rsid w:val="00153A14"/>
    <w:rsid w:val="00162EBD"/>
    <w:rsid w:val="00166336"/>
    <w:rsid w:val="00166D27"/>
    <w:rsid w:val="00172AE3"/>
    <w:rsid w:val="00176E9C"/>
    <w:rsid w:val="001843A6"/>
    <w:rsid w:val="00185C0F"/>
    <w:rsid w:val="00194488"/>
    <w:rsid w:val="00195D31"/>
    <w:rsid w:val="00196010"/>
    <w:rsid w:val="001A3BCF"/>
    <w:rsid w:val="001A45A9"/>
    <w:rsid w:val="001B030B"/>
    <w:rsid w:val="001B3466"/>
    <w:rsid w:val="001B46BF"/>
    <w:rsid w:val="001C6753"/>
    <w:rsid w:val="001C785D"/>
    <w:rsid w:val="001C78BE"/>
    <w:rsid w:val="001D3AFE"/>
    <w:rsid w:val="001E54D1"/>
    <w:rsid w:val="001F1B88"/>
    <w:rsid w:val="001F5749"/>
    <w:rsid w:val="001F6A85"/>
    <w:rsid w:val="001F7753"/>
    <w:rsid w:val="00201CD1"/>
    <w:rsid w:val="00202947"/>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5AF8"/>
    <w:rsid w:val="00236042"/>
    <w:rsid w:val="0023756F"/>
    <w:rsid w:val="002411C2"/>
    <w:rsid w:val="00245F69"/>
    <w:rsid w:val="00246085"/>
    <w:rsid w:val="002502BB"/>
    <w:rsid w:val="002516AB"/>
    <w:rsid w:val="00256B09"/>
    <w:rsid w:val="00262107"/>
    <w:rsid w:val="0026220A"/>
    <w:rsid w:val="00262D8A"/>
    <w:rsid w:val="00267F12"/>
    <w:rsid w:val="00272392"/>
    <w:rsid w:val="00272411"/>
    <w:rsid w:val="0027377F"/>
    <w:rsid w:val="002747B9"/>
    <w:rsid w:val="0027498E"/>
    <w:rsid w:val="0027589B"/>
    <w:rsid w:val="00275DC0"/>
    <w:rsid w:val="00280834"/>
    <w:rsid w:val="00280DCE"/>
    <w:rsid w:val="00281C76"/>
    <w:rsid w:val="00281CA2"/>
    <w:rsid w:val="00283CB9"/>
    <w:rsid w:val="00284AC5"/>
    <w:rsid w:val="00285C7F"/>
    <w:rsid w:val="00285F1D"/>
    <w:rsid w:val="002874C2"/>
    <w:rsid w:val="002951A1"/>
    <w:rsid w:val="002963E3"/>
    <w:rsid w:val="00296828"/>
    <w:rsid w:val="00297E88"/>
    <w:rsid w:val="002A1964"/>
    <w:rsid w:val="002A38E9"/>
    <w:rsid w:val="002A3D19"/>
    <w:rsid w:val="002A68C3"/>
    <w:rsid w:val="002B06D0"/>
    <w:rsid w:val="002B4A1A"/>
    <w:rsid w:val="002B643E"/>
    <w:rsid w:val="002C2E5A"/>
    <w:rsid w:val="002C6524"/>
    <w:rsid w:val="002C7018"/>
    <w:rsid w:val="002C7A4F"/>
    <w:rsid w:val="002D093B"/>
    <w:rsid w:val="002D0DDD"/>
    <w:rsid w:val="002D5027"/>
    <w:rsid w:val="002D52BD"/>
    <w:rsid w:val="002E320E"/>
    <w:rsid w:val="002E3EDB"/>
    <w:rsid w:val="002E76EE"/>
    <w:rsid w:val="002F06BB"/>
    <w:rsid w:val="002F652B"/>
    <w:rsid w:val="002F6996"/>
    <w:rsid w:val="002F7D05"/>
    <w:rsid w:val="003026FB"/>
    <w:rsid w:val="00302D58"/>
    <w:rsid w:val="00306BA6"/>
    <w:rsid w:val="00312249"/>
    <w:rsid w:val="003216B6"/>
    <w:rsid w:val="00325138"/>
    <w:rsid w:val="00325220"/>
    <w:rsid w:val="00325509"/>
    <w:rsid w:val="00327ACE"/>
    <w:rsid w:val="00337C61"/>
    <w:rsid w:val="003437A6"/>
    <w:rsid w:val="00345872"/>
    <w:rsid w:val="00350640"/>
    <w:rsid w:val="00352BFC"/>
    <w:rsid w:val="003550E1"/>
    <w:rsid w:val="00361609"/>
    <w:rsid w:val="0036450A"/>
    <w:rsid w:val="00370037"/>
    <w:rsid w:val="0037044C"/>
    <w:rsid w:val="00371113"/>
    <w:rsid w:val="00371671"/>
    <w:rsid w:val="00372A1D"/>
    <w:rsid w:val="00372AD9"/>
    <w:rsid w:val="00373D23"/>
    <w:rsid w:val="00376E8A"/>
    <w:rsid w:val="00382767"/>
    <w:rsid w:val="00385AED"/>
    <w:rsid w:val="00390D87"/>
    <w:rsid w:val="00396054"/>
    <w:rsid w:val="00396607"/>
    <w:rsid w:val="003A0381"/>
    <w:rsid w:val="003A426D"/>
    <w:rsid w:val="003A5BE5"/>
    <w:rsid w:val="003A76C6"/>
    <w:rsid w:val="003B062E"/>
    <w:rsid w:val="003B281C"/>
    <w:rsid w:val="003B4D78"/>
    <w:rsid w:val="003C2EC0"/>
    <w:rsid w:val="003C4803"/>
    <w:rsid w:val="003D05A5"/>
    <w:rsid w:val="003D0A6C"/>
    <w:rsid w:val="003D13EC"/>
    <w:rsid w:val="003D3C48"/>
    <w:rsid w:val="003D4281"/>
    <w:rsid w:val="003D4FFA"/>
    <w:rsid w:val="003D559B"/>
    <w:rsid w:val="003D6DA7"/>
    <w:rsid w:val="003D6FB2"/>
    <w:rsid w:val="003E1DC7"/>
    <w:rsid w:val="003E471F"/>
    <w:rsid w:val="003F2410"/>
    <w:rsid w:val="003F25ED"/>
    <w:rsid w:val="003F3AB8"/>
    <w:rsid w:val="003F472A"/>
    <w:rsid w:val="003F50DD"/>
    <w:rsid w:val="003F6A36"/>
    <w:rsid w:val="00401187"/>
    <w:rsid w:val="00402123"/>
    <w:rsid w:val="00412F48"/>
    <w:rsid w:val="0041600F"/>
    <w:rsid w:val="00416353"/>
    <w:rsid w:val="00416A07"/>
    <w:rsid w:val="0042362F"/>
    <w:rsid w:val="00425846"/>
    <w:rsid w:val="00431437"/>
    <w:rsid w:val="00432280"/>
    <w:rsid w:val="004328A4"/>
    <w:rsid w:val="00437203"/>
    <w:rsid w:val="00443C77"/>
    <w:rsid w:val="0044469F"/>
    <w:rsid w:val="004452DF"/>
    <w:rsid w:val="0044693B"/>
    <w:rsid w:val="0045295A"/>
    <w:rsid w:val="00455225"/>
    <w:rsid w:val="00460586"/>
    <w:rsid w:val="00464999"/>
    <w:rsid w:val="004661AC"/>
    <w:rsid w:val="00466BAA"/>
    <w:rsid w:val="00467CF8"/>
    <w:rsid w:val="0047102B"/>
    <w:rsid w:val="00471AD9"/>
    <w:rsid w:val="00472E3F"/>
    <w:rsid w:val="004731AE"/>
    <w:rsid w:val="004824CB"/>
    <w:rsid w:val="00483377"/>
    <w:rsid w:val="00493789"/>
    <w:rsid w:val="0049537A"/>
    <w:rsid w:val="00496854"/>
    <w:rsid w:val="0049707C"/>
    <w:rsid w:val="004974B8"/>
    <w:rsid w:val="00497F98"/>
    <w:rsid w:val="004A2BCC"/>
    <w:rsid w:val="004A37F7"/>
    <w:rsid w:val="004A4CA2"/>
    <w:rsid w:val="004A6929"/>
    <w:rsid w:val="004C6537"/>
    <w:rsid w:val="004D26B3"/>
    <w:rsid w:val="004D26EE"/>
    <w:rsid w:val="004D5372"/>
    <w:rsid w:val="004E2700"/>
    <w:rsid w:val="004F031B"/>
    <w:rsid w:val="004F714E"/>
    <w:rsid w:val="004F7CC5"/>
    <w:rsid w:val="0050005C"/>
    <w:rsid w:val="005037FF"/>
    <w:rsid w:val="00510F90"/>
    <w:rsid w:val="005121BC"/>
    <w:rsid w:val="005123B2"/>
    <w:rsid w:val="0051489D"/>
    <w:rsid w:val="00514D45"/>
    <w:rsid w:val="005160D3"/>
    <w:rsid w:val="00540C3E"/>
    <w:rsid w:val="00541851"/>
    <w:rsid w:val="005428EF"/>
    <w:rsid w:val="00543517"/>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06DE5"/>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2872"/>
    <w:rsid w:val="006536ED"/>
    <w:rsid w:val="006619B0"/>
    <w:rsid w:val="00662F7E"/>
    <w:rsid w:val="00663AB3"/>
    <w:rsid w:val="00666F1F"/>
    <w:rsid w:val="00667688"/>
    <w:rsid w:val="00671BC5"/>
    <w:rsid w:val="00673595"/>
    <w:rsid w:val="00676BA8"/>
    <w:rsid w:val="00677026"/>
    <w:rsid w:val="006771A6"/>
    <w:rsid w:val="00680D8B"/>
    <w:rsid w:val="0068192B"/>
    <w:rsid w:val="00682949"/>
    <w:rsid w:val="0068294F"/>
    <w:rsid w:val="006837FD"/>
    <w:rsid w:val="00683C7B"/>
    <w:rsid w:val="00684335"/>
    <w:rsid w:val="0068700B"/>
    <w:rsid w:val="00691DE3"/>
    <w:rsid w:val="00692422"/>
    <w:rsid w:val="00692CC5"/>
    <w:rsid w:val="00693167"/>
    <w:rsid w:val="00693FB7"/>
    <w:rsid w:val="006962E9"/>
    <w:rsid w:val="00696787"/>
    <w:rsid w:val="006A0C21"/>
    <w:rsid w:val="006A1646"/>
    <w:rsid w:val="006A2992"/>
    <w:rsid w:val="006A4A04"/>
    <w:rsid w:val="006A4DAE"/>
    <w:rsid w:val="006A6A33"/>
    <w:rsid w:val="006B1095"/>
    <w:rsid w:val="006B1805"/>
    <w:rsid w:val="006B1D96"/>
    <w:rsid w:val="006B4E91"/>
    <w:rsid w:val="006B6C4A"/>
    <w:rsid w:val="006B77D9"/>
    <w:rsid w:val="006C14B5"/>
    <w:rsid w:val="006C27D6"/>
    <w:rsid w:val="006D1CC3"/>
    <w:rsid w:val="006D39CD"/>
    <w:rsid w:val="006D525D"/>
    <w:rsid w:val="006D57A4"/>
    <w:rsid w:val="006E26E2"/>
    <w:rsid w:val="006E30C5"/>
    <w:rsid w:val="006E65BD"/>
    <w:rsid w:val="006E76E1"/>
    <w:rsid w:val="006F02E7"/>
    <w:rsid w:val="006F4DE6"/>
    <w:rsid w:val="006F5074"/>
    <w:rsid w:val="006F529C"/>
    <w:rsid w:val="006F6B7F"/>
    <w:rsid w:val="00703A7B"/>
    <w:rsid w:val="00705E81"/>
    <w:rsid w:val="007077D4"/>
    <w:rsid w:val="007226B6"/>
    <w:rsid w:val="00722E02"/>
    <w:rsid w:val="00722EF8"/>
    <w:rsid w:val="007250A2"/>
    <w:rsid w:val="0073242A"/>
    <w:rsid w:val="00735D88"/>
    <w:rsid w:val="00740FD8"/>
    <w:rsid w:val="0074285A"/>
    <w:rsid w:val="00745812"/>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C6511"/>
    <w:rsid w:val="007D7248"/>
    <w:rsid w:val="007E00F1"/>
    <w:rsid w:val="007E2060"/>
    <w:rsid w:val="007E367D"/>
    <w:rsid w:val="007F6BAD"/>
    <w:rsid w:val="00800B3E"/>
    <w:rsid w:val="008044D9"/>
    <w:rsid w:val="00810792"/>
    <w:rsid w:val="00811458"/>
    <w:rsid w:val="008118F1"/>
    <w:rsid w:val="00813FD0"/>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5CD"/>
    <w:rsid w:val="00850909"/>
    <w:rsid w:val="00850CC0"/>
    <w:rsid w:val="00850EE1"/>
    <w:rsid w:val="00851A3B"/>
    <w:rsid w:val="00852F8B"/>
    <w:rsid w:val="008535D0"/>
    <w:rsid w:val="00854D1D"/>
    <w:rsid w:val="008627BB"/>
    <w:rsid w:val="008628D8"/>
    <w:rsid w:val="0086443F"/>
    <w:rsid w:val="00886973"/>
    <w:rsid w:val="008902D8"/>
    <w:rsid w:val="0089149A"/>
    <w:rsid w:val="00896242"/>
    <w:rsid w:val="0089719E"/>
    <w:rsid w:val="00897892"/>
    <w:rsid w:val="008A2166"/>
    <w:rsid w:val="008A22BC"/>
    <w:rsid w:val="008A2874"/>
    <w:rsid w:val="008A6372"/>
    <w:rsid w:val="008A63BC"/>
    <w:rsid w:val="008A698F"/>
    <w:rsid w:val="008B0554"/>
    <w:rsid w:val="008B082E"/>
    <w:rsid w:val="008B0BD5"/>
    <w:rsid w:val="008B43AC"/>
    <w:rsid w:val="008C3F94"/>
    <w:rsid w:val="008D26C6"/>
    <w:rsid w:val="008D422A"/>
    <w:rsid w:val="008D73ED"/>
    <w:rsid w:val="008F7C04"/>
    <w:rsid w:val="008F7D6C"/>
    <w:rsid w:val="00901C76"/>
    <w:rsid w:val="00905679"/>
    <w:rsid w:val="00906B48"/>
    <w:rsid w:val="00911518"/>
    <w:rsid w:val="00911C92"/>
    <w:rsid w:val="009124FC"/>
    <w:rsid w:val="009155C1"/>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6C0C"/>
    <w:rsid w:val="00967526"/>
    <w:rsid w:val="009678E1"/>
    <w:rsid w:val="00967C6F"/>
    <w:rsid w:val="00970C4C"/>
    <w:rsid w:val="00970D27"/>
    <w:rsid w:val="00971C05"/>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501B"/>
    <w:rsid w:val="009D510C"/>
    <w:rsid w:val="009E3AE6"/>
    <w:rsid w:val="009F3007"/>
    <w:rsid w:val="009F3A20"/>
    <w:rsid w:val="009F6E62"/>
    <w:rsid w:val="009F79DC"/>
    <w:rsid w:val="00A03319"/>
    <w:rsid w:val="00A0340C"/>
    <w:rsid w:val="00A050A7"/>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1C78"/>
    <w:rsid w:val="00A4217B"/>
    <w:rsid w:val="00A427A8"/>
    <w:rsid w:val="00A4379B"/>
    <w:rsid w:val="00A452A6"/>
    <w:rsid w:val="00A457F1"/>
    <w:rsid w:val="00A45896"/>
    <w:rsid w:val="00A47822"/>
    <w:rsid w:val="00A504F7"/>
    <w:rsid w:val="00A5097B"/>
    <w:rsid w:val="00A515C8"/>
    <w:rsid w:val="00A604AD"/>
    <w:rsid w:val="00A612FD"/>
    <w:rsid w:val="00A64649"/>
    <w:rsid w:val="00A64E42"/>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5CF0"/>
    <w:rsid w:val="00AD799C"/>
    <w:rsid w:val="00AE00CB"/>
    <w:rsid w:val="00AE1D99"/>
    <w:rsid w:val="00AE302D"/>
    <w:rsid w:val="00AE40DE"/>
    <w:rsid w:val="00AF46D2"/>
    <w:rsid w:val="00AF5B77"/>
    <w:rsid w:val="00AF750D"/>
    <w:rsid w:val="00AF7B43"/>
    <w:rsid w:val="00B0196A"/>
    <w:rsid w:val="00B022C0"/>
    <w:rsid w:val="00B0341D"/>
    <w:rsid w:val="00B03B43"/>
    <w:rsid w:val="00B04B9F"/>
    <w:rsid w:val="00B10485"/>
    <w:rsid w:val="00B139AF"/>
    <w:rsid w:val="00B13F8D"/>
    <w:rsid w:val="00B15E2C"/>
    <w:rsid w:val="00B17460"/>
    <w:rsid w:val="00B22918"/>
    <w:rsid w:val="00B25BA6"/>
    <w:rsid w:val="00B32257"/>
    <w:rsid w:val="00B3789F"/>
    <w:rsid w:val="00B37954"/>
    <w:rsid w:val="00B4134D"/>
    <w:rsid w:val="00B415E5"/>
    <w:rsid w:val="00B45D0F"/>
    <w:rsid w:val="00B47A58"/>
    <w:rsid w:val="00B47CDE"/>
    <w:rsid w:val="00B5765C"/>
    <w:rsid w:val="00B57C71"/>
    <w:rsid w:val="00B606B4"/>
    <w:rsid w:val="00B63E44"/>
    <w:rsid w:val="00B65EC7"/>
    <w:rsid w:val="00B669CD"/>
    <w:rsid w:val="00B744C4"/>
    <w:rsid w:val="00B755EB"/>
    <w:rsid w:val="00B77658"/>
    <w:rsid w:val="00B80FC1"/>
    <w:rsid w:val="00B8695B"/>
    <w:rsid w:val="00B878F2"/>
    <w:rsid w:val="00B94C3A"/>
    <w:rsid w:val="00B9520E"/>
    <w:rsid w:val="00BA16CF"/>
    <w:rsid w:val="00BA2837"/>
    <w:rsid w:val="00BA3510"/>
    <w:rsid w:val="00BB56CE"/>
    <w:rsid w:val="00BC70DE"/>
    <w:rsid w:val="00BC7235"/>
    <w:rsid w:val="00BC7774"/>
    <w:rsid w:val="00BD0A50"/>
    <w:rsid w:val="00BD0AC4"/>
    <w:rsid w:val="00BD2570"/>
    <w:rsid w:val="00BD2873"/>
    <w:rsid w:val="00BD6DC2"/>
    <w:rsid w:val="00BE29CB"/>
    <w:rsid w:val="00BE4218"/>
    <w:rsid w:val="00BE457F"/>
    <w:rsid w:val="00BE5D21"/>
    <w:rsid w:val="00BE7396"/>
    <w:rsid w:val="00BE73BD"/>
    <w:rsid w:val="00BF07C4"/>
    <w:rsid w:val="00BF15AE"/>
    <w:rsid w:val="00BF262A"/>
    <w:rsid w:val="00C00347"/>
    <w:rsid w:val="00C07252"/>
    <w:rsid w:val="00C13A9D"/>
    <w:rsid w:val="00C14BFF"/>
    <w:rsid w:val="00C15C7C"/>
    <w:rsid w:val="00C17042"/>
    <w:rsid w:val="00C31113"/>
    <w:rsid w:val="00C31D4A"/>
    <w:rsid w:val="00C37106"/>
    <w:rsid w:val="00C41BA3"/>
    <w:rsid w:val="00C4299A"/>
    <w:rsid w:val="00C43472"/>
    <w:rsid w:val="00C44361"/>
    <w:rsid w:val="00C45AC8"/>
    <w:rsid w:val="00C470AD"/>
    <w:rsid w:val="00C4711B"/>
    <w:rsid w:val="00C554F2"/>
    <w:rsid w:val="00C55982"/>
    <w:rsid w:val="00C61E7F"/>
    <w:rsid w:val="00C64CD2"/>
    <w:rsid w:val="00C66DD1"/>
    <w:rsid w:val="00C7258F"/>
    <w:rsid w:val="00C7361B"/>
    <w:rsid w:val="00C73A5E"/>
    <w:rsid w:val="00C76982"/>
    <w:rsid w:val="00C84E43"/>
    <w:rsid w:val="00C857F4"/>
    <w:rsid w:val="00C9557F"/>
    <w:rsid w:val="00CA1A8A"/>
    <w:rsid w:val="00CA2D4A"/>
    <w:rsid w:val="00CA4307"/>
    <w:rsid w:val="00CB22BE"/>
    <w:rsid w:val="00CB2AC2"/>
    <w:rsid w:val="00CC4884"/>
    <w:rsid w:val="00CD05B3"/>
    <w:rsid w:val="00CD45B4"/>
    <w:rsid w:val="00CD4A96"/>
    <w:rsid w:val="00CD5587"/>
    <w:rsid w:val="00CE2651"/>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37C28"/>
    <w:rsid w:val="00D4050B"/>
    <w:rsid w:val="00D41B18"/>
    <w:rsid w:val="00D433EA"/>
    <w:rsid w:val="00D43790"/>
    <w:rsid w:val="00D473F1"/>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586D"/>
    <w:rsid w:val="00DB68F1"/>
    <w:rsid w:val="00DC62B2"/>
    <w:rsid w:val="00DD15DA"/>
    <w:rsid w:val="00DD2345"/>
    <w:rsid w:val="00DD2A58"/>
    <w:rsid w:val="00DD5874"/>
    <w:rsid w:val="00DD73CE"/>
    <w:rsid w:val="00DE26CC"/>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3416"/>
    <w:rsid w:val="00E43C8E"/>
    <w:rsid w:val="00E43E8F"/>
    <w:rsid w:val="00E4416F"/>
    <w:rsid w:val="00E4509F"/>
    <w:rsid w:val="00E46767"/>
    <w:rsid w:val="00E53E09"/>
    <w:rsid w:val="00E55B97"/>
    <w:rsid w:val="00E5734A"/>
    <w:rsid w:val="00E6296A"/>
    <w:rsid w:val="00E65EF7"/>
    <w:rsid w:val="00E671BD"/>
    <w:rsid w:val="00E711C7"/>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4C22"/>
    <w:rsid w:val="00ED6057"/>
    <w:rsid w:val="00ED6995"/>
    <w:rsid w:val="00ED6D14"/>
    <w:rsid w:val="00EE53E9"/>
    <w:rsid w:val="00EF0D6C"/>
    <w:rsid w:val="00EF353B"/>
    <w:rsid w:val="00EF7187"/>
    <w:rsid w:val="00F00FDF"/>
    <w:rsid w:val="00F04F39"/>
    <w:rsid w:val="00F05820"/>
    <w:rsid w:val="00F07A28"/>
    <w:rsid w:val="00F27EFD"/>
    <w:rsid w:val="00F30B7E"/>
    <w:rsid w:val="00F33645"/>
    <w:rsid w:val="00F33F50"/>
    <w:rsid w:val="00F34757"/>
    <w:rsid w:val="00F34912"/>
    <w:rsid w:val="00F37833"/>
    <w:rsid w:val="00F41022"/>
    <w:rsid w:val="00F445F5"/>
    <w:rsid w:val="00F45EA8"/>
    <w:rsid w:val="00F47254"/>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3F50DD"/>
    <w:pPr>
      <w:spacing w:after="160" w:line="259" w:lineRule="auto"/>
    </w:pPr>
    <w:rPr>
      <w:rFonts w:asciiTheme="minorHAnsi" w:eastAsiaTheme="minorEastAsia" w:hAnsiTheme="minorHAnsi" w:cstheme="minorBidi"/>
      <w:sz w:val="22"/>
      <w:szCs w:val="22"/>
      <w:lang w:val="en-US"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asciiTheme="minorHAnsi" w:eastAsiaTheme="minorEastAsia" w:hAnsiTheme="minorHAnsi" w:cs="Arial"/>
      <w:b/>
      <w:bCs/>
      <w:iCs/>
      <w:sz w:val="22"/>
      <w:szCs w:val="28"/>
      <w:lang w:val="en-US" w:eastAsia="en-US"/>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asciiTheme="minorHAnsi" w:eastAsiaTheme="minorEastAsia" w:hAnsiTheme="minorHAnsi" w:cs="Arial"/>
      <w:bCs/>
      <w:i/>
      <w:sz w:val="22"/>
      <w:szCs w:val="26"/>
      <w:lang w:val="en-US" w:eastAsia="en-US"/>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asciiTheme="minorHAnsi" w:eastAsiaTheme="minorEastAsia" w:hAnsiTheme="minorHAnsi"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Theme="minorHAnsi" w:eastAsiaTheme="minorEastAsia" w:hAnsiTheme="minorHAnsi" w:cs="Arial"/>
      <w:bCs/>
      <w:szCs w:val="32"/>
      <w:lang w:val="en-US" w:eastAsia="en-US"/>
    </w:rPr>
  </w:style>
  <w:style w:type="character" w:customStyle="1" w:styleId="RecitalsChar">
    <w:name w:val="Recitals Char"/>
    <w:link w:val="Recitals"/>
    <w:uiPriority w:val="2"/>
    <w:rsid w:val="005123B2"/>
    <w:rPr>
      <w:rFonts w:asciiTheme="minorHAnsi" w:eastAsiaTheme="minorEastAsia" w:hAnsiTheme="minorHAnsi"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rFonts w:asciiTheme="minorHAnsi" w:eastAsiaTheme="minorEastAsia" w:hAnsiTheme="minorHAnsi" w:cstheme="minorBidi"/>
      <w:sz w:val="22"/>
      <w:szCs w:val="22"/>
      <w:lang w:val="en-US" w:eastAsia="en-US"/>
    </w:rPr>
  </w:style>
  <w:style w:type="character" w:customStyle="1" w:styleId="Bullet2Char">
    <w:name w:val="Bullet 2 Char"/>
    <w:link w:val="Bullet2"/>
    <w:uiPriority w:val="5"/>
    <w:rsid w:val="005123B2"/>
    <w:rPr>
      <w:rFonts w:asciiTheme="minorHAnsi" w:eastAsiaTheme="minorEastAsia" w:hAnsiTheme="minorHAnsi" w:cstheme="minorBidi"/>
      <w:sz w:val="22"/>
      <w:szCs w:val="22"/>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asciiTheme="minorHAnsi" w:eastAsiaTheme="minorEastAsia" w:hAnsiTheme="minorHAnsi"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asciiTheme="minorHAnsi" w:eastAsiaTheme="minorEastAsia" w:hAnsiTheme="minorHAnsi" w:cs="Arial"/>
      <w:b/>
      <w:bCs/>
      <w:iCs/>
      <w:sz w:val="22"/>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asciiTheme="minorHAnsi" w:eastAsiaTheme="minorEastAsia" w:hAnsiTheme="minorHAnsi" w:cs="Arial"/>
      <w:bCs/>
      <w:i/>
      <w:sz w:val="22"/>
      <w:szCs w:val="26"/>
      <w:lang w:val="en-US" w:eastAsia="en-US"/>
    </w:rPr>
  </w:style>
  <w:style w:type="character" w:customStyle="1" w:styleId="Level3Char">
    <w:name w:val="Level 3 Char"/>
    <w:link w:val="Level3"/>
    <w:uiPriority w:val="3"/>
    <w:rsid w:val="00E31534"/>
    <w:rPr>
      <w:rFonts w:asciiTheme="minorHAnsi" w:eastAsiaTheme="minorEastAsia" w:hAnsiTheme="minorHAnsi" w:cstheme="minorBidi"/>
      <w:bCs/>
      <w:sz w:val="22"/>
      <w:szCs w:val="28"/>
      <w:lang w:val="en-US" w:eastAsia="en-US"/>
    </w:rPr>
  </w:style>
  <w:style w:type="character" w:customStyle="1" w:styleId="Schedule3Char">
    <w:name w:val="Schedule 3 Char"/>
    <w:link w:val="Schedule3"/>
    <w:uiPriority w:val="4"/>
    <w:rsid w:val="00E31534"/>
    <w:rPr>
      <w:rFonts w:asciiTheme="minorHAnsi" w:eastAsiaTheme="minorEastAsia" w:hAnsiTheme="minorHAnsi" w:cstheme="minorBidi"/>
      <w:bCs/>
      <w:sz w:val="22"/>
      <w:szCs w:val="28"/>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 w:type="paragraph" w:styleId="FootnoteText">
    <w:name w:val="footnote text"/>
    <w:basedOn w:val="Normal"/>
    <w:link w:val="FootnoteTextChar"/>
    <w:uiPriority w:val="99"/>
    <w:semiHidden/>
    <w:unhideWhenUsed/>
    <w:rsid w:val="003F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0DD"/>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3F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377">
      <w:bodyDiv w:val="1"/>
      <w:marLeft w:val="0"/>
      <w:marRight w:val="0"/>
      <w:marTop w:val="0"/>
      <w:marBottom w:val="0"/>
      <w:divBdr>
        <w:top w:val="none" w:sz="0" w:space="0" w:color="auto"/>
        <w:left w:val="none" w:sz="0" w:space="0" w:color="auto"/>
        <w:bottom w:val="none" w:sz="0" w:space="0" w:color="auto"/>
        <w:right w:val="none" w:sz="0" w:space="0" w:color="auto"/>
      </w:divBdr>
    </w:div>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220599576">
      <w:bodyDiv w:val="1"/>
      <w:marLeft w:val="0"/>
      <w:marRight w:val="0"/>
      <w:marTop w:val="0"/>
      <w:marBottom w:val="0"/>
      <w:divBdr>
        <w:top w:val="none" w:sz="0" w:space="0" w:color="auto"/>
        <w:left w:val="none" w:sz="0" w:space="0" w:color="auto"/>
        <w:bottom w:val="none" w:sz="0" w:space="0" w:color="auto"/>
        <w:right w:val="none" w:sz="0" w:space="0" w:color="auto"/>
      </w:divBdr>
    </w:div>
    <w:div w:id="294722838">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348219158">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015687551">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rept.unibuc.ro/documente/2023/AUBD/1,%202023,%202.%20Irina%20Suatean%20-%20Scurta%20radiografie%20a%20ultimelor%20discrete%20propuneri%20de%20modificare%20a%20Legii%20Contenciosului%20administrativ.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40F79-5392-423C-B39A-689A260F1EFC}">
  <ds:schemaRefs>
    <ds:schemaRef ds:uri="http://schemas.microsoft.com/sharepoint/v3/contenttype/forms"/>
  </ds:schemaRefs>
</ds:datastoreItem>
</file>

<file path=customXml/itemProps3.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A7147-DFDA-4106-A330-F193CCDC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4</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2023-04-19T08:00:00Z</dcterms:created>
  <dcterms:modified xsi:type="dcterms:W3CDTF">2023-04-19T08:00:00Z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