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AA1" w14:textId="2A098954" w:rsidR="00B137E0" w:rsidRDefault="006A60E8" w:rsidP="00C40607">
      <w:pPr>
        <w:pStyle w:val="NoSpacing"/>
        <w:widowControl w:val="0"/>
        <w:spacing w:before="120" w:after="120" w:line="280" w:lineRule="atLeast"/>
        <w:jc w:val="center"/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Îndreptarea neclarităților trecutului. </w:t>
      </w:r>
      <w:r w:rsidR="00B137E0" w:rsidRPr="004D706E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O nouă amnistie</w:t>
      </w:r>
      <w:r w:rsidR="00B137E0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 pentru obligațiile fiscale suplimentare aferente </w:t>
      </w:r>
      <w:r w:rsidR="004D706E" w:rsidRPr="004D706E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tichetelor cadou</w:t>
      </w:r>
    </w:p>
    <w:p w14:paraId="6DE9AB0A" w14:textId="77777777" w:rsidR="00C40607" w:rsidRPr="00896825" w:rsidRDefault="00C40607" w:rsidP="00C40607">
      <w:pPr>
        <w:pStyle w:val="NoSpacing"/>
        <w:widowControl w:val="0"/>
        <w:spacing w:before="120" w:after="120" w:line="280" w:lineRule="atLeast"/>
        <w:jc w:val="center"/>
        <w:rPr>
          <w:rStyle w:val="Emphasis"/>
          <w:rFonts w:asciiTheme="majorHAnsi" w:eastAsia="Times" w:hAnsiTheme="majorHAnsi" w:cstheme="majorHAnsi"/>
          <w:b/>
          <w:bCs/>
          <w:i w:val="0"/>
          <w:iCs w:val="0"/>
          <w:sz w:val="24"/>
          <w:szCs w:val="24"/>
          <w:lang w:val="fr-FR" w:eastAsia="en-GB"/>
        </w:rPr>
      </w:pPr>
    </w:p>
    <w:p w14:paraId="75708EE0" w14:textId="3853965E" w:rsidR="004D706E" w:rsidRDefault="004D706E" w:rsidP="00C40607">
      <w:pPr>
        <w:pStyle w:val="NoSpacing"/>
        <w:widowControl w:val="0"/>
        <w:spacing w:before="120" w:after="120" w:line="280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 w:rsidRPr="004D706E">
        <w:rPr>
          <w:rFonts w:asciiTheme="majorHAnsi" w:hAnsiTheme="majorHAnsi" w:cstheme="majorHAnsi"/>
          <w:i/>
          <w:sz w:val="20"/>
          <w:szCs w:val="20"/>
        </w:rPr>
        <w:t>Material de opinie de Laura Epure, Managing Associate, Tatiana Milu, Associate, Reff &amp; Asociații | Deloitte Legal</w:t>
      </w:r>
      <w:r w:rsidR="006D7FBD">
        <w:rPr>
          <w:rFonts w:asciiTheme="majorHAnsi" w:hAnsiTheme="majorHAnsi" w:cstheme="majorHAnsi"/>
          <w:i/>
        </w:rPr>
        <w:t>,</w:t>
      </w:r>
      <w:r w:rsidRPr="004D706E">
        <w:rPr>
          <w:rFonts w:asciiTheme="majorHAnsi" w:hAnsiTheme="majorHAnsi" w:cstheme="majorHAnsi"/>
          <w:i/>
          <w:sz w:val="20"/>
          <w:szCs w:val="20"/>
        </w:rPr>
        <w:t xml:space="preserve"> și Diana Alexandru, Senior Consultant, Deloitte România</w:t>
      </w:r>
    </w:p>
    <w:p w14:paraId="79BC782D" w14:textId="77777777" w:rsidR="00C40607" w:rsidRPr="004D706E" w:rsidRDefault="00C40607" w:rsidP="00C40607">
      <w:pPr>
        <w:pStyle w:val="NoSpacing"/>
        <w:widowControl w:val="0"/>
        <w:spacing w:before="120" w:after="120" w:line="280" w:lineRule="atLeast"/>
        <w:jc w:val="both"/>
        <w:rPr>
          <w:rStyle w:val="Emphasis"/>
          <w:rFonts w:asciiTheme="majorHAnsi" w:hAnsiTheme="majorHAnsi" w:cstheme="majorHAnsi"/>
          <w:iCs w:val="0"/>
        </w:rPr>
      </w:pPr>
    </w:p>
    <w:p w14:paraId="67899C39" w14:textId="658DD692" w:rsidR="00B137E0" w:rsidRDefault="00F74582" w:rsidP="00F74582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Tratamentul fiscal al t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ichetel</w:t>
      </w:r>
      <w:r w:rsidR="00E24E51">
        <w:rPr>
          <w:rFonts w:asciiTheme="majorHAnsi" w:hAnsiTheme="majorHAnsi" w:cstheme="majorHAnsi"/>
          <w:sz w:val="20"/>
          <w:szCs w:val="20"/>
          <w:lang w:val="ro-RO"/>
        </w:rPr>
        <w:t>or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cadou 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 xml:space="preserve">acordate </w:t>
      </w:r>
      <w:r w:rsidR="00E24E51">
        <w:rPr>
          <w:rFonts w:asciiTheme="majorHAnsi" w:hAnsiTheme="majorHAnsi" w:cstheme="majorHAnsi"/>
          <w:sz w:val="20"/>
          <w:szCs w:val="20"/>
          <w:lang w:val="ro-RO"/>
        </w:rPr>
        <w:t xml:space="preserve">de anumite societăți 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>altor persoane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decât 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 xml:space="preserve">propriilor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angaja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>ți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a fost subiectul unor d</w:t>
      </w:r>
      <w:r>
        <w:rPr>
          <w:rFonts w:asciiTheme="majorHAnsi" w:hAnsiTheme="majorHAnsi" w:cstheme="majorHAnsi"/>
          <w:sz w:val="20"/>
          <w:szCs w:val="20"/>
          <w:lang w:val="ro-RO"/>
        </w:rPr>
        <w:t>ezbateri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îndelungate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între mediul de afaceri și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autoritatea fiscală</w:t>
      </w:r>
      <w:r w:rsidR="00896825">
        <w:rPr>
          <w:rFonts w:asciiTheme="majorHAnsi" w:hAnsiTheme="majorHAnsi" w:cstheme="majorHAnsi"/>
          <w:sz w:val="20"/>
          <w:szCs w:val="20"/>
          <w:lang w:val="ro-RO"/>
        </w:rPr>
        <w:t>,</w:t>
      </w:r>
      <w:r w:rsidR="00B137E0">
        <w:rPr>
          <w:rFonts w:asciiTheme="majorHAnsi" w:hAnsiTheme="majorHAnsi" w:cstheme="majorHAnsi"/>
          <w:sz w:val="20"/>
          <w:szCs w:val="20"/>
          <w:lang w:val="ro-RO"/>
        </w:rPr>
        <w:t xml:space="preserve"> dat fiind că, în urma unor controale, </w:t>
      </w:r>
      <w:r w:rsidR="00A8196A">
        <w:rPr>
          <w:rFonts w:asciiTheme="majorHAnsi" w:hAnsiTheme="majorHAnsi" w:cstheme="majorHAnsi"/>
          <w:sz w:val="20"/>
          <w:szCs w:val="20"/>
          <w:lang w:val="ro-RO"/>
        </w:rPr>
        <w:t xml:space="preserve">reprezentanții </w:t>
      </w:r>
      <w:r w:rsidR="002717CC">
        <w:rPr>
          <w:rFonts w:asciiTheme="majorHAnsi" w:hAnsiTheme="majorHAnsi" w:cstheme="majorHAnsi"/>
          <w:sz w:val="20"/>
          <w:szCs w:val="20"/>
          <w:lang w:val="ro-RO"/>
        </w:rPr>
        <w:t>administrației</w:t>
      </w:r>
      <w:r w:rsidR="00896825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>a</w:t>
      </w:r>
      <w:r w:rsidR="00A8196A">
        <w:rPr>
          <w:rFonts w:asciiTheme="majorHAnsi" w:hAnsiTheme="majorHAnsi" w:cstheme="majorHAnsi"/>
          <w:sz w:val="20"/>
          <w:szCs w:val="20"/>
          <w:lang w:val="ro-RO"/>
        </w:rPr>
        <w:t>u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 xml:space="preserve"> reîncadrat aceste </w:t>
      </w:r>
      <w:r w:rsidR="00E24E51">
        <w:rPr>
          <w:rFonts w:asciiTheme="majorHAnsi" w:hAnsiTheme="majorHAnsi" w:cstheme="majorHAnsi"/>
          <w:sz w:val="20"/>
          <w:szCs w:val="20"/>
          <w:lang w:val="ro-RO"/>
        </w:rPr>
        <w:t>beneficii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 xml:space="preserve"> din „venituri din alte surse” în „venituri din salarii”, stabilind astfel</w:t>
      </w:r>
      <w:r w:rsidR="00E24E51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8E015B" w:rsidRPr="004D706E">
        <w:rPr>
          <w:rFonts w:asciiTheme="majorHAnsi" w:hAnsiTheme="majorHAnsi" w:cstheme="majorHAnsi"/>
          <w:sz w:val="20"/>
          <w:szCs w:val="20"/>
          <w:lang w:val="ro-RO"/>
        </w:rPr>
        <w:t>impozite și contribuții suplimentare, precum și dobânzi și penalități aferente</w:t>
      </w:r>
      <w:r w:rsidR="00E24E51">
        <w:rPr>
          <w:rFonts w:asciiTheme="majorHAnsi" w:hAnsiTheme="majorHAnsi" w:cstheme="majorHAnsi"/>
          <w:sz w:val="20"/>
          <w:szCs w:val="20"/>
          <w:lang w:val="ro-RO"/>
        </w:rPr>
        <w:t xml:space="preserve"> în sarcina companiilor care le-au acordat.</w:t>
      </w:r>
      <w:r w:rsidR="00B137E0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74720B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Astfel, sumele impuse au dublat, în unele cazuri, costul efectiv al tichetelor </w:t>
      </w:r>
      <w:r w:rsidR="00E24E51">
        <w:rPr>
          <w:rFonts w:asciiTheme="majorHAnsi" w:hAnsiTheme="majorHAnsi" w:cstheme="majorHAnsi"/>
          <w:sz w:val="20"/>
          <w:szCs w:val="20"/>
          <w:lang w:val="ro-RO"/>
        </w:rPr>
        <w:t>respective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21879005" w14:textId="3C2E6DB3" w:rsidR="004D706E" w:rsidRPr="004D706E" w:rsidRDefault="00F74582" w:rsidP="00F74582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Inițial, l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egislația fiscală reglementa tratamentul fiscal al tichetel</w:t>
      </w:r>
      <w:r w:rsidR="00C63E98">
        <w:rPr>
          <w:rFonts w:asciiTheme="majorHAnsi" w:hAnsiTheme="majorHAnsi" w:cstheme="majorHAnsi"/>
          <w:sz w:val="20"/>
          <w:szCs w:val="20"/>
          <w:lang w:val="ro-RO"/>
        </w:rPr>
        <w:t>or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cadou </w:t>
      </w:r>
      <w:r w:rsidR="00B2772B">
        <w:rPr>
          <w:rFonts w:asciiTheme="majorHAnsi" w:hAnsiTheme="majorHAnsi" w:cstheme="majorHAnsi"/>
          <w:sz w:val="20"/>
          <w:szCs w:val="20"/>
          <w:lang w:val="ro-RO"/>
        </w:rPr>
        <w:t xml:space="preserve">acordate angajaților altei companii </w:t>
      </w:r>
      <w:r w:rsidR="00C63E98">
        <w:rPr>
          <w:rFonts w:asciiTheme="majorHAnsi" w:hAnsiTheme="majorHAnsi" w:cstheme="majorHAnsi"/>
          <w:sz w:val="20"/>
          <w:szCs w:val="20"/>
          <w:lang w:val="ro-RO"/>
        </w:rPr>
        <w:t xml:space="preserve">drept </w:t>
      </w:r>
      <w:r w:rsidR="00C40607" w:rsidRPr="004D706E">
        <w:rPr>
          <w:rFonts w:asciiTheme="majorHAnsi" w:hAnsiTheme="majorHAnsi" w:cstheme="majorHAnsi"/>
          <w:sz w:val="20"/>
          <w:szCs w:val="20"/>
          <w:lang w:val="ro-RO"/>
        </w:rPr>
        <w:t>venituri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din alte surse</w:t>
      </w:r>
      <w:r>
        <w:rPr>
          <w:rFonts w:asciiTheme="majorHAnsi" w:hAnsiTheme="majorHAnsi" w:cstheme="majorHAnsi"/>
          <w:sz w:val="20"/>
          <w:szCs w:val="20"/>
          <w:lang w:val="ro-RO"/>
        </w:rPr>
        <w:t>,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supuse doar impozitului pe venit cu reținere la sursă, existând inclusiv materiale emise de autoritățile fiscale </w:t>
      </w:r>
      <w:r>
        <w:rPr>
          <w:rFonts w:asciiTheme="majorHAnsi" w:hAnsiTheme="majorHAnsi" w:cstheme="majorHAnsi"/>
          <w:sz w:val="20"/>
          <w:szCs w:val="20"/>
          <w:lang w:val="ro-RO"/>
        </w:rPr>
        <w:t>care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confirmau acest aspect. Cu toate acestea, </w:t>
      </w:r>
      <w:r w:rsidR="008E015B">
        <w:rPr>
          <w:rFonts w:asciiTheme="majorHAnsi" w:hAnsiTheme="majorHAnsi" w:cstheme="majorHAnsi"/>
          <w:sz w:val="20"/>
          <w:szCs w:val="20"/>
          <w:lang w:val="ro-RO"/>
        </w:rPr>
        <w:t>interpretând în sens contrar legislația fiscală privind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impozitarea tichete</w:t>
      </w:r>
      <w:r>
        <w:rPr>
          <w:rFonts w:asciiTheme="majorHAnsi" w:hAnsiTheme="majorHAnsi" w:cstheme="majorHAnsi"/>
          <w:sz w:val="20"/>
          <w:szCs w:val="20"/>
          <w:lang w:val="ro-RO"/>
        </w:rPr>
        <w:t>lor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cadou,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inspectorii au stabilit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că acestea ar reprezenta venituri salariale</w:t>
      </w:r>
      <w:r w:rsidR="00FB175D">
        <w:rPr>
          <w:rFonts w:asciiTheme="majorHAnsi" w:hAnsiTheme="majorHAnsi" w:cstheme="majorHAnsi"/>
          <w:sz w:val="20"/>
          <w:szCs w:val="20"/>
          <w:lang w:val="ro-RO"/>
        </w:rPr>
        <w:t>,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în anumite situații, chiar și în lipsa unei relații contractuale de muncă între emitentul tichetelor și beneficiarul lor.</w:t>
      </w:r>
    </w:p>
    <w:p w14:paraId="48AA1073" w14:textId="4D66E9A1" w:rsidR="004D706E" w:rsidRDefault="004D706E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Pentru a </w:t>
      </w:r>
      <w:r w:rsidR="00FB175D">
        <w:rPr>
          <w:rFonts w:asciiTheme="majorHAnsi" w:hAnsiTheme="majorHAnsi" w:cstheme="majorHAnsi"/>
          <w:sz w:val="20"/>
          <w:szCs w:val="20"/>
          <w:lang w:val="ro-RO"/>
        </w:rPr>
        <w:t>corecta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situațiile apărute în practică</w:t>
      </w:r>
      <w:r w:rsidR="009F6D84">
        <w:rPr>
          <w:rFonts w:asciiTheme="majorHAnsi" w:hAnsiTheme="majorHAnsi" w:cstheme="majorHAnsi"/>
          <w:sz w:val="20"/>
          <w:szCs w:val="20"/>
          <w:lang w:val="ro-RO"/>
        </w:rPr>
        <w:t>,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 xml:space="preserve">în 24 februarie 2023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a 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 xml:space="preserve">fost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adoptat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>ă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Legea nr. 43/2023 c</w:t>
      </w:r>
      <w:r w:rsidR="00FB175D">
        <w:rPr>
          <w:rFonts w:asciiTheme="majorHAnsi" w:hAnsiTheme="majorHAnsi" w:cstheme="majorHAnsi"/>
          <w:sz w:val="20"/>
          <w:szCs w:val="20"/>
          <w:lang w:val="ro-RO"/>
        </w:rPr>
        <w:t>are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prevede anularea obligațiilor fiscale principale și accesorii stabilite în astfel de cazuri.</w:t>
      </w:r>
    </w:p>
    <w:p w14:paraId="001DAE3E" w14:textId="77777777" w:rsidR="00896825" w:rsidRDefault="00896825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rPr>
          <w:rFonts w:asciiTheme="majorHAnsi" w:hAnsiTheme="majorHAnsi" w:cstheme="majorHAnsi"/>
          <w:sz w:val="20"/>
          <w:szCs w:val="20"/>
          <w:lang w:val="ro-RO"/>
        </w:rPr>
      </w:pPr>
    </w:p>
    <w:p w14:paraId="63F4B138" w14:textId="29AE1BFA" w:rsidR="009F6D84" w:rsidRPr="00C40607" w:rsidRDefault="009F6D84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rPr>
          <w:rFonts w:asciiTheme="majorHAnsi" w:hAnsiTheme="majorHAnsi" w:cstheme="majorHAnsi"/>
          <w:b/>
          <w:bCs/>
          <w:sz w:val="20"/>
          <w:szCs w:val="20"/>
          <w:lang w:val="ro-RO"/>
        </w:rPr>
      </w:pPr>
      <w:r w:rsidRPr="00C40607">
        <w:rPr>
          <w:rFonts w:asciiTheme="majorHAnsi" w:hAnsiTheme="majorHAnsi" w:cstheme="majorHAnsi"/>
          <w:b/>
          <w:bCs/>
          <w:sz w:val="20"/>
          <w:szCs w:val="20"/>
          <w:lang w:val="ro-RO"/>
        </w:rPr>
        <w:t xml:space="preserve">Cine poate beneficia de amnistie? </w:t>
      </w:r>
    </w:p>
    <w:p w14:paraId="786CA5B9" w14:textId="2C47DA92" w:rsidR="004D706E" w:rsidRPr="004D706E" w:rsidRDefault="004D706E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lang w:val="ro-RO"/>
        </w:rPr>
      </w:pPr>
      <w:r w:rsidRPr="004D706E">
        <w:rPr>
          <w:rFonts w:asciiTheme="majorHAnsi" w:hAnsiTheme="majorHAnsi" w:cstheme="majorHAnsi"/>
          <w:sz w:val="20"/>
          <w:szCs w:val="20"/>
          <w:lang w:val="ro-RO"/>
        </w:rPr>
        <w:t>Beneficiari</w:t>
      </w:r>
      <w:r w:rsidR="007E71FB">
        <w:rPr>
          <w:rFonts w:asciiTheme="majorHAnsi" w:hAnsiTheme="majorHAnsi" w:cstheme="majorHAnsi"/>
          <w:sz w:val="20"/>
          <w:szCs w:val="20"/>
          <w:lang w:val="ro-RO"/>
        </w:rPr>
        <w:t>i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acestei facilități </w:t>
      </w:r>
      <w:r w:rsidR="007E71FB">
        <w:rPr>
          <w:rFonts w:asciiTheme="majorHAnsi" w:hAnsiTheme="majorHAnsi" w:cstheme="majorHAnsi"/>
          <w:sz w:val="20"/>
          <w:szCs w:val="20"/>
          <w:lang w:val="ro-RO"/>
        </w:rPr>
        <w:t xml:space="preserve">se împart în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două categorii principale. Pe de-o parte, amnistia se aplică persoane</w:t>
      </w:r>
      <w:r w:rsidR="007E71FB">
        <w:rPr>
          <w:rFonts w:asciiTheme="majorHAnsi" w:hAnsiTheme="majorHAnsi" w:cstheme="majorHAnsi"/>
          <w:sz w:val="20"/>
          <w:szCs w:val="20"/>
          <w:lang w:val="ro-RO"/>
        </w:rPr>
        <w:t>lor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juridice în sarcina cărora au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>toritățile fiscale au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stabilit diferențe de obligații fiscale ca urmare a reîncadrării veniturilor din tichete cadou în </w:t>
      </w:r>
      <w:r w:rsidR="007E71FB">
        <w:rPr>
          <w:rFonts w:asciiTheme="majorHAnsi" w:hAnsiTheme="majorHAnsi" w:cstheme="majorHAnsi"/>
          <w:sz w:val="20"/>
          <w:szCs w:val="20"/>
          <w:lang w:val="ro-RO"/>
        </w:rPr>
        <w:t xml:space="preserve">categoria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venitur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 xml:space="preserve">ilor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de natură salarială</w:t>
      </w:r>
      <w:r w:rsidR="00C63E98">
        <w:rPr>
          <w:rFonts w:asciiTheme="majorHAnsi" w:hAnsiTheme="majorHAnsi" w:cstheme="majorHAnsi"/>
          <w:sz w:val="20"/>
          <w:szCs w:val="20"/>
          <w:lang w:val="ro-RO"/>
        </w:rPr>
        <w:t>.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</w:p>
    <w:p w14:paraId="7B1E932E" w14:textId="1E47CEA2" w:rsidR="004D706E" w:rsidRPr="004D706E" w:rsidRDefault="004D706E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lang w:val="ro-RO"/>
        </w:rPr>
      </w:pP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Pe de altă parte, aceasta 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>se</w:t>
      </w:r>
      <w:r w:rsidR="0074720B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aplică și persoanelor juridice care au acordat astfel de tichete cadou altor persoane decât </w:t>
      </w:r>
      <w:r w:rsidR="00896825" w:rsidRPr="004D706E">
        <w:rPr>
          <w:rFonts w:asciiTheme="majorHAnsi" w:hAnsiTheme="majorHAnsi" w:cstheme="majorHAnsi"/>
          <w:sz w:val="20"/>
          <w:szCs w:val="20"/>
          <w:lang w:val="ro-RO"/>
        </w:rPr>
        <w:t>angajați</w:t>
      </w:r>
      <w:r w:rsidR="00896825">
        <w:rPr>
          <w:rFonts w:asciiTheme="majorHAnsi" w:hAnsiTheme="majorHAnsi" w:cstheme="majorHAnsi"/>
          <w:sz w:val="20"/>
          <w:szCs w:val="20"/>
          <w:lang w:val="ro-RO"/>
        </w:rPr>
        <w:t>lor</w:t>
      </w:r>
      <w:r w:rsidR="00896825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lor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 xml:space="preserve">, dar pentru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care nu s-a emis încă o decizie de impunere, legea amnistiei 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>limit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>ând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 xml:space="preserve"> dreptul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autorităților fiscale de a emite, în viitor, decizii de impunere pentru perioade fiscale anterioare datei de 31 decembrie 2020 inclusiv.</w:t>
      </w:r>
    </w:p>
    <w:p w14:paraId="5F0137FB" w14:textId="5766A1D7" w:rsidR="004D706E" w:rsidRDefault="004D706E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lang w:val="ro-RO"/>
        </w:rPr>
      </w:pPr>
      <w:r w:rsidRPr="004D706E">
        <w:rPr>
          <w:rFonts w:asciiTheme="majorHAnsi" w:hAnsiTheme="majorHAnsi" w:cstheme="majorHAnsi"/>
          <w:sz w:val="20"/>
          <w:szCs w:val="20"/>
          <w:lang w:val="ro-RO"/>
        </w:rPr>
        <w:t>Legea prevede că amnisti</w:t>
      </w:r>
      <w:r w:rsidR="009F6D84">
        <w:rPr>
          <w:rFonts w:asciiTheme="majorHAnsi" w:hAnsiTheme="majorHAnsi" w:cstheme="majorHAnsi"/>
          <w:sz w:val="20"/>
          <w:szCs w:val="20"/>
          <w:lang w:val="ro-RO"/>
        </w:rPr>
        <w:t xml:space="preserve">a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se aplică doar 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 xml:space="preserve">pentru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venituril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>e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din tichete cadou obținute de către persoanele fizice de la alte persoane decât angajatorii 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>lor</w:t>
      </w:r>
      <w:r w:rsidR="007C6F5F">
        <w:rPr>
          <w:rFonts w:asciiTheme="majorHAnsi" w:hAnsiTheme="majorHAnsi" w:cstheme="majorHAnsi"/>
          <w:sz w:val="20"/>
          <w:szCs w:val="20"/>
          <w:lang w:val="ro-RO"/>
        </w:rPr>
        <w:t xml:space="preserve"> și care au fost</w:t>
      </w:r>
      <w:r w:rsidR="007C6F5F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încadrate</w:t>
      </w:r>
      <w:r w:rsidR="00C63E98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în categoria veniturilor din alte surse. Prin urmare, 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 xml:space="preserve">fiecare contribuabil trebuie să-și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analize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 xml:space="preserve">ze cu atenție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>situați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>a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pentru a </w:t>
      </w:r>
      <w:r w:rsidR="0004624B">
        <w:rPr>
          <w:rFonts w:asciiTheme="majorHAnsi" w:hAnsiTheme="majorHAnsi" w:cstheme="majorHAnsi"/>
          <w:sz w:val="20"/>
          <w:szCs w:val="20"/>
          <w:lang w:val="ro-RO"/>
        </w:rPr>
        <w:t xml:space="preserve">stabili 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dacă este eligibil pentru a beneficia de efectele favorabile ale amnistiei. </w:t>
      </w:r>
    </w:p>
    <w:p w14:paraId="175B958A" w14:textId="77777777" w:rsidR="00896825" w:rsidRDefault="00896825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lang w:val="ro-RO"/>
        </w:rPr>
      </w:pPr>
    </w:p>
    <w:p w14:paraId="16DA20AA" w14:textId="7C3E0085" w:rsidR="009F6D84" w:rsidRPr="00C40607" w:rsidRDefault="009F6D84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b/>
          <w:bCs/>
          <w:sz w:val="20"/>
          <w:szCs w:val="20"/>
          <w:lang w:val="ro-RO"/>
        </w:rPr>
      </w:pPr>
      <w:r w:rsidRPr="00C40607">
        <w:rPr>
          <w:rFonts w:asciiTheme="majorHAnsi" w:hAnsiTheme="majorHAnsi" w:cstheme="majorHAnsi"/>
          <w:b/>
          <w:bCs/>
          <w:sz w:val="20"/>
          <w:szCs w:val="20"/>
          <w:lang w:val="ro-RO"/>
        </w:rPr>
        <w:t xml:space="preserve">Pentru sumele </w:t>
      </w:r>
      <w:r w:rsidR="00C63E98" w:rsidRPr="00A12F2D">
        <w:rPr>
          <w:rFonts w:asciiTheme="majorHAnsi" w:hAnsiTheme="majorHAnsi" w:cstheme="majorHAnsi"/>
          <w:b/>
          <w:bCs/>
          <w:sz w:val="20"/>
          <w:szCs w:val="20"/>
          <w:lang w:val="ro-RO"/>
        </w:rPr>
        <w:t>deja</w:t>
      </w:r>
      <w:r w:rsidR="00C63E98" w:rsidRPr="00C63E98">
        <w:rPr>
          <w:rFonts w:asciiTheme="majorHAnsi" w:hAnsiTheme="majorHAnsi" w:cstheme="majorHAnsi"/>
          <w:b/>
          <w:bCs/>
          <w:sz w:val="20"/>
          <w:szCs w:val="20"/>
          <w:lang w:val="ro-RO"/>
        </w:rPr>
        <w:t xml:space="preserve"> </w:t>
      </w:r>
      <w:r w:rsidRPr="00C40607">
        <w:rPr>
          <w:rFonts w:asciiTheme="majorHAnsi" w:hAnsiTheme="majorHAnsi" w:cstheme="majorHAnsi"/>
          <w:b/>
          <w:bCs/>
          <w:sz w:val="20"/>
          <w:szCs w:val="20"/>
          <w:lang w:val="ro-RO"/>
        </w:rPr>
        <w:t xml:space="preserve">achitate, contribuabilul trebuie să depună </w:t>
      </w:r>
      <w:r w:rsidR="0074720B">
        <w:rPr>
          <w:rFonts w:asciiTheme="majorHAnsi" w:hAnsiTheme="majorHAnsi" w:cstheme="majorHAnsi"/>
          <w:b/>
          <w:bCs/>
          <w:sz w:val="20"/>
          <w:szCs w:val="20"/>
          <w:lang w:val="ro-RO"/>
        </w:rPr>
        <w:t xml:space="preserve">o </w:t>
      </w:r>
      <w:r w:rsidRPr="00C40607">
        <w:rPr>
          <w:rFonts w:asciiTheme="majorHAnsi" w:hAnsiTheme="majorHAnsi" w:cstheme="majorHAnsi"/>
          <w:b/>
          <w:bCs/>
          <w:sz w:val="20"/>
          <w:szCs w:val="20"/>
          <w:lang w:val="ro-RO"/>
        </w:rPr>
        <w:t>cerere de restituire</w:t>
      </w:r>
      <w:r w:rsidR="00C63E98">
        <w:rPr>
          <w:rFonts w:asciiTheme="majorHAnsi" w:hAnsiTheme="majorHAnsi" w:cstheme="majorHAnsi"/>
          <w:b/>
          <w:bCs/>
          <w:sz w:val="20"/>
          <w:szCs w:val="20"/>
          <w:lang w:val="ro-RO"/>
        </w:rPr>
        <w:t xml:space="preserve"> </w:t>
      </w:r>
    </w:p>
    <w:p w14:paraId="4CCD8428" w14:textId="2D11088F" w:rsidR="004D706E" w:rsidRPr="004D706E" w:rsidRDefault="0074720B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În cazul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în care obligațiile fiscale au fost deja stinse la data intrării în vigoare a legii</w:t>
      </w:r>
      <w:r w:rsidR="00405BF2">
        <w:rPr>
          <w:rFonts w:asciiTheme="majorHAnsi" w:hAnsiTheme="majorHAnsi" w:cstheme="majorHAnsi"/>
          <w:sz w:val="20"/>
          <w:szCs w:val="20"/>
          <w:lang w:val="ro-RO"/>
        </w:rPr>
        <w:t>, actul normativ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prevede dreptul contribuabililor de a solicita restituirea sume</w:t>
      </w:r>
      <w:r w:rsidR="00405BF2">
        <w:rPr>
          <w:rFonts w:asciiTheme="majorHAnsi" w:hAnsiTheme="majorHAnsi" w:cstheme="majorHAnsi"/>
          <w:sz w:val="20"/>
          <w:szCs w:val="20"/>
          <w:lang w:val="ro-RO"/>
        </w:rPr>
        <w:t>lor respective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prin depunerea unei cereri în acest sens la organul fiscal</w:t>
      </w:r>
      <w:r w:rsidR="00405BF2">
        <w:rPr>
          <w:rFonts w:asciiTheme="majorHAnsi" w:hAnsiTheme="majorHAnsi" w:cstheme="majorHAnsi"/>
          <w:sz w:val="20"/>
          <w:szCs w:val="20"/>
          <w:lang w:val="ro-RO"/>
        </w:rPr>
        <w:t>,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în limita termenului de prescripție de cinci ani ce se calculează începând cu data intrării în vigoare a legi</w:t>
      </w:r>
      <w:r w:rsidR="00405BF2">
        <w:rPr>
          <w:rFonts w:asciiTheme="majorHAnsi" w:hAnsiTheme="majorHAnsi" w:cstheme="majorHAnsi"/>
          <w:sz w:val="20"/>
          <w:szCs w:val="20"/>
          <w:lang w:val="ro-RO"/>
        </w:rPr>
        <w:t>i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. </w:t>
      </w:r>
    </w:p>
    <w:p w14:paraId="116C1D9D" w14:textId="77777777" w:rsidR="0074720B" w:rsidRDefault="004D706E" w:rsidP="009F6D84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lang w:val="ro-RO"/>
        </w:rPr>
      </w:pPr>
      <w:r w:rsidRPr="004D706E">
        <w:rPr>
          <w:rFonts w:asciiTheme="majorHAnsi" w:hAnsiTheme="majorHAnsi" w:cstheme="majorHAnsi"/>
          <w:sz w:val="20"/>
          <w:szCs w:val="20"/>
          <w:lang w:val="ro-RO"/>
        </w:rPr>
        <w:t>Pentru aplicarea amnistiei, Agenția Națională de Administrare Fiscală este obligată să emită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>,</w:t>
      </w:r>
      <w:r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în termen de 30 de zile de la data intrării în vigoare a legii (27 februarie 2023), un ordin cu regulile necesare pentru anularea obligațiilor fiscale. </w:t>
      </w:r>
    </w:p>
    <w:p w14:paraId="517CA437" w14:textId="3FA8F457" w:rsidR="004D706E" w:rsidRPr="004D706E" w:rsidRDefault="009F6D84" w:rsidP="004D706E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Cu toate acestea,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813758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experiențele recente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cu 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 xml:space="preserve">astfel de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reglementări 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 xml:space="preserve">au arătat că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autoritățile au </w:t>
      </w:r>
      <w:r w:rsidR="00DF6FF2">
        <w:rPr>
          <w:rFonts w:asciiTheme="majorHAnsi" w:hAnsiTheme="majorHAnsi" w:cstheme="majorHAnsi"/>
          <w:sz w:val="20"/>
          <w:szCs w:val="20"/>
          <w:lang w:val="ro-RO"/>
        </w:rPr>
        <w:t xml:space="preserve">avut nevoie de mai mult timp pentru a adopta </w:t>
      </w:r>
      <w:r>
        <w:rPr>
          <w:rFonts w:asciiTheme="majorHAnsi" w:hAnsiTheme="majorHAnsi" w:cstheme="majorHAnsi"/>
          <w:sz w:val="20"/>
          <w:szCs w:val="20"/>
          <w:lang w:val="ro-RO"/>
        </w:rPr>
        <w:t>normele</w:t>
      </w:r>
      <w:r w:rsidR="00DF6FF2">
        <w:rPr>
          <w:rFonts w:asciiTheme="majorHAnsi" w:hAnsiTheme="majorHAnsi" w:cstheme="majorHAnsi"/>
          <w:sz w:val="20"/>
          <w:szCs w:val="20"/>
          <w:lang w:val="ro-RO"/>
        </w:rPr>
        <w:t xml:space="preserve">,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ceea ce a întârziat aplicarea efectivă a facilității.</w:t>
      </w:r>
      <w:r w:rsidR="0074720B"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 xml:space="preserve">Pe de altă parte,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tocmai </w:t>
      </w:r>
      <w:r w:rsidRPr="009F6D84">
        <w:rPr>
          <w:rFonts w:asciiTheme="majorHAnsi" w:hAnsiTheme="majorHAnsi" w:cstheme="majorHAnsi"/>
          <w:sz w:val="20"/>
          <w:szCs w:val="20"/>
          <w:lang w:val="ro-RO"/>
        </w:rPr>
        <w:t xml:space="preserve">această </w:t>
      </w:r>
      <w:r w:rsidR="004D706E" w:rsidRPr="009F6D84">
        <w:rPr>
          <w:rFonts w:asciiTheme="majorHAnsi" w:hAnsiTheme="majorHAnsi" w:cstheme="majorHAnsi"/>
          <w:sz w:val="20"/>
          <w:szCs w:val="20"/>
          <w:lang w:val="ro-RO"/>
        </w:rPr>
        <w:t>experienț</w:t>
      </w:r>
      <w:r w:rsidRPr="00C40607">
        <w:rPr>
          <w:rFonts w:asciiTheme="majorHAnsi" w:hAnsiTheme="majorHAnsi" w:cstheme="majorHAnsi"/>
          <w:sz w:val="20"/>
          <w:szCs w:val="20"/>
          <w:lang w:val="ro-RO"/>
        </w:rPr>
        <w:t xml:space="preserve">ă 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 xml:space="preserve">poate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reprezenta o bază solidă în cadrul activității de elaborare a procedurii de aplicare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 xml:space="preserve">, care să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ajut</w:t>
      </w:r>
      <w:r w:rsidR="00813758">
        <w:rPr>
          <w:rFonts w:asciiTheme="majorHAnsi" w:hAnsiTheme="majorHAnsi" w:cstheme="majorHAnsi"/>
          <w:sz w:val="20"/>
          <w:szCs w:val="20"/>
          <w:lang w:val="ro-RO"/>
        </w:rPr>
        <w:t>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autoritățile să se încadreze în termenul de 30 de zile și să degreveze contribuabilii de o povară ce le-a fost impusă ca urmare a unor neclarități legislative ce nu le pot fi imputate.</w:t>
      </w:r>
    </w:p>
    <w:p w14:paraId="2C21D536" w14:textId="3CC56E45" w:rsidR="00196BA3" w:rsidRPr="00072D27" w:rsidRDefault="00DF6FF2" w:rsidP="00C40607">
      <w:pPr>
        <w:pStyle w:val="NormalWeb"/>
        <w:widowControl w:val="0"/>
        <w:shd w:val="clear" w:color="auto" w:fill="FFFFFF"/>
        <w:spacing w:before="120" w:beforeAutospacing="0" w:after="120" w:afterAutospacing="0" w:line="280" w:lineRule="atLeast"/>
        <w:jc w:val="both"/>
        <w:textAlignment w:val="baseline"/>
        <w:rPr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lastRenderedPageBreak/>
        <w:t>În concluzie, legea este binevenită, dar mai r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ămâ</w:t>
      </w:r>
      <w:r>
        <w:rPr>
          <w:rFonts w:asciiTheme="majorHAnsi" w:hAnsiTheme="majorHAnsi" w:cstheme="majorHAnsi"/>
          <w:sz w:val="20"/>
          <w:szCs w:val="20"/>
          <w:lang w:val="ro-RO"/>
        </w:rPr>
        <w:t>n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câteva aspecte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care trebuie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clarificat</w:t>
      </w:r>
      <w:r>
        <w:rPr>
          <w:rFonts w:asciiTheme="majorHAnsi" w:hAnsiTheme="majorHAnsi" w:cstheme="majorHAnsi"/>
          <w:sz w:val="20"/>
          <w:szCs w:val="20"/>
          <w:lang w:val="ro-RO"/>
        </w:rPr>
        <w:t>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d</w:t>
      </w:r>
      <w:r>
        <w:rPr>
          <w:rFonts w:asciiTheme="majorHAnsi" w:hAnsiTheme="majorHAnsi" w:cstheme="majorHAnsi"/>
          <w:sz w:val="20"/>
          <w:szCs w:val="20"/>
          <w:lang w:val="ro-RO"/>
        </w:rPr>
        <w:t>e către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autorități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,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întrucât amnistia </w:t>
      </w:r>
      <w:r>
        <w:rPr>
          <w:rFonts w:asciiTheme="majorHAnsi" w:hAnsiTheme="majorHAnsi" w:cstheme="majorHAnsi"/>
          <w:sz w:val="20"/>
          <w:szCs w:val="20"/>
          <w:lang w:val="ro-RO"/>
        </w:rPr>
        <w:t>prevăzută de acest</w:t>
      </w:r>
      <w:r w:rsidR="001358FB">
        <w:rPr>
          <w:rFonts w:asciiTheme="majorHAnsi" w:hAnsiTheme="majorHAnsi" w:cstheme="majorHAnsi"/>
          <w:sz w:val="20"/>
          <w:szCs w:val="20"/>
          <w:lang w:val="ro-RO"/>
        </w:rPr>
        <w:t>e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a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nu acoperă toate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implicațiile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>tratamentul</w:t>
      </w:r>
      <w:r>
        <w:rPr>
          <w:rFonts w:asciiTheme="majorHAnsi" w:hAnsiTheme="majorHAnsi" w:cstheme="majorHAnsi"/>
          <w:sz w:val="20"/>
          <w:szCs w:val="20"/>
          <w:lang w:val="ro-RO"/>
        </w:rPr>
        <w:t>ui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fiscal aplicabil tichetelor cadou. Spre exemplu, rămâne încă de clarificat dacă vor intra sub incidența acestei amnistii persoanel</w:t>
      </w:r>
      <w:r>
        <w:rPr>
          <w:rFonts w:asciiTheme="majorHAnsi" w:hAnsiTheme="majorHAnsi" w:cstheme="majorHAnsi"/>
          <w:sz w:val="20"/>
          <w:szCs w:val="20"/>
          <w:lang w:val="ro-RO"/>
        </w:rPr>
        <w:t>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juridice care nu au tratat tichetele cadou drept venituri din alte surse </w:t>
      </w:r>
      <w:r w:rsidR="00E24E51">
        <w:rPr>
          <w:rFonts w:asciiTheme="majorHAnsi" w:hAnsiTheme="majorHAnsi" w:cstheme="majorHAnsi"/>
          <w:sz w:val="20"/>
          <w:szCs w:val="20"/>
          <w:lang w:val="ro-RO"/>
        </w:rPr>
        <w:t xml:space="preserve">(au aplicat alt tratament fiscal) 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sau </w:t>
      </w:r>
      <w:r w:rsidR="00E44F2E">
        <w:rPr>
          <w:rFonts w:asciiTheme="majorHAnsi" w:hAnsiTheme="majorHAnsi" w:cstheme="majorHAnsi"/>
          <w:sz w:val="20"/>
          <w:szCs w:val="20"/>
          <w:lang w:val="ro-RO"/>
        </w:rPr>
        <w:t>cele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care nu au acordat </w:t>
      </w:r>
      <w:r w:rsidR="00786956">
        <w:rPr>
          <w:rFonts w:asciiTheme="majorHAnsi" w:hAnsiTheme="majorHAnsi" w:cstheme="majorHAnsi"/>
          <w:sz w:val="20"/>
          <w:szCs w:val="20"/>
          <w:lang w:val="ro-RO"/>
        </w:rPr>
        <w:t>astfel de beneficii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, ci au optat pentru acordarea de </w:t>
      </w:r>
      <w:r w:rsidR="004D706E" w:rsidRPr="00BD247C">
        <w:rPr>
          <w:rFonts w:asciiTheme="majorHAnsi" w:hAnsiTheme="majorHAnsi" w:cstheme="majorHAnsi"/>
          <w:sz w:val="20"/>
          <w:szCs w:val="20"/>
          <w:lang w:val="ro-RO"/>
        </w:rPr>
        <w:t>vouchere</w:t>
      </w:r>
      <w:r w:rsidR="004D706E" w:rsidRPr="004D706E">
        <w:rPr>
          <w:rFonts w:asciiTheme="majorHAnsi" w:hAnsiTheme="majorHAnsi" w:cstheme="majorHAnsi"/>
          <w:sz w:val="20"/>
          <w:szCs w:val="20"/>
          <w:lang w:val="ro-RO"/>
        </w:rPr>
        <w:t xml:space="preserve"> pentru magazinele online. </w:t>
      </w:r>
    </w:p>
    <w:sectPr w:rsidR="00196BA3" w:rsidRPr="00072D27" w:rsidSect="007C7B0C">
      <w:headerReference w:type="default" r:id="rId6"/>
      <w:headerReference w:type="first" r:id="rId7"/>
      <w:footerReference w:type="first" r:id="rId8"/>
      <w:pgSz w:w="11901" w:h="16840" w:code="9"/>
      <w:pgMar w:top="1440" w:right="1134" w:bottom="454" w:left="1418" w:header="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E708" w14:textId="77777777" w:rsidR="00D8539A" w:rsidRDefault="00D8539A">
      <w:pPr>
        <w:spacing w:line="240" w:lineRule="auto"/>
      </w:pPr>
      <w:r>
        <w:separator/>
      </w:r>
    </w:p>
  </w:endnote>
  <w:endnote w:type="continuationSeparator" w:id="0">
    <w:p w14:paraId="298E1435" w14:textId="77777777" w:rsidR="00D8539A" w:rsidRDefault="00D85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NextPro-Light">
    <w:altName w:val="Leelawadee UI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725A" w14:textId="77777777" w:rsidR="001615F5" w:rsidRPr="001615F5" w:rsidRDefault="00000000" w:rsidP="005D4A30">
    <w:pPr>
      <w:pStyle w:val="Footer"/>
      <w:ind w:right="-7"/>
      <w:rPr>
        <w:rFonts w:ascii="Verdana" w:hAnsi="Verdana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6AE" w14:textId="77777777" w:rsidR="00D8539A" w:rsidRDefault="00D8539A">
      <w:pPr>
        <w:spacing w:line="240" w:lineRule="auto"/>
      </w:pPr>
      <w:r>
        <w:separator/>
      </w:r>
    </w:p>
  </w:footnote>
  <w:footnote w:type="continuationSeparator" w:id="0">
    <w:p w14:paraId="4C315365" w14:textId="77777777" w:rsidR="00D8539A" w:rsidRDefault="00D85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A63" w14:textId="77777777" w:rsidR="003A0D61" w:rsidRDefault="00097D10" w:rsidP="005443B3">
    <w:pPr>
      <w:pStyle w:val="Legalentity"/>
      <w:spacing w:after="140" w:line="240" w:lineRule="auto"/>
      <w:rPr>
        <w:sz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1FE40E" wp14:editId="2231B994">
          <wp:simplePos x="0" y="0"/>
          <wp:positionH relativeFrom="column">
            <wp:posOffset>0</wp:posOffset>
          </wp:positionH>
          <wp:positionV relativeFrom="paragraph">
            <wp:posOffset>368300</wp:posOffset>
          </wp:positionV>
          <wp:extent cx="1630680" cy="304800"/>
          <wp:effectExtent l="0" t="0" r="7620" b="0"/>
          <wp:wrapNone/>
          <wp:docPr id="34" name="Picture 34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AB54" w14:textId="0E145B61" w:rsidR="006A0423" w:rsidRDefault="007E3428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CE1D5FD" wp14:editId="12626FE4">
          <wp:simplePos x="0" y="0"/>
          <wp:positionH relativeFrom="column">
            <wp:posOffset>-312420</wp:posOffset>
          </wp:positionH>
          <wp:positionV relativeFrom="paragraph">
            <wp:posOffset>33020</wp:posOffset>
          </wp:positionV>
          <wp:extent cx="2216150" cy="901700"/>
          <wp:effectExtent l="0" t="0" r="0" b="0"/>
          <wp:wrapNone/>
          <wp:docPr id="35" name="Picture 1" descr="C:\Users\iciuca\AppData\Local\Microsoft\Windows\INetCache\Content.Word\DEL_PR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iuca\AppData\Local\Microsoft\Windows\INetCache\Content.Word\DEL_PR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775E0" w14:textId="63109441" w:rsidR="006A0423" w:rsidRDefault="00000000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</w:p>
  <w:p w14:paraId="5B1213B3" w14:textId="77777777" w:rsidR="006A0423" w:rsidRDefault="00000000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</w:p>
  <w:p w14:paraId="5F8AA7A5" w14:textId="77777777" w:rsidR="006A0423" w:rsidRDefault="00000000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</w:p>
  <w:p w14:paraId="654E5B2D" w14:textId="77777777" w:rsidR="00AF6CE1" w:rsidRPr="00F037A0" w:rsidRDefault="00000000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</w:p>
  <w:p w14:paraId="0A0CBF51" w14:textId="3BF8E9A0" w:rsidR="005443B3" w:rsidRPr="001615F5" w:rsidRDefault="00000000">
    <w:pPr>
      <w:pStyle w:val="Header"/>
      <w:rPr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C5"/>
    <w:rsid w:val="0004624B"/>
    <w:rsid w:val="00050AC2"/>
    <w:rsid w:val="00072D27"/>
    <w:rsid w:val="00087CFB"/>
    <w:rsid w:val="000956D2"/>
    <w:rsid w:val="00097D10"/>
    <w:rsid w:val="001358FB"/>
    <w:rsid w:val="00196BA3"/>
    <w:rsid w:val="0019793A"/>
    <w:rsid w:val="00252C95"/>
    <w:rsid w:val="002717CC"/>
    <w:rsid w:val="00383F7B"/>
    <w:rsid w:val="00405BF2"/>
    <w:rsid w:val="00417B15"/>
    <w:rsid w:val="004D706E"/>
    <w:rsid w:val="004F4E65"/>
    <w:rsid w:val="0050245D"/>
    <w:rsid w:val="00520C02"/>
    <w:rsid w:val="0053076A"/>
    <w:rsid w:val="00587919"/>
    <w:rsid w:val="006074F9"/>
    <w:rsid w:val="006324BF"/>
    <w:rsid w:val="006A60E8"/>
    <w:rsid w:val="006B4CEC"/>
    <w:rsid w:val="006D7FBD"/>
    <w:rsid w:val="006F55D6"/>
    <w:rsid w:val="0074720B"/>
    <w:rsid w:val="00786956"/>
    <w:rsid w:val="007C6F5F"/>
    <w:rsid w:val="007C7440"/>
    <w:rsid w:val="007C7B0C"/>
    <w:rsid w:val="007E3428"/>
    <w:rsid w:val="007E71FB"/>
    <w:rsid w:val="00813758"/>
    <w:rsid w:val="00820C24"/>
    <w:rsid w:val="00823FFE"/>
    <w:rsid w:val="00876E1B"/>
    <w:rsid w:val="00880FD8"/>
    <w:rsid w:val="00896825"/>
    <w:rsid w:val="008E015B"/>
    <w:rsid w:val="009058CB"/>
    <w:rsid w:val="00920A3F"/>
    <w:rsid w:val="00952FBC"/>
    <w:rsid w:val="00963BD8"/>
    <w:rsid w:val="009775E0"/>
    <w:rsid w:val="009927A7"/>
    <w:rsid w:val="0099443F"/>
    <w:rsid w:val="009A73C5"/>
    <w:rsid w:val="009F6D84"/>
    <w:rsid w:val="00A10B8A"/>
    <w:rsid w:val="00A8196A"/>
    <w:rsid w:val="00A934CF"/>
    <w:rsid w:val="00AC6705"/>
    <w:rsid w:val="00B11463"/>
    <w:rsid w:val="00B137E0"/>
    <w:rsid w:val="00B2772B"/>
    <w:rsid w:val="00B814E6"/>
    <w:rsid w:val="00BD247C"/>
    <w:rsid w:val="00C05B41"/>
    <w:rsid w:val="00C06F10"/>
    <w:rsid w:val="00C161E7"/>
    <w:rsid w:val="00C40607"/>
    <w:rsid w:val="00C63E98"/>
    <w:rsid w:val="00D356C1"/>
    <w:rsid w:val="00D666C4"/>
    <w:rsid w:val="00D8539A"/>
    <w:rsid w:val="00DD10AE"/>
    <w:rsid w:val="00DF6FF2"/>
    <w:rsid w:val="00E04CDF"/>
    <w:rsid w:val="00E24E51"/>
    <w:rsid w:val="00E335FE"/>
    <w:rsid w:val="00E44F2E"/>
    <w:rsid w:val="00E60EC6"/>
    <w:rsid w:val="00E706EB"/>
    <w:rsid w:val="00E843FF"/>
    <w:rsid w:val="00ED344E"/>
    <w:rsid w:val="00EF228F"/>
    <w:rsid w:val="00F74582"/>
    <w:rsid w:val="00FB175D"/>
    <w:rsid w:val="00FD3DBD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78955"/>
  <w15:chartTrackingRefBased/>
  <w15:docId w15:val="{83D3E8C0-DDC1-4A3A-936E-358B458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C5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after="0" w:line="280" w:lineRule="exact"/>
    </w:pPr>
    <w:rPr>
      <w:rFonts w:ascii="Helvetica 45 Light" w:eastAsia="Times" w:hAnsi="Helvetica 45 Light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3C5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A73C5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9A73C5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9A73C5"/>
    <w:rPr>
      <w:rFonts w:ascii="Helvetica 45 Light" w:eastAsia="Times" w:hAnsi="Helvetica 45 Light" w:cs="Times New Roman"/>
      <w:sz w:val="12"/>
      <w:szCs w:val="20"/>
      <w:lang w:val="en-GB" w:eastAsia="en-GB"/>
    </w:rPr>
  </w:style>
  <w:style w:type="paragraph" w:styleId="Header">
    <w:name w:val="header"/>
    <w:basedOn w:val="Normal"/>
    <w:link w:val="HeaderChar"/>
    <w:semiHidden/>
    <w:rsid w:val="009A73C5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A73C5"/>
    <w:rPr>
      <w:rFonts w:ascii="Helvetica 45 Light" w:eastAsia="Times" w:hAnsi="Helvetica 45 Light" w:cs="Times New Roman"/>
      <w:sz w:val="20"/>
      <w:szCs w:val="20"/>
      <w:lang w:val="en-GB" w:eastAsia="en-GB"/>
    </w:rPr>
  </w:style>
  <w:style w:type="paragraph" w:customStyle="1" w:styleId="Legalentity">
    <w:name w:val="Legal entity"/>
    <w:basedOn w:val="Normal"/>
    <w:rsid w:val="009A73C5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Strong">
    <w:name w:val="Strong"/>
    <w:basedOn w:val="DefaultParagraphFont"/>
    <w:uiPriority w:val="22"/>
    <w:qFormat/>
    <w:rsid w:val="009A73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D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D3DBD"/>
    <w:rPr>
      <w:rFonts w:ascii="Helvetica 45 Light" w:eastAsia="Times" w:hAnsi="Helvetica 45 Light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BD"/>
    <w:rPr>
      <w:rFonts w:ascii="Helvetica 45 Light" w:eastAsia="Times" w:hAnsi="Helvetica 45 Light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BD"/>
    <w:rPr>
      <w:rFonts w:ascii="Segoe UI" w:eastAsia="Times" w:hAnsi="Segoe UI" w:cs="Segoe UI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04C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D706E"/>
    <w:pPr>
      <w:spacing w:after="0" w:line="240" w:lineRule="auto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4D706E"/>
    <w:rPr>
      <w:i/>
      <w:iCs/>
    </w:rPr>
  </w:style>
  <w:style w:type="paragraph" w:styleId="Revision">
    <w:name w:val="Revision"/>
    <w:hidden/>
    <w:uiPriority w:val="99"/>
    <w:semiHidden/>
    <w:rsid w:val="006D7FBD"/>
    <w:pPr>
      <w:spacing w:after="0" w:line="240" w:lineRule="auto"/>
    </w:pPr>
    <w:rPr>
      <w:rFonts w:ascii="Helvetica 45 Light" w:eastAsia="Times" w:hAnsi="Helvetica 45 Light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Creanga, Ana</dc:creator>
  <cp:keywords/>
  <dc:description/>
  <cp:lastModifiedBy>Anghel, Oana</cp:lastModifiedBy>
  <cp:revision>4</cp:revision>
  <dcterms:created xsi:type="dcterms:W3CDTF">2023-03-13T08:47:00Z</dcterms:created>
  <dcterms:modified xsi:type="dcterms:W3CDTF">2023-03-13T08:54:00Z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2023-03-10T08:41:14Z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b8488864-eb20-4fc2-9eab-2ec58c1048d8</vt:lpwstr>
  </property>
  <property fmtid="{D5CDD505-2E9C-101B-9397-08002B2CF9AE}" pid="8" name="MSIP_Label_ea60d57e-af5b-4752-ac57-3e4f28ca11dc_ContentBits">
    <vt:lpwstr>0</vt:lpwstr>
  </property>
</Properties>
</file>