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AEDC" w14:textId="5C2D33FD" w:rsidR="00955E3A" w:rsidRPr="00E52D7D" w:rsidRDefault="003852B6" w:rsidP="00E52D7D">
      <w:pPr>
        <w:jc w:val="center"/>
        <w:rPr>
          <w:b/>
          <w:bCs/>
          <w:sz w:val="28"/>
          <w:szCs w:val="28"/>
          <w:lang w:val="ro-RO"/>
        </w:rPr>
      </w:pPr>
      <w:r w:rsidRPr="00E52D7D">
        <w:rPr>
          <w:b/>
          <w:bCs/>
          <w:sz w:val="28"/>
          <w:szCs w:val="28"/>
          <w:lang w:val="ro-RO"/>
        </w:rPr>
        <w:t>Standardul Due Diligence în materia sancțiunilor internaționale</w:t>
      </w:r>
    </w:p>
    <w:p w14:paraId="569D509B" w14:textId="77777777" w:rsidR="00E52D7D" w:rsidRPr="00E52D7D" w:rsidRDefault="00E52D7D" w:rsidP="00E52D7D">
      <w:pPr>
        <w:ind w:left="0"/>
        <w:jc w:val="left"/>
        <w:rPr>
          <w:sz w:val="28"/>
          <w:szCs w:val="28"/>
          <w:lang w:val="ro-RO"/>
        </w:rPr>
      </w:pPr>
    </w:p>
    <w:p w14:paraId="2E652901" w14:textId="3853793B" w:rsidR="003852B6" w:rsidRPr="00E52D7D" w:rsidRDefault="00E52D7D" w:rsidP="00E52D7D">
      <w:pPr>
        <w:ind w:left="0"/>
        <w:jc w:val="left"/>
        <w:rPr>
          <w:i/>
          <w:iCs/>
          <w:lang w:val="ro-RO"/>
        </w:rPr>
      </w:pPr>
      <w:r w:rsidRPr="00E52D7D">
        <w:rPr>
          <w:i/>
          <w:iCs/>
          <w:lang w:val="ro-RO"/>
        </w:rPr>
        <w:t xml:space="preserve">Autori: </w:t>
      </w:r>
      <w:r w:rsidRPr="00E52D7D">
        <w:rPr>
          <w:i/>
          <w:iCs/>
          <w:lang w:val="ro-RO"/>
        </w:rPr>
        <w:t>Ioan Dumitrașcu</w:t>
      </w:r>
      <w:r w:rsidRPr="00E52D7D">
        <w:rPr>
          <w:i/>
          <w:iCs/>
          <w:lang w:val="ro-RO"/>
        </w:rPr>
        <w:t xml:space="preserve"> (p</w:t>
      </w:r>
      <w:r w:rsidRPr="00E52D7D">
        <w:rPr>
          <w:i/>
          <w:iCs/>
          <w:lang w:val="ro-RO"/>
        </w:rPr>
        <w:t>artner</w:t>
      </w:r>
      <w:r w:rsidRPr="00E52D7D">
        <w:rPr>
          <w:i/>
          <w:iCs/>
          <w:lang w:val="ro-RO"/>
        </w:rPr>
        <w:t xml:space="preserve">), </w:t>
      </w:r>
      <w:r w:rsidRPr="00E52D7D">
        <w:rPr>
          <w:i/>
          <w:iCs/>
          <w:lang w:val="ro-RO"/>
        </w:rPr>
        <w:t>Elisa Cristea</w:t>
      </w:r>
      <w:r w:rsidRPr="00E52D7D">
        <w:rPr>
          <w:i/>
          <w:iCs/>
          <w:lang w:val="ro-RO"/>
        </w:rPr>
        <w:t xml:space="preserve"> (a</w:t>
      </w:r>
      <w:r w:rsidRPr="00E52D7D">
        <w:rPr>
          <w:i/>
          <w:iCs/>
          <w:lang w:val="ro-RO"/>
        </w:rPr>
        <w:t>ssociate</w:t>
      </w:r>
      <w:r w:rsidRPr="00E52D7D">
        <w:rPr>
          <w:i/>
          <w:iCs/>
          <w:lang w:val="ro-RO"/>
        </w:rPr>
        <w:t>)</w:t>
      </w:r>
    </w:p>
    <w:p w14:paraId="395F83B3" w14:textId="3734F051" w:rsidR="003852B6" w:rsidRDefault="003852B6" w:rsidP="003852B6">
      <w:pPr>
        <w:ind w:left="0"/>
        <w:rPr>
          <w:lang w:val="ro-RO"/>
        </w:rPr>
      </w:pPr>
      <w:r>
        <w:rPr>
          <w:lang w:val="ro-RO"/>
        </w:rPr>
        <w:t xml:space="preserve">Aveți dubii cu privire la încălcarea unor reglementări </w:t>
      </w:r>
      <w:r w:rsidR="00EC613E">
        <w:rPr>
          <w:lang w:val="ro-RO"/>
        </w:rPr>
        <w:t>în materia sancțiunilor internaționale</w:t>
      </w:r>
      <w:r>
        <w:rPr>
          <w:lang w:val="ro-RO"/>
        </w:rPr>
        <w:t xml:space="preserve">? Atunci trebuie să vă asigurați că realizați un </w:t>
      </w:r>
      <w:r w:rsidR="0011699D">
        <w:rPr>
          <w:lang w:val="ro-RO"/>
        </w:rPr>
        <w:t>D</w:t>
      </w:r>
      <w:r>
        <w:rPr>
          <w:lang w:val="ro-RO"/>
        </w:rPr>
        <w:t xml:space="preserve">ue </w:t>
      </w:r>
      <w:r w:rsidR="0011699D">
        <w:rPr>
          <w:lang w:val="ro-RO"/>
        </w:rPr>
        <w:t>D</w:t>
      </w:r>
      <w:r>
        <w:rPr>
          <w:lang w:val="ro-RO"/>
        </w:rPr>
        <w:t xml:space="preserve">iligence adecvat </w:t>
      </w:r>
      <w:r w:rsidR="00EC613E">
        <w:rPr>
          <w:lang w:val="ro-RO"/>
        </w:rPr>
        <w:t>cu privire la partenerii contractuali pe care îi aveți.</w:t>
      </w:r>
    </w:p>
    <w:p w14:paraId="25B0E579" w14:textId="55FFDBCD" w:rsidR="00B41681" w:rsidRDefault="00EC613E" w:rsidP="003852B6">
      <w:pPr>
        <w:ind w:left="0"/>
        <w:rPr>
          <w:lang w:val="ro-RO"/>
        </w:rPr>
      </w:pPr>
      <w:r>
        <w:rPr>
          <w:lang w:val="ro-RO"/>
        </w:rPr>
        <w:t>Regulamentul UE 269/2014 privind măsurile restrictive în raport cu acțiunile care subminează sau amenință integritatea teritorială, suveranitatea și independența Ucrainei („</w:t>
      </w:r>
      <w:r>
        <w:rPr>
          <w:b/>
          <w:bCs/>
          <w:lang w:val="ro-RO"/>
        </w:rPr>
        <w:t>Regulamentul 269/2014</w:t>
      </w:r>
      <w:r>
        <w:rPr>
          <w:lang w:val="ro-RO"/>
        </w:rPr>
        <w:t xml:space="preserve">”) reglementează obligația operatorilor economici la nivelul Uniunii Europene de a </w:t>
      </w:r>
      <w:r>
        <w:rPr>
          <w:i/>
          <w:iCs/>
          <w:lang w:val="ro-RO"/>
        </w:rPr>
        <w:t>îngheța toate fondurile și resursele economice care aparțin, se află în proprietatea ori posesia sau sunt controlate de orice entitate desemnată sau de entități asociate celor desemnate</w:t>
      </w:r>
      <w:r>
        <w:rPr>
          <w:lang w:val="ro-RO"/>
        </w:rPr>
        <w:t xml:space="preserve">, respectiv </w:t>
      </w:r>
      <w:r>
        <w:rPr>
          <w:i/>
          <w:iCs/>
          <w:lang w:val="ro-RO"/>
        </w:rPr>
        <w:t>interdicția de a pune la dispoziție, direct sau indirect, a oricăror fonduri sau resurse economice către sau în beneficiul entităților desemnate sau entităților asociate celor desemnate</w:t>
      </w:r>
      <w:r>
        <w:rPr>
          <w:lang w:val="ro-RO"/>
        </w:rPr>
        <w:t xml:space="preserve">. </w:t>
      </w:r>
      <w:r w:rsidR="00C552FA">
        <w:rPr>
          <w:lang w:val="ro-RO"/>
        </w:rPr>
        <w:t>Prin entități desemnate înțelegem persoanele fizice, juridice sau organismele care sunt supuse unor sancțiuni internaționale. Anexa nr. 1 la Regulamentul 269/2014 cuprinde lista cu persoanele desemnate în raport cu acțiunile care subminează și amenință integritatea teritorială a Ucrainei.</w:t>
      </w:r>
    </w:p>
    <w:p w14:paraId="5097A365" w14:textId="5BA7E313" w:rsidR="000B0816" w:rsidRDefault="008200AD" w:rsidP="003852B6">
      <w:pPr>
        <w:ind w:left="0"/>
        <w:rPr>
          <w:lang w:val="ro-RO"/>
        </w:rPr>
      </w:pPr>
      <w:r>
        <w:rPr>
          <w:lang w:val="ro-RO"/>
        </w:rPr>
        <w:t xml:space="preserve">Din analiza </w:t>
      </w:r>
      <w:r w:rsidR="00B41681">
        <w:rPr>
          <w:lang w:val="ro-RO"/>
        </w:rPr>
        <w:t>interpretărilor oferite de Comisia Europeană</w:t>
      </w:r>
      <w:r>
        <w:rPr>
          <w:lang w:val="ro-RO"/>
        </w:rPr>
        <w:t xml:space="preserve"> rezult</w:t>
      </w:r>
      <w:r w:rsidR="00E52D7D">
        <w:rPr>
          <w:lang w:val="ro-RO"/>
        </w:rPr>
        <w:t>ă</w:t>
      </w:r>
      <w:r>
        <w:rPr>
          <w:lang w:val="ro-RO"/>
        </w:rPr>
        <w:t xml:space="preserve"> c</w:t>
      </w:r>
      <w:r w:rsidR="00E52D7D">
        <w:rPr>
          <w:lang w:val="ro-RO"/>
        </w:rPr>
        <w:t>ă</w:t>
      </w:r>
      <w:r w:rsidR="00B41681">
        <w:rPr>
          <w:lang w:val="ro-RO"/>
        </w:rPr>
        <w:t xml:space="preserve"> operatorii economici trebuie să realizeze un </w:t>
      </w:r>
      <w:r w:rsidR="000B0816">
        <w:rPr>
          <w:lang w:val="ro-RO"/>
        </w:rPr>
        <w:t>D</w:t>
      </w:r>
      <w:r w:rsidR="00B41681">
        <w:rPr>
          <w:lang w:val="ro-RO"/>
        </w:rPr>
        <w:t xml:space="preserve">ue </w:t>
      </w:r>
      <w:r w:rsidR="000B0816">
        <w:rPr>
          <w:lang w:val="ro-RO"/>
        </w:rPr>
        <w:t>D</w:t>
      </w:r>
      <w:r w:rsidR="00B41681">
        <w:rPr>
          <w:lang w:val="ro-RO"/>
        </w:rPr>
        <w:t xml:space="preserve">iligence adecvat activității acestora și riscurilor la care sunt supuși. </w:t>
      </w:r>
    </w:p>
    <w:p w14:paraId="3F46D664" w14:textId="2565E1E4" w:rsidR="00B41681" w:rsidRDefault="00B41681" w:rsidP="003852B6">
      <w:pPr>
        <w:ind w:left="0"/>
        <w:rPr>
          <w:lang w:val="ro-RO"/>
        </w:rPr>
      </w:pPr>
      <w:r w:rsidRPr="0011699D">
        <w:rPr>
          <w:i/>
          <w:iCs/>
          <w:lang w:val="ro-RO"/>
        </w:rPr>
        <w:t xml:space="preserve">Standardul </w:t>
      </w:r>
      <w:r w:rsidR="000B0816" w:rsidRPr="0011699D">
        <w:rPr>
          <w:i/>
          <w:iCs/>
          <w:lang w:val="ro-RO"/>
        </w:rPr>
        <w:t>D</w:t>
      </w:r>
      <w:r w:rsidRPr="0011699D">
        <w:rPr>
          <w:i/>
          <w:iCs/>
          <w:lang w:val="ro-RO"/>
        </w:rPr>
        <w:t>ue</w:t>
      </w:r>
      <w:r w:rsidR="000B0816" w:rsidRPr="0011699D">
        <w:rPr>
          <w:i/>
          <w:iCs/>
          <w:lang w:val="ro-RO"/>
        </w:rPr>
        <w:t xml:space="preserve"> D</w:t>
      </w:r>
      <w:r w:rsidRPr="0011699D">
        <w:rPr>
          <w:i/>
          <w:iCs/>
          <w:lang w:val="ro-RO"/>
        </w:rPr>
        <w:t>iligence</w:t>
      </w:r>
      <w:r>
        <w:rPr>
          <w:lang w:val="ro-RO"/>
        </w:rPr>
        <w:t xml:space="preserve"> trebuie să urmărească următoarele criterii:</w:t>
      </w:r>
    </w:p>
    <w:p w14:paraId="01CDA9B2" w14:textId="648518C4" w:rsidR="00EC613E" w:rsidRPr="005C2DE3" w:rsidRDefault="00B41681" w:rsidP="005C2DE3">
      <w:pPr>
        <w:pStyle w:val="ListParagraph"/>
        <w:numPr>
          <w:ilvl w:val="0"/>
          <w:numId w:val="46"/>
        </w:numPr>
        <w:ind w:left="360"/>
        <w:contextualSpacing w:val="0"/>
        <w:rPr>
          <w:lang w:val="ro-RO"/>
        </w:rPr>
      </w:pPr>
      <w:r>
        <w:rPr>
          <w:lang w:val="ro-RO"/>
        </w:rPr>
        <w:t xml:space="preserve">screening-ul beneficiarilor de fonduri și resurse economice pe listele de sancțiuni – poate fi util instrumentul </w:t>
      </w:r>
      <w:r w:rsidR="000B0816">
        <w:rPr>
          <w:lang w:val="ro-RO"/>
        </w:rPr>
        <w:t xml:space="preserve">sanctionsmap.eu, având în vedere că este un </w:t>
      </w:r>
      <w:r w:rsidR="00B51ABF">
        <w:rPr>
          <w:lang w:val="ro-RO"/>
        </w:rPr>
        <w:t>instrument</w:t>
      </w:r>
      <w:r w:rsidR="000B0816">
        <w:rPr>
          <w:lang w:val="ro-RO"/>
        </w:rPr>
        <w:t xml:space="preserve"> dezvoltat de Comisia Europeană sau se poate proceda la analiza listei din Anexa nr. 1 la Regulamentul 269/2014</w:t>
      </w:r>
      <w:r w:rsidR="008200AD">
        <w:rPr>
          <w:lang w:val="ro-RO"/>
        </w:rPr>
        <w:t xml:space="preserve">. Persoanele desemnate se află în cadrul coloanei </w:t>
      </w:r>
      <w:r w:rsidR="008200AD">
        <w:rPr>
          <w:i/>
          <w:iCs/>
          <w:lang w:val="ro-RO"/>
        </w:rPr>
        <w:t>nume</w:t>
      </w:r>
      <w:r w:rsidR="008200AD">
        <w:rPr>
          <w:lang w:val="ro-RO"/>
        </w:rPr>
        <w:t xml:space="preserve"> din Anexa nr. 1, dar sunt vizate și </w:t>
      </w:r>
      <w:r w:rsidR="000B0816">
        <w:rPr>
          <w:lang w:val="ro-RO"/>
        </w:rPr>
        <w:t>entități</w:t>
      </w:r>
      <w:r w:rsidR="008200AD">
        <w:rPr>
          <w:lang w:val="ro-RO"/>
        </w:rPr>
        <w:t>le</w:t>
      </w:r>
      <w:r w:rsidR="000B0816">
        <w:rPr>
          <w:lang w:val="ro-RO"/>
        </w:rPr>
        <w:t xml:space="preserve"> asociate celor desemnate</w:t>
      </w:r>
      <w:r w:rsidR="008200AD">
        <w:rPr>
          <w:lang w:val="ro-RO"/>
        </w:rPr>
        <w:t xml:space="preserve">. Aceste entități asociate </w:t>
      </w:r>
      <w:r w:rsidR="005C2DE3">
        <w:rPr>
          <w:i/>
          <w:iCs/>
          <w:lang w:val="ro-RO"/>
        </w:rPr>
        <w:t>se pot regăsi</w:t>
      </w:r>
      <w:r w:rsidR="005C2DE3">
        <w:rPr>
          <w:lang w:val="ro-RO"/>
        </w:rPr>
        <w:t xml:space="preserve"> în cadrul coloanelor </w:t>
      </w:r>
      <w:r w:rsidR="005C2DE3">
        <w:rPr>
          <w:i/>
          <w:iCs/>
          <w:lang w:val="ro-RO"/>
        </w:rPr>
        <w:t>informații de identificare</w:t>
      </w:r>
      <w:r w:rsidR="005C2DE3">
        <w:rPr>
          <w:lang w:val="ro-RO"/>
        </w:rPr>
        <w:t xml:space="preserve"> sau </w:t>
      </w:r>
      <w:r w:rsidR="005C2DE3">
        <w:rPr>
          <w:i/>
          <w:iCs/>
          <w:lang w:val="ro-RO"/>
        </w:rPr>
        <w:t>motive</w:t>
      </w:r>
      <w:r w:rsidR="008200AD">
        <w:rPr>
          <w:i/>
          <w:iCs/>
          <w:lang w:val="ro-RO"/>
        </w:rPr>
        <w:t xml:space="preserve"> </w:t>
      </w:r>
      <w:r w:rsidR="008200AD">
        <w:rPr>
          <w:lang w:val="ro-RO"/>
        </w:rPr>
        <w:t>din Anexa 1 mai sus numită;</w:t>
      </w:r>
    </w:p>
    <w:p w14:paraId="3262086A" w14:textId="6A217227" w:rsidR="005C2DE3" w:rsidRPr="005C2DE3" w:rsidRDefault="005C2DE3" w:rsidP="005C2DE3">
      <w:pPr>
        <w:pStyle w:val="ListParagraph"/>
        <w:numPr>
          <w:ilvl w:val="0"/>
          <w:numId w:val="46"/>
        </w:numPr>
        <w:ind w:left="360"/>
        <w:contextualSpacing w:val="0"/>
        <w:rPr>
          <w:lang w:val="ro-RO"/>
        </w:rPr>
      </w:pPr>
      <w:r>
        <w:rPr>
          <w:lang w:val="ro-RO"/>
        </w:rPr>
        <w:t xml:space="preserve">investigările media – Comisia Europeană folosește terminologia de </w:t>
      </w:r>
      <w:r>
        <w:rPr>
          <w:i/>
          <w:iCs/>
          <w:lang w:val="ro-RO"/>
        </w:rPr>
        <w:t>adverse media investigations</w:t>
      </w:r>
      <w:r>
        <w:rPr>
          <w:lang w:val="ro-RO"/>
        </w:rPr>
        <w:t xml:space="preserve"> pentru analizele făcute pe internet și pe website-urile de știri</w:t>
      </w:r>
      <w:r>
        <w:t xml:space="preserve">; </w:t>
      </w:r>
      <w:r>
        <w:rPr>
          <w:lang w:val="ro-RO"/>
        </w:rPr>
        <w:t xml:space="preserve">astfel, pentru a îndeplini standardul </w:t>
      </w:r>
      <w:r w:rsidR="008200AD">
        <w:rPr>
          <w:lang w:val="ro-RO"/>
        </w:rPr>
        <w:t xml:space="preserve">de </w:t>
      </w:r>
      <w:r>
        <w:rPr>
          <w:lang w:val="ro-RO"/>
        </w:rPr>
        <w:t>due diligence în materia sancțiunilor internaționale, operatorii economici trebuie să caute informații despre potențialul cocontractant și pe internet, cât și în presă</w:t>
      </w:r>
      <w:r w:rsidR="008200AD">
        <w:rPr>
          <w:lang w:val="ro-RO"/>
        </w:rPr>
        <w:t xml:space="preserve">. </w:t>
      </w:r>
      <w:r w:rsidR="00B51ABF">
        <w:rPr>
          <w:lang w:val="ro-RO"/>
        </w:rPr>
        <w:t>Recomandam c</w:t>
      </w:r>
      <w:r w:rsidR="00050B1C">
        <w:rPr>
          <w:lang w:val="ro-RO"/>
        </w:rPr>
        <w:t>ă</w:t>
      </w:r>
      <w:r w:rsidR="00B51ABF">
        <w:rPr>
          <w:lang w:val="ro-RO"/>
        </w:rPr>
        <w:t xml:space="preserve"> </w:t>
      </w:r>
      <w:r w:rsidR="0011699D">
        <w:rPr>
          <w:lang w:val="ro-RO"/>
        </w:rPr>
        <w:t>î</w:t>
      </w:r>
      <w:r w:rsidR="00B51ABF">
        <w:rPr>
          <w:lang w:val="ro-RO"/>
        </w:rPr>
        <w:t>n cazul g</w:t>
      </w:r>
      <w:r w:rsidR="0011699D">
        <w:rPr>
          <w:lang w:val="ro-RO"/>
        </w:rPr>
        <w:t>ă</w:t>
      </w:r>
      <w:r w:rsidR="00B51ABF">
        <w:rPr>
          <w:lang w:val="ro-RO"/>
        </w:rPr>
        <w:t>sirii unor i</w:t>
      </w:r>
      <w:r w:rsidR="008200AD">
        <w:rPr>
          <w:lang w:val="ro-RO"/>
        </w:rPr>
        <w:t xml:space="preserve">nformațiile </w:t>
      </w:r>
      <w:r w:rsidR="00B51ABF">
        <w:rPr>
          <w:lang w:val="ro-RO"/>
        </w:rPr>
        <w:t xml:space="preserve">generale </w:t>
      </w:r>
      <w:r w:rsidR="008200AD">
        <w:rPr>
          <w:lang w:val="ro-RO"/>
        </w:rPr>
        <w:t xml:space="preserve">de tipul </w:t>
      </w:r>
      <w:r>
        <w:rPr>
          <w:i/>
          <w:iCs/>
          <w:lang w:val="ro-RO"/>
        </w:rPr>
        <w:t>societatea X este controlată de un oligarh rus</w:t>
      </w:r>
      <w:r w:rsidR="002D1B8C">
        <w:rPr>
          <w:i/>
          <w:iCs/>
          <w:lang w:val="ro-RO"/>
        </w:rPr>
        <w:t xml:space="preserve">, </w:t>
      </w:r>
      <w:r w:rsidR="002D1B8C" w:rsidRPr="002D1B8C">
        <w:rPr>
          <w:lang w:val="ro-RO"/>
        </w:rPr>
        <w:t xml:space="preserve">eventual și numele acestuia, </w:t>
      </w:r>
      <w:r w:rsidR="00B51ABF">
        <w:rPr>
          <w:lang w:val="ro-RO"/>
        </w:rPr>
        <w:t>societatea s</w:t>
      </w:r>
      <w:r w:rsidR="0011699D">
        <w:rPr>
          <w:lang w:val="ro-RO"/>
        </w:rPr>
        <w:t>ă</w:t>
      </w:r>
      <w:r w:rsidR="00B51ABF">
        <w:rPr>
          <w:lang w:val="ro-RO"/>
        </w:rPr>
        <w:t xml:space="preserve"> depun</w:t>
      </w:r>
      <w:r w:rsidR="0011699D">
        <w:rPr>
          <w:lang w:val="ro-RO"/>
        </w:rPr>
        <w:t>ă</w:t>
      </w:r>
      <w:r w:rsidR="00B51ABF">
        <w:rPr>
          <w:lang w:val="ro-RO"/>
        </w:rPr>
        <w:t xml:space="preserve"> </w:t>
      </w:r>
      <w:r w:rsidR="002D1B8C">
        <w:rPr>
          <w:lang w:val="ro-RO"/>
        </w:rPr>
        <w:t>diligențe suplimentare</w:t>
      </w:r>
      <w:r w:rsidR="00B51ABF">
        <w:rPr>
          <w:lang w:val="ro-RO"/>
        </w:rPr>
        <w:t xml:space="preserve"> pentru a afla identitatea persoanei respective </w:t>
      </w:r>
      <w:r w:rsidR="0011699D">
        <w:rPr>
          <w:lang w:val="ro-RO"/>
        </w:rPr>
        <w:t>ș</w:t>
      </w:r>
      <w:r w:rsidR="00B51ABF">
        <w:rPr>
          <w:lang w:val="ro-RO"/>
        </w:rPr>
        <w:t>i apoi a determina dac</w:t>
      </w:r>
      <w:r w:rsidR="00050B1C">
        <w:rPr>
          <w:lang w:val="ro-RO"/>
        </w:rPr>
        <w:t>ă</w:t>
      </w:r>
      <w:r w:rsidR="00B51ABF">
        <w:rPr>
          <w:lang w:val="ro-RO"/>
        </w:rPr>
        <w:t xml:space="preserve"> acea persoana (aflat</w:t>
      </w:r>
      <w:r w:rsidR="00050B1C">
        <w:rPr>
          <w:lang w:val="ro-RO"/>
        </w:rPr>
        <w:t>ă</w:t>
      </w:r>
      <w:r w:rsidR="00B51ABF">
        <w:rPr>
          <w:lang w:val="ro-RO"/>
        </w:rPr>
        <w:t xml:space="preserve"> pe lista de sanc</w:t>
      </w:r>
      <w:r w:rsidR="00050B1C">
        <w:rPr>
          <w:lang w:val="ro-RO"/>
        </w:rPr>
        <w:t>ț</w:t>
      </w:r>
      <w:r w:rsidR="00B51ABF">
        <w:rPr>
          <w:lang w:val="ro-RO"/>
        </w:rPr>
        <w:t>iuni) controleaz</w:t>
      </w:r>
      <w:r w:rsidR="00050B1C">
        <w:rPr>
          <w:lang w:val="ro-RO"/>
        </w:rPr>
        <w:t>ă</w:t>
      </w:r>
      <w:r w:rsidR="00B51ABF">
        <w:rPr>
          <w:lang w:val="ro-RO"/>
        </w:rPr>
        <w:t xml:space="preserve"> sau nu entitatea cu care se dore</w:t>
      </w:r>
      <w:r w:rsidR="00050B1C">
        <w:rPr>
          <w:lang w:val="ro-RO"/>
        </w:rPr>
        <w:t>ș</w:t>
      </w:r>
      <w:r w:rsidR="00B51ABF">
        <w:rPr>
          <w:lang w:val="ro-RO"/>
        </w:rPr>
        <w:t>te desf</w:t>
      </w:r>
      <w:r w:rsidR="00050B1C">
        <w:rPr>
          <w:lang w:val="ro-RO"/>
        </w:rPr>
        <w:t>ăș</w:t>
      </w:r>
      <w:r w:rsidR="00B51ABF">
        <w:rPr>
          <w:lang w:val="ro-RO"/>
        </w:rPr>
        <w:t>ur</w:t>
      </w:r>
      <w:r w:rsidR="00050B1C">
        <w:rPr>
          <w:lang w:val="ro-RO"/>
        </w:rPr>
        <w:t>ă</w:t>
      </w:r>
      <w:r w:rsidR="00B51ABF">
        <w:rPr>
          <w:lang w:val="ro-RO"/>
        </w:rPr>
        <w:t>rea de afaceri</w:t>
      </w:r>
      <w:r w:rsidRPr="00E52D7D">
        <w:rPr>
          <w:lang w:val="ro-RO"/>
        </w:rPr>
        <w:t>;</w:t>
      </w:r>
    </w:p>
    <w:p w14:paraId="2C360342" w14:textId="45ECA4B1" w:rsidR="003329F3" w:rsidRPr="001460A0" w:rsidRDefault="003329F3" w:rsidP="003329F3">
      <w:pPr>
        <w:pStyle w:val="ListParagraph"/>
        <w:numPr>
          <w:ilvl w:val="0"/>
          <w:numId w:val="46"/>
        </w:numPr>
        <w:ind w:left="360"/>
        <w:contextualSpacing w:val="0"/>
        <w:rPr>
          <w:lang w:val="ro-RO"/>
        </w:rPr>
      </w:pPr>
      <w:proofErr w:type="spellStart"/>
      <w:r>
        <w:t>analiza</w:t>
      </w:r>
      <w:proofErr w:type="spellEnd"/>
      <w:r>
        <w:t xml:space="preserve"> </w:t>
      </w:r>
      <w:proofErr w:type="spellStart"/>
      <w:r w:rsidR="00BD046D">
        <w:t>criteriului</w:t>
      </w:r>
      <w:proofErr w:type="spellEnd"/>
      <w:r w:rsidR="00BD046D">
        <w:t xml:space="preserve"> de control </w:t>
      </w:r>
      <w:proofErr w:type="spellStart"/>
      <w:r w:rsidR="00BD046D">
        <w:t>privind</w:t>
      </w:r>
      <w:proofErr w:type="spellEnd"/>
      <w:r w:rsidR="00BD046D">
        <w:t xml:space="preserve"> </w:t>
      </w:r>
      <w:proofErr w:type="spellStart"/>
      <w:r w:rsidR="00BD046D">
        <w:t>participația</w:t>
      </w:r>
      <w:proofErr w:type="spellEnd"/>
      <w:r w:rsidR="00BD046D">
        <w:t xml:space="preserve"> </w:t>
      </w:r>
      <w:proofErr w:type="spellStart"/>
      <w:r w:rsidR="00BD046D">
        <w:t>persoanei</w:t>
      </w:r>
      <w:proofErr w:type="spellEnd"/>
      <w:r w:rsidR="00BD046D">
        <w:t xml:space="preserve"> </w:t>
      </w:r>
      <w:proofErr w:type="spellStart"/>
      <w:r w:rsidR="00BD046D">
        <w:t>desemnate</w:t>
      </w:r>
      <w:proofErr w:type="spellEnd"/>
      <w:r w:rsidR="00BD046D">
        <w:t xml:space="preserve"> </w:t>
      </w:r>
      <w:proofErr w:type="spellStart"/>
      <w:r w:rsidR="00BD046D">
        <w:t>în</w:t>
      </w:r>
      <w:proofErr w:type="spellEnd"/>
      <w:r w:rsidR="00BD046D">
        <w:t xml:space="preserve"> </w:t>
      </w:r>
      <w:proofErr w:type="spellStart"/>
      <w:r w:rsidR="00BD046D">
        <w:t>societate</w:t>
      </w:r>
      <w:proofErr w:type="spellEnd"/>
      <w:r w:rsidR="00050B1C">
        <w:t xml:space="preserve"> – </w:t>
      </w:r>
      <w:proofErr w:type="spellStart"/>
      <w:r w:rsidR="00050B1C">
        <w:t>î</w:t>
      </w:r>
      <w:r>
        <w:t>n</w:t>
      </w:r>
      <w:proofErr w:type="spellEnd"/>
      <w:r>
        <w:t xml:space="preserve"> </w:t>
      </w:r>
      <w:proofErr w:type="spellStart"/>
      <w:r>
        <w:t>materia</w:t>
      </w:r>
      <w:proofErr w:type="spellEnd"/>
      <w:r>
        <w:t xml:space="preserve"> </w:t>
      </w:r>
      <w:proofErr w:type="spellStart"/>
      <w:r>
        <w:t>sancțiunilor</w:t>
      </w:r>
      <w:proofErr w:type="spellEnd"/>
      <w:r>
        <w:t xml:space="preserve"> </w:t>
      </w:r>
      <w:proofErr w:type="spellStart"/>
      <w:r>
        <w:t>internaționale</w:t>
      </w:r>
      <w:proofErr w:type="spellEnd"/>
      <w:r>
        <w:t xml:space="preserve">, o </w:t>
      </w:r>
      <w:proofErr w:type="spellStart"/>
      <w:r>
        <w:t>societate</w:t>
      </w:r>
      <w:proofErr w:type="spellEnd"/>
      <w:r>
        <w:t xml:space="preserve"> </w:t>
      </w:r>
      <w:proofErr w:type="spellStart"/>
      <w:r>
        <w:t>este</w:t>
      </w:r>
      <w:proofErr w:type="spellEnd"/>
      <w:r>
        <w:t xml:space="preserve"> </w:t>
      </w:r>
      <w:proofErr w:type="spellStart"/>
      <w:r>
        <w:t>considerată</w:t>
      </w:r>
      <w:proofErr w:type="spellEnd"/>
      <w:r>
        <w:t xml:space="preserve"> a fi </w:t>
      </w:r>
      <w:proofErr w:type="spellStart"/>
      <w:r>
        <w:t>controlată</w:t>
      </w:r>
      <w:proofErr w:type="spellEnd"/>
      <w:r>
        <w:t xml:space="preserve"> de </w:t>
      </w:r>
      <w:proofErr w:type="spellStart"/>
      <w:r w:rsidRPr="001460A0">
        <w:t>altă</w:t>
      </w:r>
      <w:proofErr w:type="spellEnd"/>
      <w:r w:rsidRPr="001460A0">
        <w:t xml:space="preserve"> </w:t>
      </w:r>
      <w:proofErr w:type="spellStart"/>
      <w:r w:rsidRPr="001460A0">
        <w:t>societate</w:t>
      </w:r>
      <w:proofErr w:type="spellEnd"/>
      <w:r w:rsidR="00BD046D" w:rsidRPr="001460A0">
        <w:t xml:space="preserve">/ </w:t>
      </w:r>
      <w:proofErr w:type="spellStart"/>
      <w:r w:rsidR="00BD046D" w:rsidRPr="001460A0">
        <w:t>persoană</w:t>
      </w:r>
      <w:proofErr w:type="spellEnd"/>
      <w:r w:rsidR="00BD046D" w:rsidRPr="001460A0">
        <w:t xml:space="preserve"> </w:t>
      </w:r>
      <w:proofErr w:type="spellStart"/>
      <w:r w:rsidR="00BD046D" w:rsidRPr="001460A0">
        <w:t>desemnată</w:t>
      </w:r>
      <w:proofErr w:type="spellEnd"/>
      <w:r w:rsidRPr="001460A0">
        <w:t xml:space="preserve"> </w:t>
      </w:r>
      <w:proofErr w:type="spellStart"/>
      <w:r w:rsidRPr="001460A0">
        <w:t>dacă</w:t>
      </w:r>
      <w:proofErr w:type="spellEnd"/>
      <w:r w:rsidRPr="001460A0">
        <w:t xml:space="preserve"> </w:t>
      </w:r>
      <w:proofErr w:type="spellStart"/>
      <w:r w:rsidRPr="001460A0">
        <w:t>este</w:t>
      </w:r>
      <w:proofErr w:type="spellEnd"/>
      <w:r w:rsidRPr="001460A0">
        <w:t xml:space="preserve"> </w:t>
      </w:r>
      <w:proofErr w:type="spellStart"/>
      <w:r w:rsidRPr="001460A0">
        <w:t>deținută</w:t>
      </w:r>
      <w:proofErr w:type="spellEnd"/>
      <w:r w:rsidRPr="001460A0">
        <w:t xml:space="preserve"> </w:t>
      </w:r>
      <w:proofErr w:type="spellStart"/>
      <w:r w:rsidRPr="001460A0">
        <w:t>mai</w:t>
      </w:r>
      <w:proofErr w:type="spellEnd"/>
      <w:r w:rsidRPr="001460A0">
        <w:t xml:space="preserve"> </w:t>
      </w:r>
      <w:proofErr w:type="spellStart"/>
      <w:r w:rsidRPr="001460A0">
        <w:t>mult</w:t>
      </w:r>
      <w:proofErr w:type="spellEnd"/>
      <w:r w:rsidRPr="001460A0">
        <w:t xml:space="preserve"> de 50% de </w:t>
      </w:r>
      <w:proofErr w:type="spellStart"/>
      <w:r w:rsidRPr="001460A0">
        <w:t>aceasta</w:t>
      </w:r>
      <w:proofErr w:type="spellEnd"/>
      <w:r w:rsidRPr="001460A0">
        <w:t xml:space="preserve"> din </w:t>
      </w:r>
      <w:proofErr w:type="spellStart"/>
      <w:r w:rsidRPr="001460A0">
        <w:t>urmă</w:t>
      </w:r>
      <w:proofErr w:type="spellEnd"/>
      <w:r w:rsidR="00100E13">
        <w:t>.</w:t>
      </w:r>
      <w:r w:rsidRPr="001460A0">
        <w:t xml:space="preserve"> </w:t>
      </w:r>
      <w:proofErr w:type="spellStart"/>
      <w:r w:rsidR="00D3552A" w:rsidRPr="001460A0">
        <w:t>Comisia</w:t>
      </w:r>
      <w:proofErr w:type="spellEnd"/>
      <w:r w:rsidR="00D3552A" w:rsidRPr="001460A0">
        <w:t xml:space="preserve"> </w:t>
      </w:r>
      <w:proofErr w:type="spellStart"/>
      <w:r w:rsidR="00D3552A" w:rsidRPr="001460A0">
        <w:t>Europeana</w:t>
      </w:r>
      <w:proofErr w:type="spellEnd"/>
      <w:r w:rsidR="00D3552A" w:rsidRPr="001460A0">
        <w:t xml:space="preserve"> a </w:t>
      </w:r>
      <w:proofErr w:type="spellStart"/>
      <w:r w:rsidR="00D3552A" w:rsidRPr="001460A0">
        <w:t>clarificat</w:t>
      </w:r>
      <w:proofErr w:type="spellEnd"/>
      <w:r w:rsidR="00D3552A" w:rsidRPr="001460A0">
        <w:t xml:space="preserve"> </w:t>
      </w:r>
      <w:proofErr w:type="spellStart"/>
      <w:r w:rsidR="00D3552A" w:rsidRPr="001460A0">
        <w:t>c</w:t>
      </w:r>
      <w:r w:rsidR="00100E13">
        <w:t>ă</w:t>
      </w:r>
      <w:proofErr w:type="spellEnd"/>
      <w:r w:rsidR="00D3552A" w:rsidRPr="001460A0">
        <w:t xml:space="preserve"> </w:t>
      </w:r>
      <w:proofErr w:type="spellStart"/>
      <w:r w:rsidR="00D3552A" w:rsidRPr="001460A0">
        <w:t>acest</w:t>
      </w:r>
      <w:proofErr w:type="spellEnd"/>
      <w:r w:rsidR="00D3552A" w:rsidRPr="001460A0">
        <w:t xml:space="preserve"> </w:t>
      </w:r>
      <w:proofErr w:type="spellStart"/>
      <w:r w:rsidR="00D3552A" w:rsidRPr="001460A0">
        <w:t>prag</w:t>
      </w:r>
      <w:proofErr w:type="spellEnd"/>
      <w:r w:rsidR="00D3552A" w:rsidRPr="001460A0">
        <w:t xml:space="preserve"> de 50% </w:t>
      </w:r>
      <w:proofErr w:type="spellStart"/>
      <w:r w:rsidR="00D3552A" w:rsidRPr="001460A0">
        <w:t>trebuie</w:t>
      </w:r>
      <w:proofErr w:type="spellEnd"/>
      <w:r w:rsidR="00D3552A" w:rsidRPr="001460A0">
        <w:t xml:space="preserve"> </w:t>
      </w:r>
      <w:proofErr w:type="spellStart"/>
      <w:r w:rsidR="00D3552A" w:rsidRPr="001460A0">
        <w:t>urm</w:t>
      </w:r>
      <w:r w:rsidR="00100E13">
        <w:t>ă</w:t>
      </w:r>
      <w:r w:rsidR="00D3552A" w:rsidRPr="001460A0">
        <w:t>rit</w:t>
      </w:r>
      <w:proofErr w:type="spellEnd"/>
      <w:r w:rsidR="00D3552A" w:rsidRPr="001460A0">
        <w:t xml:space="preserve"> </w:t>
      </w:r>
      <w:proofErr w:type="spellStart"/>
      <w:r w:rsidR="00050B1C">
        <w:t>ș</w:t>
      </w:r>
      <w:r w:rsidR="00D3552A" w:rsidRPr="001460A0">
        <w:t>i</w:t>
      </w:r>
      <w:proofErr w:type="spellEnd"/>
      <w:r w:rsidR="00050B1C">
        <w:t xml:space="preserve"> </w:t>
      </w:r>
      <w:proofErr w:type="spellStart"/>
      <w:r w:rsidR="00050B1C">
        <w:t>î</w:t>
      </w:r>
      <w:r w:rsidR="00D3552A" w:rsidRPr="001460A0">
        <w:t>n</w:t>
      </w:r>
      <w:proofErr w:type="spellEnd"/>
      <w:r w:rsidR="00D3552A" w:rsidRPr="001460A0">
        <w:t xml:space="preserve"> mod </w:t>
      </w:r>
      <w:proofErr w:type="spellStart"/>
      <w:r w:rsidR="00D3552A" w:rsidRPr="001460A0">
        <w:t>cumulat</w:t>
      </w:r>
      <w:proofErr w:type="spellEnd"/>
      <w:r w:rsidR="00100E13">
        <w:t>;</w:t>
      </w:r>
      <w:r w:rsidR="00D3552A" w:rsidRPr="001460A0">
        <w:t xml:space="preserve"> </w:t>
      </w:r>
      <w:proofErr w:type="spellStart"/>
      <w:r w:rsidR="00D3552A" w:rsidRPr="001460A0">
        <w:t>astfel</w:t>
      </w:r>
      <w:proofErr w:type="spellEnd"/>
      <w:r w:rsidR="00D3552A" w:rsidRPr="001460A0">
        <w:t xml:space="preserve">, </w:t>
      </w:r>
      <w:r w:rsidRPr="0011699D">
        <w:rPr>
          <w:lang w:val="ro-RO"/>
        </w:rPr>
        <w:t>spre exemplu, o persoană desemnată are 30%, iar altă persoană are 2</w:t>
      </w:r>
      <w:r w:rsidR="00D3552A" w:rsidRPr="0011699D">
        <w:rPr>
          <w:lang w:val="ro-RO"/>
        </w:rPr>
        <w:t>1</w:t>
      </w:r>
      <w:r w:rsidRPr="0011699D">
        <w:rPr>
          <w:lang w:val="ro-RO"/>
        </w:rPr>
        <w:t>%, societatea trebuie să fie considerată ca fiind controlată de persoane desemnate întrucât participațiile agregate duc la procentul de 5</w:t>
      </w:r>
      <w:r w:rsidR="00D3552A" w:rsidRPr="0011699D">
        <w:rPr>
          <w:lang w:val="ro-RO"/>
        </w:rPr>
        <w:t>1</w:t>
      </w:r>
      <w:r w:rsidRPr="0011699D">
        <w:rPr>
          <w:lang w:val="ro-RO"/>
        </w:rPr>
        <w:t>%</w:t>
      </w:r>
      <w:r w:rsidR="00B51ABF" w:rsidRPr="0011699D">
        <w:rPr>
          <w:lang w:val="ro-RO"/>
        </w:rPr>
        <w:t>.</w:t>
      </w:r>
    </w:p>
    <w:p w14:paraId="56BB4D2B" w14:textId="2B448E85" w:rsidR="005C2DE3" w:rsidRPr="00BD046D" w:rsidRDefault="00B51ABF" w:rsidP="0011699D">
      <w:pPr>
        <w:pStyle w:val="ListParagraph"/>
        <w:ind w:left="360"/>
        <w:rPr>
          <w:lang w:val="ro-RO"/>
        </w:rPr>
      </w:pPr>
      <w:r w:rsidRPr="001460A0">
        <w:rPr>
          <w:lang w:val="ro-RO"/>
        </w:rPr>
        <w:lastRenderedPageBreak/>
        <w:t>P</w:t>
      </w:r>
      <w:r w:rsidR="00BD046D" w:rsidRPr="001460A0">
        <w:rPr>
          <w:lang w:val="ro-RO"/>
        </w:rPr>
        <w:t xml:space="preserve">e lângă criteriul prezentat anterior, o societate poate fi considerată ca fiind controlată de o altă societate/ persoană desemnată dacă sunt îndeplinite </w:t>
      </w:r>
      <w:r w:rsidRPr="001460A0">
        <w:rPr>
          <w:lang w:val="ro-RO"/>
        </w:rPr>
        <w:t>si alte</w:t>
      </w:r>
      <w:r w:rsidR="00BD046D" w:rsidRPr="001460A0">
        <w:rPr>
          <w:lang w:val="ro-RO"/>
        </w:rPr>
        <w:t xml:space="preserve"> criterii</w:t>
      </w:r>
      <w:r w:rsidRPr="001460A0">
        <w:rPr>
          <w:lang w:val="ro-RO"/>
        </w:rPr>
        <w:t>, de exemplu</w:t>
      </w:r>
      <w:r w:rsidR="00BD046D">
        <w:rPr>
          <w:lang w:val="ro-RO"/>
        </w:rPr>
        <w:t xml:space="preserve"> </w:t>
      </w:r>
      <w:r>
        <w:rPr>
          <w:lang w:val="ro-RO"/>
        </w:rPr>
        <w:t>persoan</w:t>
      </w:r>
      <w:r w:rsidR="00100E13">
        <w:rPr>
          <w:lang w:val="ro-RO"/>
        </w:rPr>
        <w:t>ă</w:t>
      </w:r>
      <w:r>
        <w:rPr>
          <w:lang w:val="ro-RO"/>
        </w:rPr>
        <w:t xml:space="preserve"> sanc</w:t>
      </w:r>
      <w:r w:rsidR="00100E13">
        <w:rPr>
          <w:lang w:val="ro-RO"/>
        </w:rPr>
        <w:t>ț</w:t>
      </w:r>
      <w:r>
        <w:rPr>
          <w:lang w:val="ro-RO"/>
        </w:rPr>
        <w:t>ionat</w:t>
      </w:r>
      <w:r w:rsidR="00100E13">
        <w:rPr>
          <w:lang w:val="ro-RO"/>
        </w:rPr>
        <w:t>ă</w:t>
      </w:r>
      <w:r>
        <w:rPr>
          <w:lang w:val="ro-RO"/>
        </w:rPr>
        <w:t xml:space="preserve"> are </w:t>
      </w:r>
      <w:r w:rsidR="00BD046D">
        <w:rPr>
          <w:lang w:val="ro-RO"/>
        </w:rPr>
        <w:t>dreptul de a revoca sau numi majoritatea membrilor organelor de conducere sau supraveghere</w:t>
      </w:r>
      <w:r>
        <w:rPr>
          <w:lang w:val="ro-RO"/>
        </w:rPr>
        <w:t xml:space="preserve"> dintr-o anumit</w:t>
      </w:r>
      <w:r w:rsidR="00100E13">
        <w:rPr>
          <w:lang w:val="ro-RO"/>
        </w:rPr>
        <w:t>ă</w:t>
      </w:r>
      <w:r>
        <w:rPr>
          <w:lang w:val="ro-RO"/>
        </w:rPr>
        <w:t xml:space="preserve"> societate</w:t>
      </w:r>
      <w:r w:rsidR="00BD046D">
        <w:rPr>
          <w:lang w:val="ro-RO"/>
        </w:rPr>
        <w:t xml:space="preserve"> </w:t>
      </w:r>
      <w:r>
        <w:rPr>
          <w:lang w:val="ro-RO"/>
        </w:rPr>
        <w:t xml:space="preserve">sau are </w:t>
      </w:r>
      <w:r w:rsidR="00BD046D">
        <w:rPr>
          <w:lang w:val="ro-RO"/>
        </w:rPr>
        <w:t>puterea de a exercita o influență dominantă în societate</w:t>
      </w:r>
      <w:r>
        <w:rPr>
          <w:lang w:val="ro-RO"/>
        </w:rPr>
        <w:t>. A</w:t>
      </w:r>
      <w:r w:rsidR="00BD046D">
        <w:rPr>
          <w:lang w:val="ro-RO"/>
        </w:rPr>
        <w:t>ceste criterii sunt utile în special în cadrul societăților de tip holding, pentru a vedea care sunt înțelegerile societare dintre entitățile desemnate și partenerul cocontractant</w:t>
      </w:r>
      <w:r w:rsidR="00BD046D">
        <w:t>.</w:t>
      </w:r>
    </w:p>
    <w:p w14:paraId="5E11196B" w14:textId="1901D7E8" w:rsidR="00BD046D" w:rsidRDefault="00BD046D" w:rsidP="00BD046D">
      <w:pPr>
        <w:ind w:left="0"/>
        <w:rPr>
          <w:lang w:val="ro-RO"/>
        </w:rPr>
      </w:pPr>
      <w:r>
        <w:rPr>
          <w:lang w:val="ro-RO"/>
        </w:rPr>
        <w:t xml:space="preserve">Astfel cum </w:t>
      </w:r>
      <w:r w:rsidR="002D1B8C">
        <w:rPr>
          <w:lang w:val="ro-RO"/>
        </w:rPr>
        <w:t>menționează</w:t>
      </w:r>
      <w:r>
        <w:rPr>
          <w:lang w:val="ro-RO"/>
        </w:rPr>
        <w:t xml:space="preserve"> și Comisia Europeană, nu există un model general valabil pentru  Due Diligence în materia sancțiunilor internaționale – </w:t>
      </w:r>
      <w:r w:rsidRPr="002D1B8C">
        <w:rPr>
          <w:i/>
          <w:iCs/>
          <w:lang w:val="ro-RO"/>
        </w:rPr>
        <w:t>no one-size-fits all model of due diligence</w:t>
      </w:r>
      <w:r>
        <w:rPr>
          <w:lang w:val="ro-RO"/>
        </w:rPr>
        <w:t xml:space="preserve">. Totuși, operatorul economic trebuie să analizeze pe toate planurile </w:t>
      </w:r>
      <w:r w:rsidR="002D1B8C">
        <w:rPr>
          <w:lang w:val="ro-RO"/>
        </w:rPr>
        <w:t xml:space="preserve">identitatea cocontractanților </w:t>
      </w:r>
      <w:r>
        <w:rPr>
          <w:lang w:val="ro-RO"/>
        </w:rPr>
        <w:t xml:space="preserve">și să probeze </w:t>
      </w:r>
      <w:r w:rsidR="002D1B8C">
        <w:rPr>
          <w:lang w:val="ro-RO"/>
        </w:rPr>
        <w:t>că a desfășurat verificările menționate mai sus</w:t>
      </w:r>
      <w:r>
        <w:rPr>
          <w:lang w:val="ro-RO"/>
        </w:rPr>
        <w:t>.</w:t>
      </w:r>
    </w:p>
    <w:p w14:paraId="5D97025B" w14:textId="39ED304D" w:rsidR="00BD046D" w:rsidRDefault="00BD046D" w:rsidP="00BD046D">
      <w:pPr>
        <w:ind w:left="0"/>
        <w:rPr>
          <w:lang w:val="ro-RO"/>
        </w:rPr>
      </w:pPr>
      <w:r>
        <w:rPr>
          <w:lang w:val="ro-RO"/>
        </w:rPr>
        <w:t>În privința sancțiunilor, de interes este Ordonanța de Urgență a Guvernului nr. 202/2008</w:t>
      </w:r>
      <w:r w:rsidR="00B31BEF">
        <w:rPr>
          <w:lang w:val="ro-RO"/>
        </w:rPr>
        <w:t xml:space="preserve"> privind punerea în aplicare a sancțiunilor internaționale („</w:t>
      </w:r>
      <w:r w:rsidR="00B31BEF">
        <w:rPr>
          <w:b/>
          <w:bCs/>
          <w:lang w:val="ro-RO"/>
        </w:rPr>
        <w:t>OUG 202/2008</w:t>
      </w:r>
      <w:r w:rsidR="00B31BEF">
        <w:rPr>
          <w:lang w:val="ro-RO"/>
        </w:rPr>
        <w:t xml:space="preserve">”). În acord cu prevederile acestui act normativ, </w:t>
      </w:r>
      <w:r w:rsidR="00B31BEF" w:rsidRPr="00B31BEF">
        <w:rPr>
          <w:i/>
          <w:iCs/>
          <w:lang w:val="ro-RO"/>
        </w:rPr>
        <w:t xml:space="preserve">orice persoană care are date și informații despre persoane sau entități desemnate, care deține sau are sub control bunuri ori care are date și informații despre acestea, despre tranzacții legate de bunuri sau în care sunt implicate persoane ori entități desemnate </w:t>
      </w:r>
      <w:r w:rsidR="00B31BEF" w:rsidRPr="00B31BEF">
        <w:rPr>
          <w:b/>
          <w:bCs/>
          <w:i/>
          <w:iCs/>
          <w:lang w:val="ro-RO"/>
        </w:rPr>
        <w:t>are obligația de a înștiința autoritatea competentă potrivit prezentei ordonanțe de urgență din momentul în care ia cunoștință despre existența situației care impune înștiințarea</w:t>
      </w:r>
      <w:r w:rsidR="00B31BEF" w:rsidRPr="00B31BEF">
        <w:rPr>
          <w:lang w:val="ro-RO"/>
        </w:rPr>
        <w:t>.</w:t>
      </w:r>
      <w:r w:rsidR="00B31BEF">
        <w:rPr>
          <w:lang w:val="ro-RO"/>
        </w:rPr>
        <w:t xml:space="preserve"> </w:t>
      </w:r>
    </w:p>
    <w:p w14:paraId="5B62BF6E" w14:textId="096E2F84" w:rsidR="00B31BEF" w:rsidRDefault="00B31BEF" w:rsidP="00BD046D">
      <w:pPr>
        <w:ind w:left="0"/>
        <w:rPr>
          <w:lang w:val="ro-RO"/>
        </w:rPr>
      </w:pPr>
      <w:r>
        <w:rPr>
          <w:lang w:val="ro-RO"/>
        </w:rPr>
        <w:t>Nerespectarea obligațiilor din OUG 202/2008 se sancționează, de la caz la caz, cu amendă contravențională între 10.000 LEI și 30.000 LEI. De asemenea, pot fi aplicate sancțiuni complementare – suspendarea avizului, licenței sau autorizației de exercitare a unei activități ori, după caz, suspendarea activității persoanei juridice, pe o durată de la o lună la 6 luni sau retragerea licenței sau avizului pentru anumite operațiuni sau activități, pe o durată de la o lună la 6 luni ori definitiv.</w:t>
      </w:r>
    </w:p>
    <w:p w14:paraId="63217E8B" w14:textId="27C06DD5" w:rsidR="00B31BEF" w:rsidRDefault="00B31BEF" w:rsidP="00BD046D">
      <w:pPr>
        <w:ind w:left="0"/>
        <w:rPr>
          <w:i/>
          <w:iCs/>
          <w:lang w:val="ro-RO"/>
        </w:rPr>
      </w:pPr>
      <w:r>
        <w:rPr>
          <w:lang w:val="ro-RO"/>
        </w:rPr>
        <w:t xml:space="preserve">În concluzie, realizarea unui Due Diligence adecvat în materia sancțiunilor internaționale este obligatoriu și cât se poate de important. Prejudiciile pentru operatorii economici care nu realizează această analiza de risc sau nu o realizează la un standard corespunzător sunt considerabile – începând cu amenzi, până la suspendarea activității, iar prejudiciile reputaționale pot fi mult mai mari. De asemenea, este de reținut și </w:t>
      </w:r>
      <w:r w:rsidR="00D61B87">
        <w:rPr>
          <w:lang w:val="ro-RO"/>
        </w:rPr>
        <w:t>abordarea Comisiei Europene cu privire la sancțiunile internaționale – în prezent, este în curs de elaborare și adoptare o Directivă care să conțină măsuri minime privind definirea infracțiunilor și pedepselor pentru încălcarea măsurilor restrictive</w:t>
      </w:r>
      <w:r w:rsidR="00D61B87">
        <w:rPr>
          <w:rStyle w:val="FootnoteReference"/>
          <w:lang w:val="ro-RO"/>
        </w:rPr>
        <w:footnoteReference w:id="1"/>
      </w:r>
      <w:r w:rsidR="00D61B87">
        <w:rPr>
          <w:lang w:val="ro-RO"/>
        </w:rPr>
        <w:t xml:space="preserve">. Astfel, încălcarea obligațiilor menționate s-ar încadra, în viitorul mai mult sau mai puțin apropiat, în categoria </w:t>
      </w:r>
      <w:r w:rsidR="00100E13">
        <w:rPr>
          <w:lang w:val="ro-RO"/>
        </w:rPr>
        <w:t>infracțiunilor</w:t>
      </w:r>
      <w:r w:rsidR="00D61B87">
        <w:rPr>
          <w:i/>
          <w:iCs/>
          <w:lang w:val="ro-RO"/>
        </w:rPr>
        <w:t>.</w:t>
      </w:r>
    </w:p>
    <w:p w14:paraId="6CC71192" w14:textId="52BF4743" w:rsidR="00F86DD4" w:rsidRDefault="00F86DD4" w:rsidP="00E52D7D">
      <w:pPr>
        <w:ind w:left="0"/>
        <w:jc w:val="center"/>
        <w:rPr>
          <w:lang w:val="ro-RO"/>
        </w:rPr>
      </w:pPr>
      <w:r>
        <w:rPr>
          <w:lang w:val="ro-RO"/>
        </w:rPr>
        <w:t>***</w:t>
      </w:r>
    </w:p>
    <w:p w14:paraId="2F387DEE" w14:textId="77777777" w:rsidR="00F86DD4" w:rsidRPr="00F86DD4" w:rsidRDefault="00F86DD4" w:rsidP="00BD046D">
      <w:pPr>
        <w:ind w:left="0"/>
        <w:rPr>
          <w:lang w:val="ro-RO"/>
        </w:rPr>
      </w:pPr>
    </w:p>
    <w:sectPr w:rsidR="00F86DD4" w:rsidRPr="00F86DD4" w:rsidSect="0004484A">
      <w:headerReference w:type="default" r:id="rId8"/>
      <w:footerReference w:type="default" r:id="rId9"/>
      <w:headerReference w:type="first" r:id="rId10"/>
      <w:footerReference w:type="first" r:id="rId11"/>
      <w:endnotePr>
        <w:numFmt w:val="decimal"/>
      </w:endnotePr>
      <w:pgSz w:w="11907" w:h="16839" w:code="9"/>
      <w:pgMar w:top="1138" w:right="850" w:bottom="403" w:left="1987" w:header="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3E33" w14:textId="77777777" w:rsidR="00C22AF5" w:rsidRDefault="00C22AF5">
      <w:r>
        <w:separator/>
      </w:r>
    </w:p>
  </w:endnote>
  <w:endnote w:type="continuationSeparator" w:id="0">
    <w:p w14:paraId="6881399F" w14:textId="77777777" w:rsidR="00C22AF5" w:rsidRDefault="00C2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04484A" w14:paraId="079B1911" w14:textId="77777777" w:rsidTr="00020C04">
      <w:trPr>
        <w:cantSplit/>
        <w:trHeight w:val="176"/>
      </w:trPr>
      <w:tc>
        <w:tcPr>
          <w:tcW w:w="1200" w:type="dxa"/>
        </w:tcPr>
        <w:p w14:paraId="498314DE" w14:textId="77777777" w:rsidR="0004484A" w:rsidRPr="0004484A" w:rsidRDefault="0004484A" w:rsidP="0004484A">
          <w:pPr>
            <w:spacing w:line="240" w:lineRule="auto"/>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3F4935F9" w14:textId="77777777" w:rsidR="0004484A" w:rsidRDefault="0004484A" w:rsidP="00020C04">
          <w:pPr>
            <w:pStyle w:val="Reporttableright"/>
          </w:pPr>
        </w:p>
      </w:tc>
      <w:tc>
        <w:tcPr>
          <w:tcW w:w="1200" w:type="dxa"/>
        </w:tcPr>
        <w:p w14:paraId="76A86167" w14:textId="77777777" w:rsidR="0004484A" w:rsidRDefault="0004484A" w:rsidP="00020C04">
          <w:pPr>
            <w:pStyle w:val="Reporttableleft"/>
          </w:pPr>
        </w:p>
      </w:tc>
      <w:tc>
        <w:tcPr>
          <w:tcW w:w="1200" w:type="dxa"/>
        </w:tcPr>
        <w:p w14:paraId="34ADA55A" w14:textId="77777777" w:rsidR="0004484A" w:rsidRDefault="0004484A" w:rsidP="00020C04">
          <w:pPr>
            <w:pStyle w:val="Reporttableright"/>
          </w:pPr>
        </w:p>
      </w:tc>
      <w:tc>
        <w:tcPr>
          <w:tcW w:w="2478" w:type="dxa"/>
        </w:tcPr>
        <w:p w14:paraId="04AD4E22" w14:textId="77777777" w:rsidR="0004484A" w:rsidRDefault="0004484A" w:rsidP="00020C04">
          <w:pPr>
            <w:pStyle w:val="Reporttableleft"/>
          </w:pPr>
        </w:p>
      </w:tc>
    </w:tr>
  </w:tbl>
  <w:p w14:paraId="641D42D1" w14:textId="77777777"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F906EB" w14:paraId="6C9D290C" w14:textId="77777777" w:rsidTr="00D72729">
      <w:trPr>
        <w:cantSplit/>
        <w:trHeight w:val="176"/>
      </w:trPr>
      <w:tc>
        <w:tcPr>
          <w:tcW w:w="1200" w:type="dxa"/>
        </w:tcPr>
        <w:p w14:paraId="2CD0B15C" w14:textId="77777777" w:rsidR="0004484A" w:rsidRPr="0004484A" w:rsidRDefault="0004484A" w:rsidP="0004484A">
          <w:pPr>
            <w:spacing w:line="240" w:lineRule="auto"/>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457D2B93" w14:textId="77777777" w:rsidR="00F906EB" w:rsidRPr="0004484A" w:rsidRDefault="00F906EB">
          <w:pPr>
            <w:pStyle w:val="Reporttableright"/>
            <w:rPr>
              <w:rFonts w:asciiTheme="minorHAnsi" w:hAnsiTheme="minorHAnsi" w:cstheme="minorHAnsi"/>
              <w:sz w:val="14"/>
              <w:szCs w:val="14"/>
            </w:rPr>
          </w:pPr>
        </w:p>
      </w:tc>
      <w:tc>
        <w:tcPr>
          <w:tcW w:w="1200" w:type="dxa"/>
        </w:tcPr>
        <w:p w14:paraId="6DFD84CF" w14:textId="77777777" w:rsidR="00F906EB" w:rsidRPr="0004484A" w:rsidRDefault="00F906EB">
          <w:pPr>
            <w:pStyle w:val="Reporttableleft"/>
            <w:rPr>
              <w:rFonts w:asciiTheme="minorHAnsi" w:hAnsiTheme="minorHAnsi" w:cstheme="minorHAnsi"/>
              <w:sz w:val="14"/>
              <w:szCs w:val="14"/>
            </w:rPr>
          </w:pPr>
        </w:p>
      </w:tc>
      <w:tc>
        <w:tcPr>
          <w:tcW w:w="1200" w:type="dxa"/>
        </w:tcPr>
        <w:p w14:paraId="31DCF44F" w14:textId="77777777" w:rsidR="00F906EB" w:rsidRDefault="00F906EB">
          <w:pPr>
            <w:pStyle w:val="Reporttableright"/>
          </w:pPr>
        </w:p>
      </w:tc>
      <w:tc>
        <w:tcPr>
          <w:tcW w:w="2478" w:type="dxa"/>
        </w:tcPr>
        <w:p w14:paraId="04953EF6" w14:textId="77777777" w:rsidR="00F906EB" w:rsidRDefault="00F906EB">
          <w:pPr>
            <w:pStyle w:val="Reporttableleft"/>
          </w:pPr>
        </w:p>
      </w:tc>
    </w:tr>
  </w:tbl>
  <w:p w14:paraId="643CAEB6" w14:textId="77777777" w:rsidR="00A06DBC" w:rsidRPr="002D52BD" w:rsidRDefault="00A06DBC" w:rsidP="002D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A688" w14:textId="77777777" w:rsidR="00C22AF5" w:rsidRDefault="00C22AF5">
      <w:r>
        <w:separator/>
      </w:r>
    </w:p>
  </w:footnote>
  <w:footnote w:type="continuationSeparator" w:id="0">
    <w:p w14:paraId="4A395FAB" w14:textId="77777777" w:rsidR="00C22AF5" w:rsidRDefault="00C22AF5">
      <w:r>
        <w:continuationSeparator/>
      </w:r>
    </w:p>
  </w:footnote>
  <w:footnote w:id="1">
    <w:p w14:paraId="221EA303" w14:textId="347908E1" w:rsidR="00D61B87" w:rsidRPr="00D61B87" w:rsidRDefault="00D61B87">
      <w:pPr>
        <w:pStyle w:val="FootnoteText"/>
        <w:rPr>
          <w:lang w:val="ro-RO"/>
        </w:rPr>
      </w:pPr>
      <w:r>
        <w:rPr>
          <w:rStyle w:val="FootnoteReference"/>
        </w:rPr>
        <w:footnoteRef/>
      </w:r>
      <w:r>
        <w:t xml:space="preserve"> </w:t>
      </w:r>
      <w:r>
        <w:rPr>
          <w:lang w:val="ro-RO"/>
        </w:rPr>
        <w:t xml:space="preserve">Comunicatul de presă este disponibil aici – </w:t>
      </w:r>
      <w:hyperlink r:id="rId1" w:history="1">
        <w:r w:rsidRPr="00915B39">
          <w:rPr>
            <w:rStyle w:val="Hyperlink"/>
            <w:lang w:val="ro-RO"/>
          </w:rPr>
          <w:t>https://www.consilium.europa.eu/en/press/press-releases/2022/11/28/sanctions-council-adds-the-violation-of-restrictive-measures-to-the-list-of-eu-crimes/</w:t>
        </w:r>
      </w:hyperlink>
      <w:r>
        <w:rPr>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A612" w14:textId="728E575C" w:rsidR="0004484A" w:rsidRDefault="0004484A">
    <w:pPr>
      <w:pStyle w:val="Header"/>
    </w:pPr>
    <w:r>
      <w:rPr>
        <w:noProof/>
      </w:rPr>
      <w:drawing>
        <wp:anchor distT="0" distB="0" distL="114300" distR="114300" simplePos="0" relativeHeight="251663360" behindDoc="1" locked="0" layoutInCell="1" allowOverlap="1" wp14:anchorId="59BA655F" wp14:editId="074C7EEF">
          <wp:simplePos x="0" y="0"/>
          <wp:positionH relativeFrom="margin">
            <wp:posOffset>4205361</wp:posOffset>
          </wp:positionH>
          <wp:positionV relativeFrom="paragraph">
            <wp:posOffset>425988</wp:posOffset>
          </wp:positionV>
          <wp:extent cx="1386840" cy="116651"/>
          <wp:effectExtent l="0" t="0" r="3810" b="0"/>
          <wp:wrapNone/>
          <wp:docPr id="250" name="Graphic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6840" cy="1166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D03" w14:textId="392E0319" w:rsidR="00D72729" w:rsidRDefault="0004484A" w:rsidP="0004484A">
    <w:pPr>
      <w:pStyle w:val="Header"/>
    </w:pPr>
    <w:r>
      <w:rPr>
        <w:noProof/>
      </w:rPr>
      <w:drawing>
        <wp:anchor distT="0" distB="0" distL="114300" distR="114300" simplePos="0" relativeHeight="251664384" behindDoc="1" locked="0" layoutInCell="1" allowOverlap="1" wp14:anchorId="5733EB62" wp14:editId="610B0466">
          <wp:simplePos x="0" y="0"/>
          <wp:positionH relativeFrom="column">
            <wp:posOffset>-280661</wp:posOffset>
          </wp:positionH>
          <wp:positionV relativeFrom="paragraph">
            <wp:posOffset>440578</wp:posOffset>
          </wp:positionV>
          <wp:extent cx="5759450" cy="1223010"/>
          <wp:effectExtent l="0" t="0" r="0" b="0"/>
          <wp:wrapTight wrapText="bothSides">
            <wp:wrapPolygon edited="0">
              <wp:start x="0" y="0"/>
              <wp:lineTo x="0" y="21196"/>
              <wp:lineTo x="21505" y="21196"/>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701"/>
    <w:multiLevelType w:val="multilevel"/>
    <w:tmpl w:val="69AA31E6"/>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8D3F0D"/>
    <w:multiLevelType w:val="hybridMultilevel"/>
    <w:tmpl w:val="36B65848"/>
    <w:lvl w:ilvl="0" w:tplc="28FA450A">
      <w:start w:val="1"/>
      <w:numFmt w:val="lowerLetter"/>
      <w:lvlText w:val="%1)"/>
      <w:lvlJc w:val="left"/>
      <w:pPr>
        <w:ind w:left="123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3"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4"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5"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27632B1E"/>
    <w:multiLevelType w:val="multilevel"/>
    <w:tmpl w:val="8D04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40233041"/>
    <w:multiLevelType w:val="hybridMultilevel"/>
    <w:tmpl w:val="B2DAC89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21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405BBA"/>
    <w:multiLevelType w:val="hybridMultilevel"/>
    <w:tmpl w:val="D1F8A1F6"/>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16"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67951"/>
    <w:multiLevelType w:val="multilevel"/>
    <w:tmpl w:val="B3C87682"/>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8"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40A78D1"/>
    <w:multiLevelType w:val="hybridMultilevel"/>
    <w:tmpl w:val="6EA08328"/>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06123825">
    <w:abstractNumId w:val="15"/>
  </w:num>
  <w:num w:numId="2" w16cid:durableId="375742658">
    <w:abstractNumId w:val="7"/>
  </w:num>
  <w:num w:numId="3" w16cid:durableId="1346862071">
    <w:abstractNumId w:val="4"/>
  </w:num>
  <w:num w:numId="4" w16cid:durableId="610891456">
    <w:abstractNumId w:val="10"/>
  </w:num>
  <w:num w:numId="5" w16cid:durableId="1835877992">
    <w:abstractNumId w:val="17"/>
  </w:num>
  <w:num w:numId="6" w16cid:durableId="69348927">
    <w:abstractNumId w:val="3"/>
  </w:num>
  <w:num w:numId="7" w16cid:durableId="1136754063">
    <w:abstractNumId w:val="2"/>
  </w:num>
  <w:num w:numId="8" w16cid:durableId="58213459">
    <w:abstractNumId w:val="9"/>
  </w:num>
  <w:num w:numId="9" w16cid:durableId="122114093">
    <w:abstractNumId w:val="16"/>
  </w:num>
  <w:num w:numId="10" w16cid:durableId="1827935307">
    <w:abstractNumId w:val="6"/>
  </w:num>
  <w:num w:numId="11" w16cid:durableId="147869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503711">
    <w:abstractNumId w:val="14"/>
  </w:num>
  <w:num w:numId="13" w16cid:durableId="1002201726">
    <w:abstractNumId w:val="14"/>
  </w:num>
  <w:num w:numId="14" w16cid:durableId="2072118780">
    <w:abstractNumId w:val="14"/>
  </w:num>
  <w:num w:numId="15" w16cid:durableId="2048019500">
    <w:abstractNumId w:val="17"/>
  </w:num>
  <w:num w:numId="16" w16cid:durableId="1503275754">
    <w:abstractNumId w:val="17"/>
  </w:num>
  <w:num w:numId="17" w16cid:durableId="1323656473">
    <w:abstractNumId w:val="17"/>
  </w:num>
  <w:num w:numId="18" w16cid:durableId="467748812">
    <w:abstractNumId w:val="12"/>
  </w:num>
  <w:num w:numId="19" w16cid:durableId="1088112985">
    <w:abstractNumId w:val="5"/>
  </w:num>
  <w:num w:numId="20" w16cid:durableId="1153838422">
    <w:abstractNumId w:val="20"/>
  </w:num>
  <w:num w:numId="21" w16cid:durableId="6122482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36606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2151157">
    <w:abstractNumId w:val="0"/>
  </w:num>
  <w:num w:numId="24" w16cid:durableId="355154488">
    <w:abstractNumId w:val="10"/>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16cid:durableId="11828211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94770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74547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78773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16801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65826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83607972">
    <w:abstractNumId w:val="17"/>
  </w:num>
  <w:num w:numId="32" w16cid:durableId="1117723185">
    <w:abstractNumId w:val="17"/>
  </w:num>
  <w:num w:numId="33" w16cid:durableId="1155338958">
    <w:abstractNumId w:val="17"/>
  </w:num>
  <w:num w:numId="34" w16cid:durableId="892959188">
    <w:abstractNumId w:val="10"/>
  </w:num>
  <w:num w:numId="35" w16cid:durableId="1525171214">
    <w:abstractNumId w:val="10"/>
  </w:num>
  <w:num w:numId="36" w16cid:durableId="8488337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22405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67502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43531788">
    <w:abstractNumId w:val="14"/>
  </w:num>
  <w:num w:numId="40" w16cid:durableId="4685904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58170786">
    <w:abstractNumId w:val="8"/>
  </w:num>
  <w:num w:numId="42" w16cid:durableId="1636327524">
    <w:abstractNumId w:val="14"/>
  </w:num>
  <w:num w:numId="43" w16cid:durableId="570163462">
    <w:abstractNumId w:val="14"/>
  </w:num>
  <w:num w:numId="44" w16cid:durableId="1944144774">
    <w:abstractNumId w:val="14"/>
  </w:num>
  <w:num w:numId="45" w16cid:durableId="513570909">
    <w:abstractNumId w:val="14"/>
  </w:num>
  <w:num w:numId="46" w16cid:durableId="1368801024">
    <w:abstractNumId w:val="11"/>
  </w:num>
  <w:num w:numId="47" w16cid:durableId="1916890036">
    <w:abstractNumId w:val="13"/>
  </w:num>
  <w:num w:numId="48" w16cid:durableId="4874828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5FF2"/>
    <w:rsid w:val="00006C3A"/>
    <w:rsid w:val="00015804"/>
    <w:rsid w:val="00020C04"/>
    <w:rsid w:val="00031CFC"/>
    <w:rsid w:val="00035ECB"/>
    <w:rsid w:val="00036449"/>
    <w:rsid w:val="0004484A"/>
    <w:rsid w:val="00045133"/>
    <w:rsid w:val="00045DBE"/>
    <w:rsid w:val="00050B1C"/>
    <w:rsid w:val="0006010E"/>
    <w:rsid w:val="00065D3F"/>
    <w:rsid w:val="000722FB"/>
    <w:rsid w:val="00072EF3"/>
    <w:rsid w:val="00082F86"/>
    <w:rsid w:val="00086C85"/>
    <w:rsid w:val="00086D53"/>
    <w:rsid w:val="000969FE"/>
    <w:rsid w:val="000972C7"/>
    <w:rsid w:val="00097317"/>
    <w:rsid w:val="0009778F"/>
    <w:rsid w:val="000B07C2"/>
    <w:rsid w:val="000B0816"/>
    <w:rsid w:val="000C1876"/>
    <w:rsid w:val="000C2234"/>
    <w:rsid w:val="000C3E61"/>
    <w:rsid w:val="000D0279"/>
    <w:rsid w:val="000D6E79"/>
    <w:rsid w:val="000E0C3E"/>
    <w:rsid w:val="000E278E"/>
    <w:rsid w:val="000E7B00"/>
    <w:rsid w:val="000F1A04"/>
    <w:rsid w:val="000F339D"/>
    <w:rsid w:val="00100E13"/>
    <w:rsid w:val="00100EA8"/>
    <w:rsid w:val="00102EF6"/>
    <w:rsid w:val="001039E5"/>
    <w:rsid w:val="00110CB3"/>
    <w:rsid w:val="00111657"/>
    <w:rsid w:val="00111FB9"/>
    <w:rsid w:val="00112C92"/>
    <w:rsid w:val="0011699D"/>
    <w:rsid w:val="0011755A"/>
    <w:rsid w:val="001216F1"/>
    <w:rsid w:val="001237B1"/>
    <w:rsid w:val="00131515"/>
    <w:rsid w:val="00131782"/>
    <w:rsid w:val="001322E2"/>
    <w:rsid w:val="001374C2"/>
    <w:rsid w:val="0014207C"/>
    <w:rsid w:val="00142AFE"/>
    <w:rsid w:val="001460A0"/>
    <w:rsid w:val="00153A14"/>
    <w:rsid w:val="00162EBD"/>
    <w:rsid w:val="00166336"/>
    <w:rsid w:val="00166D27"/>
    <w:rsid w:val="00172AE3"/>
    <w:rsid w:val="00176E9C"/>
    <w:rsid w:val="00194488"/>
    <w:rsid w:val="001A3BCF"/>
    <w:rsid w:val="001A45A9"/>
    <w:rsid w:val="001B030B"/>
    <w:rsid w:val="001B3466"/>
    <w:rsid w:val="001B46BF"/>
    <w:rsid w:val="001C785D"/>
    <w:rsid w:val="001C78BE"/>
    <w:rsid w:val="001D3AFE"/>
    <w:rsid w:val="001E54D1"/>
    <w:rsid w:val="001F1B88"/>
    <w:rsid w:val="001F5749"/>
    <w:rsid w:val="001F6A85"/>
    <w:rsid w:val="001F7753"/>
    <w:rsid w:val="00201CD1"/>
    <w:rsid w:val="00202AC1"/>
    <w:rsid w:val="00202F37"/>
    <w:rsid w:val="00204283"/>
    <w:rsid w:val="002043BE"/>
    <w:rsid w:val="00214762"/>
    <w:rsid w:val="002167D8"/>
    <w:rsid w:val="00216B00"/>
    <w:rsid w:val="0021794C"/>
    <w:rsid w:val="002206C6"/>
    <w:rsid w:val="0022262F"/>
    <w:rsid w:val="00226598"/>
    <w:rsid w:val="00227F3C"/>
    <w:rsid w:val="00234218"/>
    <w:rsid w:val="00234A0B"/>
    <w:rsid w:val="00236042"/>
    <w:rsid w:val="002411C2"/>
    <w:rsid w:val="00245F69"/>
    <w:rsid w:val="00246085"/>
    <w:rsid w:val="002502BB"/>
    <w:rsid w:val="002516AB"/>
    <w:rsid w:val="00256B09"/>
    <w:rsid w:val="00262107"/>
    <w:rsid w:val="0026220A"/>
    <w:rsid w:val="00262D8A"/>
    <w:rsid w:val="00267F12"/>
    <w:rsid w:val="00272392"/>
    <w:rsid w:val="002747B9"/>
    <w:rsid w:val="0027498E"/>
    <w:rsid w:val="0027589B"/>
    <w:rsid w:val="00275DC0"/>
    <w:rsid w:val="00280DCE"/>
    <w:rsid w:val="00281C76"/>
    <w:rsid w:val="00281CA2"/>
    <w:rsid w:val="00284AC5"/>
    <w:rsid w:val="00285F1D"/>
    <w:rsid w:val="002874C2"/>
    <w:rsid w:val="002951A1"/>
    <w:rsid w:val="002963E3"/>
    <w:rsid w:val="00296828"/>
    <w:rsid w:val="00297E88"/>
    <w:rsid w:val="002A1964"/>
    <w:rsid w:val="002A38E9"/>
    <w:rsid w:val="002A3D19"/>
    <w:rsid w:val="002A68C3"/>
    <w:rsid w:val="002B4A1A"/>
    <w:rsid w:val="002B643E"/>
    <w:rsid w:val="002C2E5A"/>
    <w:rsid w:val="002C6524"/>
    <w:rsid w:val="002D093B"/>
    <w:rsid w:val="002D0DDD"/>
    <w:rsid w:val="002D1B8C"/>
    <w:rsid w:val="002D5027"/>
    <w:rsid w:val="002D52BD"/>
    <w:rsid w:val="002E3EDB"/>
    <w:rsid w:val="002E76EE"/>
    <w:rsid w:val="002F06BB"/>
    <w:rsid w:val="002F652B"/>
    <w:rsid w:val="002F6996"/>
    <w:rsid w:val="002F7D05"/>
    <w:rsid w:val="003026FB"/>
    <w:rsid w:val="00312249"/>
    <w:rsid w:val="003216B6"/>
    <w:rsid w:val="00325220"/>
    <w:rsid w:val="00325509"/>
    <w:rsid w:val="003329F3"/>
    <w:rsid w:val="00337C61"/>
    <w:rsid w:val="003437A6"/>
    <w:rsid w:val="00350640"/>
    <w:rsid w:val="00352BFC"/>
    <w:rsid w:val="003550E1"/>
    <w:rsid w:val="00361609"/>
    <w:rsid w:val="00370037"/>
    <w:rsid w:val="0037044C"/>
    <w:rsid w:val="00371113"/>
    <w:rsid w:val="00371671"/>
    <w:rsid w:val="00372AD9"/>
    <w:rsid w:val="00376E8A"/>
    <w:rsid w:val="00382767"/>
    <w:rsid w:val="003852B6"/>
    <w:rsid w:val="00385AED"/>
    <w:rsid w:val="00396607"/>
    <w:rsid w:val="003A0381"/>
    <w:rsid w:val="003A426D"/>
    <w:rsid w:val="003A5BE5"/>
    <w:rsid w:val="003A76C6"/>
    <w:rsid w:val="003B062E"/>
    <w:rsid w:val="003B281C"/>
    <w:rsid w:val="003B4D78"/>
    <w:rsid w:val="003C2EC0"/>
    <w:rsid w:val="003C4803"/>
    <w:rsid w:val="003D05A5"/>
    <w:rsid w:val="003D13EC"/>
    <w:rsid w:val="003D4281"/>
    <w:rsid w:val="003D4FFA"/>
    <w:rsid w:val="003D559B"/>
    <w:rsid w:val="003D6DA7"/>
    <w:rsid w:val="003D6FB2"/>
    <w:rsid w:val="003E1DC7"/>
    <w:rsid w:val="003E471F"/>
    <w:rsid w:val="003F2410"/>
    <w:rsid w:val="003F25ED"/>
    <w:rsid w:val="003F3AB8"/>
    <w:rsid w:val="003F472A"/>
    <w:rsid w:val="003F6A36"/>
    <w:rsid w:val="00401187"/>
    <w:rsid w:val="00402123"/>
    <w:rsid w:val="00412F48"/>
    <w:rsid w:val="00416353"/>
    <w:rsid w:val="00416A07"/>
    <w:rsid w:val="0042362F"/>
    <w:rsid w:val="00431437"/>
    <w:rsid w:val="00432280"/>
    <w:rsid w:val="004328A4"/>
    <w:rsid w:val="00437203"/>
    <w:rsid w:val="00443C77"/>
    <w:rsid w:val="0044469F"/>
    <w:rsid w:val="004452DF"/>
    <w:rsid w:val="0044693B"/>
    <w:rsid w:val="0045295A"/>
    <w:rsid w:val="00460586"/>
    <w:rsid w:val="00464999"/>
    <w:rsid w:val="004661AC"/>
    <w:rsid w:val="00466BAA"/>
    <w:rsid w:val="00467CF8"/>
    <w:rsid w:val="0047102B"/>
    <w:rsid w:val="00471AD9"/>
    <w:rsid w:val="004731AE"/>
    <w:rsid w:val="004824CB"/>
    <w:rsid w:val="00493789"/>
    <w:rsid w:val="00496854"/>
    <w:rsid w:val="004974B8"/>
    <w:rsid w:val="00497F98"/>
    <w:rsid w:val="004A2BCC"/>
    <w:rsid w:val="004A37F7"/>
    <w:rsid w:val="004A4CA2"/>
    <w:rsid w:val="004A6929"/>
    <w:rsid w:val="004D26B3"/>
    <w:rsid w:val="004D26EE"/>
    <w:rsid w:val="004D5372"/>
    <w:rsid w:val="004E2700"/>
    <w:rsid w:val="004F031B"/>
    <w:rsid w:val="004F714E"/>
    <w:rsid w:val="004F7CC5"/>
    <w:rsid w:val="0050005C"/>
    <w:rsid w:val="005037FF"/>
    <w:rsid w:val="00510F90"/>
    <w:rsid w:val="005121BC"/>
    <w:rsid w:val="005123B2"/>
    <w:rsid w:val="0051489D"/>
    <w:rsid w:val="00514D45"/>
    <w:rsid w:val="005160D3"/>
    <w:rsid w:val="005409BE"/>
    <w:rsid w:val="00540C3E"/>
    <w:rsid w:val="00541851"/>
    <w:rsid w:val="005428EF"/>
    <w:rsid w:val="0055044B"/>
    <w:rsid w:val="005534E9"/>
    <w:rsid w:val="00554F83"/>
    <w:rsid w:val="0055603D"/>
    <w:rsid w:val="00556A81"/>
    <w:rsid w:val="00557761"/>
    <w:rsid w:val="00562C1D"/>
    <w:rsid w:val="00570516"/>
    <w:rsid w:val="00571FBB"/>
    <w:rsid w:val="005729F3"/>
    <w:rsid w:val="005740A3"/>
    <w:rsid w:val="00574A0E"/>
    <w:rsid w:val="00575DF9"/>
    <w:rsid w:val="0058139E"/>
    <w:rsid w:val="00583911"/>
    <w:rsid w:val="00585EE8"/>
    <w:rsid w:val="00586ECA"/>
    <w:rsid w:val="005909EC"/>
    <w:rsid w:val="00594000"/>
    <w:rsid w:val="005A4963"/>
    <w:rsid w:val="005A5516"/>
    <w:rsid w:val="005A77ED"/>
    <w:rsid w:val="005A7C8D"/>
    <w:rsid w:val="005B1BE6"/>
    <w:rsid w:val="005B6EC3"/>
    <w:rsid w:val="005C0093"/>
    <w:rsid w:val="005C2DE3"/>
    <w:rsid w:val="005C4BCB"/>
    <w:rsid w:val="005C4ED7"/>
    <w:rsid w:val="005C4F21"/>
    <w:rsid w:val="005C575D"/>
    <w:rsid w:val="005C7893"/>
    <w:rsid w:val="005D1E46"/>
    <w:rsid w:val="005D222E"/>
    <w:rsid w:val="005D2DB0"/>
    <w:rsid w:val="005D5FD8"/>
    <w:rsid w:val="005E2AD7"/>
    <w:rsid w:val="005E4C2A"/>
    <w:rsid w:val="005E54DE"/>
    <w:rsid w:val="005F2A21"/>
    <w:rsid w:val="006036F9"/>
    <w:rsid w:val="00603BF5"/>
    <w:rsid w:val="00603FF4"/>
    <w:rsid w:val="0061269B"/>
    <w:rsid w:val="00612B38"/>
    <w:rsid w:val="00613D1C"/>
    <w:rsid w:val="00615594"/>
    <w:rsid w:val="00616F82"/>
    <w:rsid w:val="00621F1B"/>
    <w:rsid w:val="006315BB"/>
    <w:rsid w:val="006324F3"/>
    <w:rsid w:val="00632DCC"/>
    <w:rsid w:val="0063422D"/>
    <w:rsid w:val="00634EF8"/>
    <w:rsid w:val="00635A79"/>
    <w:rsid w:val="00636B29"/>
    <w:rsid w:val="00645BFE"/>
    <w:rsid w:val="0065055C"/>
    <w:rsid w:val="00650FAF"/>
    <w:rsid w:val="0065245F"/>
    <w:rsid w:val="0065262E"/>
    <w:rsid w:val="006536ED"/>
    <w:rsid w:val="006619B0"/>
    <w:rsid w:val="00662F7E"/>
    <w:rsid w:val="00663AB3"/>
    <w:rsid w:val="00666F1F"/>
    <w:rsid w:val="00667688"/>
    <w:rsid w:val="00671BC5"/>
    <w:rsid w:val="00673595"/>
    <w:rsid w:val="00676BA8"/>
    <w:rsid w:val="00677026"/>
    <w:rsid w:val="006771A6"/>
    <w:rsid w:val="00680D8B"/>
    <w:rsid w:val="0068192B"/>
    <w:rsid w:val="00682949"/>
    <w:rsid w:val="006837FD"/>
    <w:rsid w:val="00683C7B"/>
    <w:rsid w:val="00684335"/>
    <w:rsid w:val="0068700B"/>
    <w:rsid w:val="00691DE3"/>
    <w:rsid w:val="00692422"/>
    <w:rsid w:val="00693167"/>
    <w:rsid w:val="00693FB7"/>
    <w:rsid w:val="006962E9"/>
    <w:rsid w:val="00696787"/>
    <w:rsid w:val="006A0C21"/>
    <w:rsid w:val="006A1646"/>
    <w:rsid w:val="006A4A04"/>
    <w:rsid w:val="006A4DAE"/>
    <w:rsid w:val="006A6A33"/>
    <w:rsid w:val="006B1095"/>
    <w:rsid w:val="006B1D96"/>
    <w:rsid w:val="006B4E91"/>
    <w:rsid w:val="006B6C4A"/>
    <w:rsid w:val="006B77D9"/>
    <w:rsid w:val="006C14B5"/>
    <w:rsid w:val="006C27D6"/>
    <w:rsid w:val="006C2A04"/>
    <w:rsid w:val="006D1CC3"/>
    <w:rsid w:val="006D525D"/>
    <w:rsid w:val="006D57A4"/>
    <w:rsid w:val="006E26E2"/>
    <w:rsid w:val="006E30C5"/>
    <w:rsid w:val="006E57C4"/>
    <w:rsid w:val="006E76E1"/>
    <w:rsid w:val="006F02E7"/>
    <w:rsid w:val="006F4DE6"/>
    <w:rsid w:val="006F5074"/>
    <w:rsid w:val="006F529C"/>
    <w:rsid w:val="006F6B7F"/>
    <w:rsid w:val="00703A7B"/>
    <w:rsid w:val="00705E81"/>
    <w:rsid w:val="007077D4"/>
    <w:rsid w:val="00722E02"/>
    <w:rsid w:val="00722EF8"/>
    <w:rsid w:val="007250A2"/>
    <w:rsid w:val="00735D88"/>
    <w:rsid w:val="00740FD8"/>
    <w:rsid w:val="0074285A"/>
    <w:rsid w:val="00746C62"/>
    <w:rsid w:val="00750B3C"/>
    <w:rsid w:val="00753005"/>
    <w:rsid w:val="007539DB"/>
    <w:rsid w:val="00753FF4"/>
    <w:rsid w:val="00754D88"/>
    <w:rsid w:val="00754DDE"/>
    <w:rsid w:val="00761225"/>
    <w:rsid w:val="0076231E"/>
    <w:rsid w:val="00770B3E"/>
    <w:rsid w:val="00770DBE"/>
    <w:rsid w:val="00771E7D"/>
    <w:rsid w:val="00775AED"/>
    <w:rsid w:val="00780D9B"/>
    <w:rsid w:val="007835CB"/>
    <w:rsid w:val="00783843"/>
    <w:rsid w:val="00784CE5"/>
    <w:rsid w:val="0079189D"/>
    <w:rsid w:val="007925B3"/>
    <w:rsid w:val="00793B30"/>
    <w:rsid w:val="007A540D"/>
    <w:rsid w:val="007A54A7"/>
    <w:rsid w:val="007A7261"/>
    <w:rsid w:val="007B1F49"/>
    <w:rsid w:val="007B42AC"/>
    <w:rsid w:val="007B4D38"/>
    <w:rsid w:val="007B5A67"/>
    <w:rsid w:val="007C14FB"/>
    <w:rsid w:val="007C645F"/>
    <w:rsid w:val="007D7248"/>
    <w:rsid w:val="007E00F1"/>
    <w:rsid w:val="007E367D"/>
    <w:rsid w:val="007F6BAD"/>
    <w:rsid w:val="008044D9"/>
    <w:rsid w:val="00810792"/>
    <w:rsid w:val="00811458"/>
    <w:rsid w:val="008118F1"/>
    <w:rsid w:val="008143EC"/>
    <w:rsid w:val="008200AD"/>
    <w:rsid w:val="008201C0"/>
    <w:rsid w:val="008202DD"/>
    <w:rsid w:val="008205E5"/>
    <w:rsid w:val="00824933"/>
    <w:rsid w:val="008276D7"/>
    <w:rsid w:val="00830F91"/>
    <w:rsid w:val="0083213F"/>
    <w:rsid w:val="00835FD8"/>
    <w:rsid w:val="00836CE2"/>
    <w:rsid w:val="0084446D"/>
    <w:rsid w:val="008452D6"/>
    <w:rsid w:val="00845ADD"/>
    <w:rsid w:val="0084756E"/>
    <w:rsid w:val="00850909"/>
    <w:rsid w:val="00850EE1"/>
    <w:rsid w:val="00852F8B"/>
    <w:rsid w:val="008627BB"/>
    <w:rsid w:val="00886973"/>
    <w:rsid w:val="0089149A"/>
    <w:rsid w:val="00896242"/>
    <w:rsid w:val="0089719E"/>
    <w:rsid w:val="00897892"/>
    <w:rsid w:val="00897C4F"/>
    <w:rsid w:val="008A2166"/>
    <w:rsid w:val="008A22BC"/>
    <w:rsid w:val="008A6372"/>
    <w:rsid w:val="008A63BC"/>
    <w:rsid w:val="008A698F"/>
    <w:rsid w:val="008B0554"/>
    <w:rsid w:val="008B082E"/>
    <w:rsid w:val="008B0BD5"/>
    <w:rsid w:val="008B43AC"/>
    <w:rsid w:val="008C3F94"/>
    <w:rsid w:val="008D26C6"/>
    <w:rsid w:val="008D422A"/>
    <w:rsid w:val="008D73ED"/>
    <w:rsid w:val="008F7C04"/>
    <w:rsid w:val="00901C76"/>
    <w:rsid w:val="00905679"/>
    <w:rsid w:val="00906B48"/>
    <w:rsid w:val="00911518"/>
    <w:rsid w:val="00911C92"/>
    <w:rsid w:val="009124FC"/>
    <w:rsid w:val="009155C1"/>
    <w:rsid w:val="00923B14"/>
    <w:rsid w:val="00923D14"/>
    <w:rsid w:val="00932282"/>
    <w:rsid w:val="00940992"/>
    <w:rsid w:val="00940B7F"/>
    <w:rsid w:val="00942042"/>
    <w:rsid w:val="00943413"/>
    <w:rsid w:val="00943B4E"/>
    <w:rsid w:val="009446B5"/>
    <w:rsid w:val="009522D2"/>
    <w:rsid w:val="009531D0"/>
    <w:rsid w:val="00953882"/>
    <w:rsid w:val="009541F4"/>
    <w:rsid w:val="00954F60"/>
    <w:rsid w:val="00955E3A"/>
    <w:rsid w:val="00962E89"/>
    <w:rsid w:val="0096439C"/>
    <w:rsid w:val="00967526"/>
    <w:rsid w:val="00967C6F"/>
    <w:rsid w:val="00970C4C"/>
    <w:rsid w:val="00975711"/>
    <w:rsid w:val="00983B5F"/>
    <w:rsid w:val="009852EF"/>
    <w:rsid w:val="009864C6"/>
    <w:rsid w:val="009875BE"/>
    <w:rsid w:val="00987C3A"/>
    <w:rsid w:val="00990B88"/>
    <w:rsid w:val="0099200D"/>
    <w:rsid w:val="00996CF0"/>
    <w:rsid w:val="009A1862"/>
    <w:rsid w:val="009A1CF9"/>
    <w:rsid w:val="009A79A8"/>
    <w:rsid w:val="009A7A80"/>
    <w:rsid w:val="009B0B35"/>
    <w:rsid w:val="009B1A9B"/>
    <w:rsid w:val="009B1E30"/>
    <w:rsid w:val="009B2621"/>
    <w:rsid w:val="009B3CC5"/>
    <w:rsid w:val="009B682B"/>
    <w:rsid w:val="009C0CA4"/>
    <w:rsid w:val="009C2969"/>
    <w:rsid w:val="009C3427"/>
    <w:rsid w:val="009C3C21"/>
    <w:rsid w:val="009D1E87"/>
    <w:rsid w:val="009D2A63"/>
    <w:rsid w:val="009D510C"/>
    <w:rsid w:val="009E1701"/>
    <w:rsid w:val="009E3AE6"/>
    <w:rsid w:val="009F3007"/>
    <w:rsid w:val="009F3A20"/>
    <w:rsid w:val="00A03319"/>
    <w:rsid w:val="00A0340C"/>
    <w:rsid w:val="00A06B0D"/>
    <w:rsid w:val="00A06DBC"/>
    <w:rsid w:val="00A1410A"/>
    <w:rsid w:val="00A159BA"/>
    <w:rsid w:val="00A15D00"/>
    <w:rsid w:val="00A200FF"/>
    <w:rsid w:val="00A24002"/>
    <w:rsid w:val="00A2461E"/>
    <w:rsid w:val="00A24A45"/>
    <w:rsid w:val="00A266F0"/>
    <w:rsid w:val="00A31979"/>
    <w:rsid w:val="00A37618"/>
    <w:rsid w:val="00A3790E"/>
    <w:rsid w:val="00A40049"/>
    <w:rsid w:val="00A4106A"/>
    <w:rsid w:val="00A4217B"/>
    <w:rsid w:val="00A4379B"/>
    <w:rsid w:val="00A452A6"/>
    <w:rsid w:val="00A457F1"/>
    <w:rsid w:val="00A45896"/>
    <w:rsid w:val="00A47822"/>
    <w:rsid w:val="00A504F7"/>
    <w:rsid w:val="00A5097B"/>
    <w:rsid w:val="00A612FD"/>
    <w:rsid w:val="00A64649"/>
    <w:rsid w:val="00A64F9F"/>
    <w:rsid w:val="00A67DA8"/>
    <w:rsid w:val="00A70844"/>
    <w:rsid w:val="00A71339"/>
    <w:rsid w:val="00A74044"/>
    <w:rsid w:val="00A744CA"/>
    <w:rsid w:val="00A75ABA"/>
    <w:rsid w:val="00A77D3A"/>
    <w:rsid w:val="00A822B3"/>
    <w:rsid w:val="00A84D3B"/>
    <w:rsid w:val="00A850AE"/>
    <w:rsid w:val="00A913D4"/>
    <w:rsid w:val="00A91412"/>
    <w:rsid w:val="00AB1BD1"/>
    <w:rsid w:val="00AB59CB"/>
    <w:rsid w:val="00AC0019"/>
    <w:rsid w:val="00AC5CF0"/>
    <w:rsid w:val="00AD799C"/>
    <w:rsid w:val="00AE00CB"/>
    <w:rsid w:val="00AE40DE"/>
    <w:rsid w:val="00AF46D2"/>
    <w:rsid w:val="00AF5B77"/>
    <w:rsid w:val="00AF750D"/>
    <w:rsid w:val="00AF7B43"/>
    <w:rsid w:val="00B0196A"/>
    <w:rsid w:val="00B0341D"/>
    <w:rsid w:val="00B03B43"/>
    <w:rsid w:val="00B04B9F"/>
    <w:rsid w:val="00B139AF"/>
    <w:rsid w:val="00B15E2C"/>
    <w:rsid w:val="00B17460"/>
    <w:rsid w:val="00B31BEF"/>
    <w:rsid w:val="00B32257"/>
    <w:rsid w:val="00B3789F"/>
    <w:rsid w:val="00B37954"/>
    <w:rsid w:val="00B4134D"/>
    <w:rsid w:val="00B415E5"/>
    <w:rsid w:val="00B41681"/>
    <w:rsid w:val="00B45D0F"/>
    <w:rsid w:val="00B47A58"/>
    <w:rsid w:val="00B47CDE"/>
    <w:rsid w:val="00B51ABF"/>
    <w:rsid w:val="00B57C71"/>
    <w:rsid w:val="00B606B4"/>
    <w:rsid w:val="00B63E44"/>
    <w:rsid w:val="00B65EC7"/>
    <w:rsid w:val="00B669CD"/>
    <w:rsid w:val="00B744C4"/>
    <w:rsid w:val="00B755EB"/>
    <w:rsid w:val="00B77658"/>
    <w:rsid w:val="00B80FC1"/>
    <w:rsid w:val="00B8695B"/>
    <w:rsid w:val="00B878F2"/>
    <w:rsid w:val="00B94C3A"/>
    <w:rsid w:val="00B9520E"/>
    <w:rsid w:val="00BA2837"/>
    <w:rsid w:val="00BA3510"/>
    <w:rsid w:val="00BC70DE"/>
    <w:rsid w:val="00BC7235"/>
    <w:rsid w:val="00BC7774"/>
    <w:rsid w:val="00BD046D"/>
    <w:rsid w:val="00BD0AC4"/>
    <w:rsid w:val="00BD2570"/>
    <w:rsid w:val="00BD2873"/>
    <w:rsid w:val="00BE29CB"/>
    <w:rsid w:val="00BE4218"/>
    <w:rsid w:val="00BE5D21"/>
    <w:rsid w:val="00BE7396"/>
    <w:rsid w:val="00BE73BD"/>
    <w:rsid w:val="00BF262A"/>
    <w:rsid w:val="00C07252"/>
    <w:rsid w:val="00C13A9D"/>
    <w:rsid w:val="00C14BFF"/>
    <w:rsid w:val="00C17042"/>
    <w:rsid w:val="00C22AF5"/>
    <w:rsid w:val="00C31113"/>
    <w:rsid w:val="00C31D4A"/>
    <w:rsid w:val="00C37106"/>
    <w:rsid w:val="00C43472"/>
    <w:rsid w:val="00C44361"/>
    <w:rsid w:val="00C470AD"/>
    <w:rsid w:val="00C4711B"/>
    <w:rsid w:val="00C47A6F"/>
    <w:rsid w:val="00C552FA"/>
    <w:rsid w:val="00C554F2"/>
    <w:rsid w:val="00C61E7F"/>
    <w:rsid w:val="00C6406D"/>
    <w:rsid w:val="00C651BE"/>
    <w:rsid w:val="00C66DD1"/>
    <w:rsid w:val="00C7258F"/>
    <w:rsid w:val="00C7361B"/>
    <w:rsid w:val="00C73A5E"/>
    <w:rsid w:val="00C84E43"/>
    <w:rsid w:val="00CA1A8A"/>
    <w:rsid w:val="00CA2D4A"/>
    <w:rsid w:val="00CB22BE"/>
    <w:rsid w:val="00CB2AC2"/>
    <w:rsid w:val="00CC4884"/>
    <w:rsid w:val="00CD05B3"/>
    <w:rsid w:val="00CD45B4"/>
    <w:rsid w:val="00CD4A96"/>
    <w:rsid w:val="00CD5587"/>
    <w:rsid w:val="00CE5671"/>
    <w:rsid w:val="00CF3288"/>
    <w:rsid w:val="00CF45FB"/>
    <w:rsid w:val="00D033D3"/>
    <w:rsid w:val="00D0784D"/>
    <w:rsid w:val="00D07A90"/>
    <w:rsid w:val="00D10AE0"/>
    <w:rsid w:val="00D130FB"/>
    <w:rsid w:val="00D13ACE"/>
    <w:rsid w:val="00D16E8C"/>
    <w:rsid w:val="00D17D06"/>
    <w:rsid w:val="00D2106F"/>
    <w:rsid w:val="00D2333A"/>
    <w:rsid w:val="00D233BA"/>
    <w:rsid w:val="00D3552A"/>
    <w:rsid w:val="00D3666C"/>
    <w:rsid w:val="00D3693C"/>
    <w:rsid w:val="00D36F24"/>
    <w:rsid w:val="00D4050B"/>
    <w:rsid w:val="00D41B18"/>
    <w:rsid w:val="00D433EA"/>
    <w:rsid w:val="00D43790"/>
    <w:rsid w:val="00D473F1"/>
    <w:rsid w:val="00D50F1A"/>
    <w:rsid w:val="00D551F4"/>
    <w:rsid w:val="00D61B87"/>
    <w:rsid w:val="00D660F3"/>
    <w:rsid w:val="00D67341"/>
    <w:rsid w:val="00D7108F"/>
    <w:rsid w:val="00D71752"/>
    <w:rsid w:val="00D71FCD"/>
    <w:rsid w:val="00D72729"/>
    <w:rsid w:val="00D734DB"/>
    <w:rsid w:val="00D82ABD"/>
    <w:rsid w:val="00D82E4C"/>
    <w:rsid w:val="00D91144"/>
    <w:rsid w:val="00D93CD8"/>
    <w:rsid w:val="00D96B14"/>
    <w:rsid w:val="00DA3E7A"/>
    <w:rsid w:val="00DB0C16"/>
    <w:rsid w:val="00DB1E14"/>
    <w:rsid w:val="00DB259E"/>
    <w:rsid w:val="00DB68F1"/>
    <w:rsid w:val="00DC62B2"/>
    <w:rsid w:val="00DD15DA"/>
    <w:rsid w:val="00DD2345"/>
    <w:rsid w:val="00DD5874"/>
    <w:rsid w:val="00DD73CE"/>
    <w:rsid w:val="00DE2F1B"/>
    <w:rsid w:val="00DE339E"/>
    <w:rsid w:val="00DE50B2"/>
    <w:rsid w:val="00DE73FF"/>
    <w:rsid w:val="00DF10EB"/>
    <w:rsid w:val="00DF1C33"/>
    <w:rsid w:val="00DF27CD"/>
    <w:rsid w:val="00DF4D68"/>
    <w:rsid w:val="00DF5C8A"/>
    <w:rsid w:val="00DF5D52"/>
    <w:rsid w:val="00DF6601"/>
    <w:rsid w:val="00E00DA3"/>
    <w:rsid w:val="00E02078"/>
    <w:rsid w:val="00E048D0"/>
    <w:rsid w:val="00E115A4"/>
    <w:rsid w:val="00E12217"/>
    <w:rsid w:val="00E208BF"/>
    <w:rsid w:val="00E21752"/>
    <w:rsid w:val="00E229C9"/>
    <w:rsid w:val="00E22BE5"/>
    <w:rsid w:val="00E22D4A"/>
    <w:rsid w:val="00E25890"/>
    <w:rsid w:val="00E263A2"/>
    <w:rsid w:val="00E31534"/>
    <w:rsid w:val="00E31E5B"/>
    <w:rsid w:val="00E337C8"/>
    <w:rsid w:val="00E43416"/>
    <w:rsid w:val="00E43C8E"/>
    <w:rsid w:val="00E43E8F"/>
    <w:rsid w:val="00E4416F"/>
    <w:rsid w:val="00E4509F"/>
    <w:rsid w:val="00E46767"/>
    <w:rsid w:val="00E52D7D"/>
    <w:rsid w:val="00E53E09"/>
    <w:rsid w:val="00E55B97"/>
    <w:rsid w:val="00E6296A"/>
    <w:rsid w:val="00E65EF7"/>
    <w:rsid w:val="00E671BD"/>
    <w:rsid w:val="00E7725C"/>
    <w:rsid w:val="00E82B7F"/>
    <w:rsid w:val="00E86D9F"/>
    <w:rsid w:val="00E9668B"/>
    <w:rsid w:val="00EA1E25"/>
    <w:rsid w:val="00EA4363"/>
    <w:rsid w:val="00EA52CC"/>
    <w:rsid w:val="00EB0043"/>
    <w:rsid w:val="00EB04D9"/>
    <w:rsid w:val="00EB1FD7"/>
    <w:rsid w:val="00EB2AC7"/>
    <w:rsid w:val="00EB3C83"/>
    <w:rsid w:val="00EC09A4"/>
    <w:rsid w:val="00EC37D2"/>
    <w:rsid w:val="00EC613E"/>
    <w:rsid w:val="00EC75EC"/>
    <w:rsid w:val="00EC78D4"/>
    <w:rsid w:val="00ED446B"/>
    <w:rsid w:val="00ED6995"/>
    <w:rsid w:val="00ED6D14"/>
    <w:rsid w:val="00EE53E9"/>
    <w:rsid w:val="00EF0D6C"/>
    <w:rsid w:val="00EF353B"/>
    <w:rsid w:val="00EF7187"/>
    <w:rsid w:val="00F00FDF"/>
    <w:rsid w:val="00F05820"/>
    <w:rsid w:val="00F07A28"/>
    <w:rsid w:val="00F27EFD"/>
    <w:rsid w:val="00F30B7E"/>
    <w:rsid w:val="00F33645"/>
    <w:rsid w:val="00F33F50"/>
    <w:rsid w:val="00F34757"/>
    <w:rsid w:val="00F34912"/>
    <w:rsid w:val="00F37833"/>
    <w:rsid w:val="00F41022"/>
    <w:rsid w:val="00F4206F"/>
    <w:rsid w:val="00F445F5"/>
    <w:rsid w:val="00F45EA8"/>
    <w:rsid w:val="00F4746A"/>
    <w:rsid w:val="00F50AA5"/>
    <w:rsid w:val="00F50C7B"/>
    <w:rsid w:val="00F514D2"/>
    <w:rsid w:val="00F54EA0"/>
    <w:rsid w:val="00F55792"/>
    <w:rsid w:val="00F57F9C"/>
    <w:rsid w:val="00F70189"/>
    <w:rsid w:val="00F7155F"/>
    <w:rsid w:val="00F7257C"/>
    <w:rsid w:val="00F734E5"/>
    <w:rsid w:val="00F803F0"/>
    <w:rsid w:val="00F80B59"/>
    <w:rsid w:val="00F80C34"/>
    <w:rsid w:val="00F84F57"/>
    <w:rsid w:val="00F86DD4"/>
    <w:rsid w:val="00F906EB"/>
    <w:rsid w:val="00F90751"/>
    <w:rsid w:val="00F94530"/>
    <w:rsid w:val="00F94832"/>
    <w:rsid w:val="00F969CC"/>
    <w:rsid w:val="00FA03C2"/>
    <w:rsid w:val="00FC1D5A"/>
    <w:rsid w:val="00FC49E0"/>
    <w:rsid w:val="00FC57AC"/>
    <w:rsid w:val="00FD2812"/>
    <w:rsid w:val="00FD33EB"/>
    <w:rsid w:val="00FD48B1"/>
    <w:rsid w:val="00FD5A3B"/>
    <w:rsid w:val="00FD7083"/>
    <w:rsid w:val="00FE6C1F"/>
    <w:rsid w:val="00FF0935"/>
    <w:rsid w:val="00FF24AC"/>
    <w:rsid w:val="00FF398F"/>
    <w:rsid w:val="00FF39D4"/>
    <w:rsid w:val="00FF41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460586"/>
    <w:pPr>
      <w:spacing w:after="140" w:line="280" w:lineRule="exact"/>
      <w:ind w:left="504"/>
      <w:jc w:val="both"/>
    </w:pPr>
    <w:rPr>
      <w:szCs w:val="24"/>
      <w:lang w:val="en-US" w:eastAsia="en-US"/>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numPr>
        <w:ilvl w:val="1"/>
        <w:numId w:val="17"/>
      </w:numPr>
    </w:pPr>
  </w:style>
  <w:style w:type="character" w:customStyle="1" w:styleId="Level1Char">
    <w:name w:val="Level 1 Char"/>
    <w:link w:val="Level1"/>
    <w:uiPriority w:val="3"/>
    <w:rsid w:val="005123B2"/>
    <w:rPr>
      <w:rFonts w:cs="Arial"/>
      <w:b/>
      <w:bCs/>
      <w:iCs/>
      <w:szCs w:val="28"/>
    </w:rPr>
  </w:style>
  <w:style w:type="paragraph" w:customStyle="1" w:styleId="Level2">
    <w:name w:val="Level 2"/>
    <w:basedOn w:val="Heading3"/>
    <w:link w:val="Level2Char"/>
    <w:uiPriority w:val="3"/>
    <w:qFormat/>
    <w:rsid w:val="005123B2"/>
    <w:pPr>
      <w:keepNext w:val="0"/>
      <w:numPr>
        <w:ilvl w:val="2"/>
        <w:numId w:val="17"/>
      </w:numPr>
    </w:pPr>
  </w:style>
  <w:style w:type="character" w:customStyle="1" w:styleId="Level2Char">
    <w:name w:val="Level 2 Char"/>
    <w:link w:val="Level2"/>
    <w:uiPriority w:val="3"/>
    <w:rsid w:val="005123B2"/>
    <w:rPr>
      <w:rFonts w:cs="Arial"/>
      <w:bCs/>
      <w:i/>
      <w:szCs w:val="26"/>
      <w:lang w:val="en-US" w:eastAsia="en-US"/>
    </w:rPr>
  </w:style>
  <w:style w:type="paragraph" w:customStyle="1" w:styleId="Level3">
    <w:name w:val="Level 3"/>
    <w:basedOn w:val="Heading4"/>
    <w:link w:val="Level3Char"/>
    <w:uiPriority w:val="3"/>
    <w:qFormat/>
    <w:rsid w:val="005123B2"/>
    <w:pPr>
      <w:keepNext w:val="0"/>
      <w:numPr>
        <w:ilvl w:val="3"/>
        <w:numId w:val="17"/>
      </w:numPr>
    </w:pPr>
  </w:style>
  <w:style w:type="paragraph" w:customStyle="1" w:styleId="Level5">
    <w:name w:val="Level 5"/>
    <w:basedOn w:val="Heading6"/>
    <w:uiPriority w:val="3"/>
    <w:qFormat/>
    <w:rsid w:val="005123B2"/>
    <w:pPr>
      <w:numPr>
        <w:ilvl w:val="5"/>
        <w:numId w:val="17"/>
      </w:numPr>
    </w:pPr>
  </w:style>
  <w:style w:type="paragraph" w:customStyle="1" w:styleId="Level4">
    <w:name w:val="Level 4"/>
    <w:basedOn w:val="Heading5"/>
    <w:uiPriority w:val="3"/>
    <w:qFormat/>
    <w:rsid w:val="005123B2"/>
    <w:pPr>
      <w:numPr>
        <w:ilvl w:val="4"/>
        <w:numId w:val="17"/>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ind w:left="0"/>
      <w:jc w:val="lef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ind w:left="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6"/>
      </w:numPr>
      <w:spacing w:line="240" w:lineRule="exact"/>
    </w:pPr>
    <w:rPr>
      <w:sz w:val="17"/>
      <w:lang w:val="fr-FR"/>
    </w:rPr>
  </w:style>
  <w:style w:type="paragraph" w:customStyle="1" w:styleId="Tableindex">
    <w:name w:val="Table index"/>
    <w:basedOn w:val="Normal"/>
    <w:uiPriority w:val="7"/>
    <w:rsid w:val="005123B2"/>
    <w:pPr>
      <w:numPr>
        <w:numId w:val="7"/>
      </w:numPr>
      <w:spacing w:line="240" w:lineRule="exact"/>
    </w:pPr>
    <w:rPr>
      <w:sz w:val="17"/>
      <w:lang w:val="fr-FR"/>
    </w:rPr>
  </w:style>
  <w:style w:type="paragraph" w:customStyle="1" w:styleId="Table1">
    <w:name w:val="Table 1"/>
    <w:basedOn w:val="Heading2"/>
    <w:link w:val="Table1Char"/>
    <w:uiPriority w:val="6"/>
    <w:rsid w:val="005123B2"/>
    <w:pPr>
      <w:keepNext w:val="0"/>
      <w:numPr>
        <w:numId w:val="10"/>
      </w:numPr>
      <w:spacing w:before="70" w:after="70"/>
      <w:jc w:val="left"/>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basedOn w:val="Normal"/>
    <w:uiPriority w:val="43"/>
    <w:semiHidden/>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954F60"/>
    <w:pPr>
      <w:numPr>
        <w:numId w:val="17"/>
      </w:numPr>
    </w:pPr>
  </w:style>
  <w:style w:type="paragraph" w:customStyle="1" w:styleId="Parties">
    <w:name w:val="Parties"/>
    <w:basedOn w:val="TITLE1"/>
    <w:link w:val="PartiesChar1"/>
    <w:uiPriority w:val="1"/>
    <w:qFormat/>
    <w:rsid w:val="005123B2"/>
    <w:pPr>
      <w:keepNext w:val="0"/>
      <w:numPr>
        <w:numId w:val="8"/>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5123B2"/>
    <w:pPr>
      <w:numPr>
        <w:numId w:val="9"/>
      </w:numPr>
      <w:ind w:left="567" w:hanging="567"/>
    </w:pPr>
  </w:style>
  <w:style w:type="character" w:customStyle="1" w:styleId="TITLE1Char">
    <w:name w:val="TITLE 1 Char"/>
    <w:link w:val="TITLE1"/>
    <w:rsid w:val="00E22D4A"/>
    <w:rPr>
      <w:rFonts w:ascii="Georgia" w:hAnsi="Georgia" w:cs="Arial"/>
      <w:bCs/>
      <w:caps/>
      <w:color w:val="590056"/>
      <w:kern w:val="32"/>
      <w:sz w:val="24"/>
      <w:szCs w:val="32"/>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5123B2"/>
    <w:rPr>
      <w:rFonts w:ascii="Georgia" w:hAnsi="Georgia" w:cs="Arial"/>
      <w:bCs/>
      <w:caps/>
      <w:color w:val="590056"/>
      <w:kern w:val="32"/>
      <w:sz w:val="24"/>
      <w:szCs w:val="32"/>
    </w:rPr>
  </w:style>
  <w:style w:type="character" w:customStyle="1" w:styleId="RecitalsChar">
    <w:name w:val="Recitals Char"/>
    <w:link w:val="Recitals"/>
    <w:uiPriority w:val="2"/>
    <w:rsid w:val="005123B2"/>
    <w:rPr>
      <w:rFonts w:ascii="Georgia" w:hAnsi="Georgia" w:cs="Arial"/>
      <w:bCs/>
      <w:caps/>
      <w:color w:val="590056"/>
      <w:kern w:val="32"/>
      <w:sz w:val="24"/>
      <w:szCs w:val="32"/>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szCs w:val="24"/>
      <w:lang w:val="en-US" w:eastAsia="en-US"/>
    </w:rPr>
  </w:style>
  <w:style w:type="character" w:customStyle="1" w:styleId="Bullet2Char">
    <w:name w:val="Bullet 2 Char"/>
    <w:link w:val="Bullet2"/>
    <w:uiPriority w:val="5"/>
    <w:rsid w:val="005123B2"/>
    <w:rPr>
      <w:szCs w:val="24"/>
      <w:lang w:val="en-US" w:eastAsia="en-US"/>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cs="Arial"/>
      <w:b/>
      <w:bCs/>
      <w:iCs/>
      <w:sz w:val="17"/>
      <w:szCs w:val="28"/>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uiPriority w:val="4"/>
    <w:qFormat/>
    <w:rsid w:val="000C3E61"/>
    <w:pPr>
      <w:numPr>
        <w:numId w:val="14"/>
      </w:numPr>
    </w:pPr>
  </w:style>
  <w:style w:type="paragraph" w:customStyle="1" w:styleId="Alpha2">
    <w:name w:val="Alpha 2"/>
    <w:basedOn w:val="Normal"/>
    <w:uiPriority w:val="4"/>
    <w:qFormat/>
    <w:rsid w:val="000C3E61"/>
    <w:pPr>
      <w:numPr>
        <w:ilvl w:val="1"/>
        <w:numId w:val="14"/>
      </w:numPr>
    </w:pPr>
  </w:style>
  <w:style w:type="paragraph" w:customStyle="1" w:styleId="Alpha3">
    <w:name w:val="Alpha 3"/>
    <w:basedOn w:val="ListBullet2"/>
    <w:uiPriority w:val="4"/>
    <w:qFormat/>
    <w:rsid w:val="000C3E61"/>
    <w:pPr>
      <w:numPr>
        <w:ilvl w:val="2"/>
        <w:numId w:val="14"/>
      </w:numPr>
    </w:pPr>
  </w:style>
  <w:style w:type="paragraph" w:customStyle="1" w:styleId="Schedule1">
    <w:name w:val="Schedule 1"/>
    <w:basedOn w:val="Level1"/>
    <w:link w:val="Schedule1Char"/>
    <w:uiPriority w:val="4"/>
    <w:qFormat/>
    <w:rsid w:val="00E31534"/>
    <w:pPr>
      <w:numPr>
        <w:ilvl w:val="0"/>
        <w:numId w:val="20"/>
      </w:numPr>
    </w:pPr>
  </w:style>
  <w:style w:type="paragraph" w:customStyle="1" w:styleId="Schedule2">
    <w:name w:val="Schedule 2"/>
    <w:basedOn w:val="Level2"/>
    <w:link w:val="Schedule2Char"/>
    <w:uiPriority w:val="4"/>
    <w:qFormat/>
    <w:rsid w:val="00E31534"/>
    <w:pPr>
      <w:numPr>
        <w:ilvl w:val="1"/>
        <w:numId w:val="20"/>
      </w:numPr>
    </w:pPr>
  </w:style>
  <w:style w:type="character" w:customStyle="1" w:styleId="Schedule1Char">
    <w:name w:val="Schedule 1 Char"/>
    <w:link w:val="Schedule1"/>
    <w:uiPriority w:val="4"/>
    <w:rsid w:val="00E31534"/>
    <w:rPr>
      <w:rFonts w:cs="Arial"/>
      <w:b/>
      <w:bCs/>
      <w:iCs/>
      <w:szCs w:val="28"/>
    </w:rPr>
  </w:style>
  <w:style w:type="paragraph" w:customStyle="1" w:styleId="Schedule3">
    <w:name w:val="Schedule 3"/>
    <w:basedOn w:val="Level3"/>
    <w:link w:val="Schedule3Char"/>
    <w:uiPriority w:val="4"/>
    <w:qFormat/>
    <w:rsid w:val="00E31534"/>
    <w:pPr>
      <w:numPr>
        <w:ilvl w:val="2"/>
        <w:numId w:val="20"/>
      </w:numPr>
    </w:pPr>
  </w:style>
  <w:style w:type="character" w:customStyle="1" w:styleId="Schedule2Char">
    <w:name w:val="Schedule 2 Char"/>
    <w:link w:val="Schedule2"/>
    <w:uiPriority w:val="4"/>
    <w:rsid w:val="00E31534"/>
    <w:rPr>
      <w:rFonts w:ascii="Georgia" w:hAnsi="Georgia" w:cs="Arial"/>
      <w:bCs/>
      <w:i/>
      <w:szCs w:val="26"/>
    </w:rPr>
  </w:style>
  <w:style w:type="character" w:customStyle="1" w:styleId="Level3Char">
    <w:name w:val="Level 3 Char"/>
    <w:link w:val="Level3"/>
    <w:uiPriority w:val="3"/>
    <w:rsid w:val="00E31534"/>
    <w:rPr>
      <w:rFonts w:ascii="Georgia" w:hAnsi="Georgia"/>
      <w:bCs/>
      <w:szCs w:val="28"/>
    </w:rPr>
  </w:style>
  <w:style w:type="character" w:customStyle="1" w:styleId="Schedule3Char">
    <w:name w:val="Schedule 3 Char"/>
    <w:link w:val="Schedule3"/>
    <w:uiPriority w:val="4"/>
    <w:rsid w:val="00E31534"/>
    <w:rPr>
      <w:rFonts w:ascii="Georgia" w:hAnsi="Georgia"/>
      <w:bCs/>
      <w:szCs w:val="28"/>
    </w:rPr>
  </w:style>
  <w:style w:type="numbering" w:customStyle="1" w:styleId="Style1">
    <w:name w:val="Style1"/>
    <w:uiPriority w:val="99"/>
    <w:rsid w:val="007A54A7"/>
    <w:pPr>
      <w:numPr>
        <w:numId w:val="19"/>
      </w:numPr>
    </w:pPr>
  </w:style>
  <w:style w:type="character" w:styleId="Hyperlink">
    <w:name w:val="Hyperlink"/>
    <w:uiPriority w:val="9"/>
    <w:semiHidden/>
    <w:rsid w:val="00D91144"/>
    <w:rPr>
      <w:color w:val="0563C1"/>
      <w:u w:val="single"/>
    </w:rPr>
  </w:style>
  <w:style w:type="character" w:styleId="UnresolvedMention">
    <w:name w:val="Unresolved Mention"/>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ind w:left="0"/>
      <w:jc w:val="left"/>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ind w:left="0"/>
      <w:jc w:val="left"/>
    </w:pPr>
    <w:rPr>
      <w:rFonts w:ascii="Times New Roman" w:hAnsi="Times New Roman"/>
      <w:sz w:val="24"/>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paragraph" w:styleId="FootnoteText">
    <w:name w:val="footnote text"/>
    <w:basedOn w:val="Normal"/>
    <w:link w:val="FootnoteTextChar"/>
    <w:uiPriority w:val="9"/>
    <w:semiHidden/>
    <w:rsid w:val="00C552FA"/>
    <w:pPr>
      <w:spacing w:after="0" w:line="240" w:lineRule="auto"/>
    </w:pPr>
    <w:rPr>
      <w:szCs w:val="20"/>
    </w:rPr>
  </w:style>
  <w:style w:type="character" w:customStyle="1" w:styleId="FootnoteTextChar">
    <w:name w:val="Footnote Text Char"/>
    <w:basedOn w:val="DefaultParagraphFont"/>
    <w:link w:val="FootnoteText"/>
    <w:uiPriority w:val="9"/>
    <w:semiHidden/>
    <w:rsid w:val="00C552FA"/>
    <w:rPr>
      <w:lang w:val="en-US" w:eastAsia="en-US"/>
    </w:rPr>
  </w:style>
  <w:style w:type="character" w:styleId="FootnoteReference">
    <w:name w:val="footnote reference"/>
    <w:basedOn w:val="DefaultParagraphFont"/>
    <w:uiPriority w:val="9"/>
    <w:semiHidden/>
    <w:rsid w:val="00C552FA"/>
    <w:rPr>
      <w:vertAlign w:val="superscript"/>
    </w:rPr>
  </w:style>
  <w:style w:type="paragraph" w:styleId="Revision">
    <w:name w:val="Revision"/>
    <w:hidden/>
    <w:uiPriority w:val="99"/>
    <w:semiHidden/>
    <w:rsid w:val="00B51ABF"/>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en/press/press-releases/2022/11/28/sanctions-council-adds-the-violation-of-restrictive-measures-to-the-list-of-eu-cri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ECE9-936F-443E-A414-6C6086EB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memorandumRO</Template>
  <TotalTime>3</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Filip &amp; Company</cp:lastModifiedBy>
  <cp:revision>2</cp:revision>
  <cp:lastPrinted>2009-02-04T14:07:00Z</cp:lastPrinted>
  <dcterms:created xsi:type="dcterms:W3CDTF">2023-03-09T08:01:00Z</dcterms:created>
  <dcterms:modified xsi:type="dcterms:W3CDTF">2023-03-09T08:01:00Z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ies>
</file>