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9262E" w14:textId="201D4A86" w:rsidR="00007355" w:rsidRPr="00674B5D" w:rsidRDefault="00007355" w:rsidP="00007355">
      <w:pPr>
        <w:pStyle w:val="Title"/>
        <w:spacing w:after="120" w:line="288" w:lineRule="auto"/>
        <w:jc w:val="center"/>
        <w:rPr>
          <w:rFonts w:eastAsia="Times New Roman"/>
          <w:b/>
          <w:spacing w:val="0"/>
          <w:sz w:val="24"/>
          <w:szCs w:val="24"/>
          <w:lang w:eastAsia="ro-RO"/>
        </w:rPr>
      </w:pPr>
      <w:r w:rsidRPr="00674B5D">
        <w:rPr>
          <w:rFonts w:eastAsia="Times New Roman"/>
          <w:b/>
          <w:spacing w:val="0"/>
          <w:sz w:val="24"/>
          <w:szCs w:val="24"/>
          <w:lang w:eastAsia="ro-RO"/>
        </w:rPr>
        <w:t>Notificarea de conformare în cazul inspecți</w:t>
      </w:r>
      <w:r>
        <w:rPr>
          <w:rFonts w:eastAsia="Times New Roman"/>
          <w:b/>
          <w:spacing w:val="0"/>
          <w:sz w:val="24"/>
          <w:szCs w:val="24"/>
          <w:lang w:eastAsia="ro-RO"/>
        </w:rPr>
        <w:t>ei sau verificării situației fiscale personale</w:t>
      </w:r>
      <w:r w:rsidR="00563A94">
        <w:rPr>
          <w:rFonts w:eastAsia="Times New Roman"/>
          <w:b/>
          <w:spacing w:val="0"/>
          <w:sz w:val="24"/>
          <w:szCs w:val="24"/>
          <w:lang w:eastAsia="ro-RO"/>
        </w:rPr>
        <w:t xml:space="preserve"> </w:t>
      </w:r>
      <w:r>
        <w:rPr>
          <w:rFonts w:eastAsia="Times New Roman"/>
          <w:b/>
          <w:spacing w:val="0"/>
          <w:sz w:val="24"/>
          <w:szCs w:val="24"/>
          <w:lang w:eastAsia="ro-RO"/>
        </w:rPr>
        <w:t>– în ce cazuri va fi transmisă și care sunt excepțiile?</w:t>
      </w:r>
    </w:p>
    <w:p w14:paraId="1D4AA488" w14:textId="77777777" w:rsidR="00007355" w:rsidRPr="00674B5D" w:rsidRDefault="00007355" w:rsidP="00007355">
      <w:pPr>
        <w:spacing w:after="120" w:line="288" w:lineRule="auto"/>
        <w:jc w:val="both"/>
        <w:rPr>
          <w:rFonts w:asciiTheme="majorHAnsi" w:eastAsia="Times New Roman" w:hAnsiTheme="majorHAnsi" w:cstheme="majorHAnsi"/>
          <w:lang w:val="ro-RO" w:eastAsia="ro-RO"/>
        </w:rPr>
      </w:pPr>
    </w:p>
    <w:p w14:paraId="5396A596" w14:textId="3D9E6426" w:rsidR="00007355" w:rsidRPr="00674B5D" w:rsidRDefault="00007355" w:rsidP="00007355">
      <w:pPr>
        <w:spacing w:after="120" w:line="288" w:lineRule="auto"/>
        <w:jc w:val="both"/>
        <w:rPr>
          <w:rFonts w:asciiTheme="majorHAnsi" w:eastAsia="Times New Roman" w:hAnsiTheme="majorHAnsi" w:cstheme="majorHAnsi"/>
          <w:i/>
          <w:lang w:val="ro-RO" w:eastAsia="ro-RO"/>
        </w:rPr>
      </w:pPr>
      <w:r w:rsidRPr="00674B5D">
        <w:rPr>
          <w:rFonts w:asciiTheme="majorHAnsi" w:eastAsia="Times New Roman" w:hAnsiTheme="majorHAnsi" w:cstheme="majorHAnsi"/>
          <w:i/>
          <w:lang w:val="ro-RO" w:eastAsia="ro-RO"/>
        </w:rPr>
        <w:t xml:space="preserve">Material de opinie de Bogdan </w:t>
      </w:r>
      <w:proofErr w:type="spellStart"/>
      <w:r w:rsidRPr="00674B5D">
        <w:rPr>
          <w:rFonts w:asciiTheme="majorHAnsi" w:eastAsia="Times New Roman" w:hAnsiTheme="majorHAnsi" w:cstheme="majorHAnsi"/>
          <w:i/>
          <w:lang w:val="ro-RO" w:eastAsia="ro-RO"/>
        </w:rPr>
        <w:t>Mărculeț</w:t>
      </w:r>
      <w:proofErr w:type="spellEnd"/>
      <w:r w:rsidRPr="00674B5D">
        <w:rPr>
          <w:rFonts w:asciiTheme="majorHAnsi" w:eastAsia="Times New Roman" w:hAnsiTheme="majorHAnsi" w:cstheme="majorHAnsi"/>
          <w:i/>
          <w:lang w:val="ro-RO" w:eastAsia="ro-RO"/>
        </w:rPr>
        <w:t xml:space="preserve">, Senior </w:t>
      </w:r>
      <w:proofErr w:type="spellStart"/>
      <w:r w:rsidRPr="00674B5D">
        <w:rPr>
          <w:rFonts w:asciiTheme="majorHAnsi" w:eastAsia="Times New Roman" w:hAnsiTheme="majorHAnsi" w:cstheme="majorHAnsi"/>
          <w:i/>
          <w:lang w:val="ro-RO" w:eastAsia="ro-RO"/>
        </w:rPr>
        <w:t>Managing</w:t>
      </w:r>
      <w:proofErr w:type="spellEnd"/>
      <w:r w:rsidRPr="00674B5D">
        <w:rPr>
          <w:rFonts w:asciiTheme="majorHAnsi" w:eastAsia="Times New Roman" w:hAnsiTheme="majorHAnsi" w:cstheme="majorHAnsi"/>
          <w:i/>
          <w:lang w:val="ro-RO" w:eastAsia="ro-RO"/>
        </w:rPr>
        <w:t xml:space="preserve"> </w:t>
      </w:r>
      <w:proofErr w:type="spellStart"/>
      <w:r w:rsidRPr="00674B5D">
        <w:rPr>
          <w:rFonts w:asciiTheme="majorHAnsi" w:eastAsia="Times New Roman" w:hAnsiTheme="majorHAnsi" w:cstheme="majorHAnsi"/>
          <w:i/>
          <w:lang w:val="ro-RO" w:eastAsia="ro-RO"/>
        </w:rPr>
        <w:t>Associate</w:t>
      </w:r>
      <w:proofErr w:type="spellEnd"/>
      <w:r w:rsidR="00563A94">
        <w:rPr>
          <w:rFonts w:asciiTheme="majorHAnsi" w:eastAsia="Times New Roman" w:hAnsiTheme="majorHAnsi" w:cstheme="majorHAnsi"/>
          <w:i/>
          <w:lang w:val="ro-RO" w:eastAsia="ro-RO"/>
        </w:rPr>
        <w:t>,</w:t>
      </w:r>
      <w:r w:rsidRPr="00674B5D">
        <w:rPr>
          <w:rFonts w:asciiTheme="majorHAnsi" w:eastAsia="Times New Roman" w:hAnsiTheme="majorHAnsi" w:cstheme="majorHAnsi"/>
          <w:i/>
          <w:lang w:val="ro-RO" w:eastAsia="ro-RO"/>
        </w:rPr>
        <w:t xml:space="preserve"> și Ștefan </w:t>
      </w:r>
      <w:proofErr w:type="spellStart"/>
      <w:r w:rsidRPr="00674B5D">
        <w:rPr>
          <w:rFonts w:asciiTheme="majorHAnsi" w:eastAsia="Times New Roman" w:hAnsiTheme="majorHAnsi" w:cstheme="majorHAnsi"/>
          <w:i/>
          <w:lang w:val="ro-RO" w:eastAsia="ro-RO"/>
        </w:rPr>
        <w:t>Mihărtescu</w:t>
      </w:r>
      <w:proofErr w:type="spellEnd"/>
      <w:r w:rsidRPr="00674B5D">
        <w:rPr>
          <w:rFonts w:asciiTheme="majorHAnsi" w:eastAsia="Times New Roman" w:hAnsiTheme="majorHAnsi" w:cstheme="majorHAnsi"/>
          <w:i/>
          <w:lang w:val="ro-RO" w:eastAsia="ro-RO"/>
        </w:rPr>
        <w:t xml:space="preserve">, </w:t>
      </w:r>
      <w:proofErr w:type="spellStart"/>
      <w:r w:rsidRPr="00674B5D">
        <w:rPr>
          <w:rFonts w:asciiTheme="majorHAnsi" w:eastAsia="Times New Roman" w:hAnsiTheme="majorHAnsi" w:cstheme="majorHAnsi"/>
          <w:i/>
          <w:lang w:val="ro-RO" w:eastAsia="ro-RO"/>
        </w:rPr>
        <w:t>Managing</w:t>
      </w:r>
      <w:proofErr w:type="spellEnd"/>
      <w:r w:rsidRPr="00674B5D">
        <w:rPr>
          <w:rFonts w:asciiTheme="majorHAnsi" w:eastAsia="Times New Roman" w:hAnsiTheme="majorHAnsi" w:cstheme="majorHAnsi"/>
          <w:i/>
          <w:lang w:val="ro-RO" w:eastAsia="ro-RO"/>
        </w:rPr>
        <w:t xml:space="preserve"> </w:t>
      </w:r>
      <w:proofErr w:type="spellStart"/>
      <w:r w:rsidRPr="00674B5D">
        <w:rPr>
          <w:rFonts w:asciiTheme="majorHAnsi" w:eastAsia="Times New Roman" w:hAnsiTheme="majorHAnsi" w:cstheme="majorHAnsi"/>
          <w:i/>
          <w:lang w:val="ro-RO" w:eastAsia="ro-RO"/>
        </w:rPr>
        <w:t>Associate</w:t>
      </w:r>
      <w:proofErr w:type="spellEnd"/>
      <w:r w:rsidRPr="00674B5D">
        <w:rPr>
          <w:rFonts w:asciiTheme="majorHAnsi" w:eastAsia="Times New Roman" w:hAnsiTheme="majorHAnsi" w:cstheme="majorHAnsi"/>
          <w:i/>
          <w:lang w:val="ro-RO" w:eastAsia="ro-RO"/>
        </w:rPr>
        <w:t>, Reff &amp; Asociații | Deloitte Legal</w:t>
      </w:r>
    </w:p>
    <w:p w14:paraId="555B3D76" w14:textId="77777777" w:rsidR="00007355" w:rsidRPr="00674B5D" w:rsidRDefault="00007355" w:rsidP="00007355">
      <w:pPr>
        <w:spacing w:after="120" w:line="288" w:lineRule="auto"/>
        <w:jc w:val="both"/>
        <w:rPr>
          <w:rFonts w:asciiTheme="majorHAnsi" w:eastAsia="Times New Roman" w:hAnsiTheme="majorHAnsi" w:cstheme="majorHAnsi"/>
          <w:lang w:val="ro-RO" w:eastAsia="ro-RO"/>
        </w:rPr>
      </w:pPr>
    </w:p>
    <w:p w14:paraId="2851CD22" w14:textId="77777777" w:rsidR="00007355" w:rsidRPr="006636B4" w:rsidRDefault="00007355" w:rsidP="00007355">
      <w:pPr>
        <w:spacing w:after="120" w:line="288" w:lineRule="auto"/>
        <w:jc w:val="both"/>
        <w:rPr>
          <w:rFonts w:asciiTheme="majorHAnsi" w:eastAsia="Times New Roman" w:hAnsiTheme="majorHAnsi" w:cstheme="majorHAnsi"/>
          <w:lang w:val="ro-RO" w:eastAsia="ro-RO"/>
        </w:rPr>
      </w:pPr>
      <w:r w:rsidRPr="006636B4">
        <w:rPr>
          <w:rFonts w:asciiTheme="majorHAnsi" w:eastAsia="Times New Roman" w:hAnsiTheme="majorHAnsi" w:cstheme="majorHAnsi"/>
          <w:lang w:val="ro-RO" w:eastAsia="ro-RO"/>
        </w:rPr>
        <w:t xml:space="preserve">Notificarea de conformare, reglementată prin OUG 188/2022 </w:t>
      </w:r>
      <w:r>
        <w:rPr>
          <w:rFonts w:asciiTheme="majorHAnsi" w:eastAsia="Times New Roman" w:hAnsiTheme="majorHAnsi" w:cstheme="majorHAnsi"/>
          <w:lang w:val="ro-RO" w:eastAsia="ro-RO"/>
        </w:rPr>
        <w:t>prin care au fost aduse modificări</w:t>
      </w:r>
      <w:r w:rsidRPr="006636B4">
        <w:rPr>
          <w:rFonts w:asciiTheme="majorHAnsi" w:eastAsia="Times New Roman" w:hAnsiTheme="majorHAnsi" w:cstheme="majorHAnsi"/>
          <w:lang w:val="ro-RO" w:eastAsia="ro-RO"/>
        </w:rPr>
        <w:t xml:space="preserve"> Codului de procedură fiscală, reprezintă un pas important în vederea încurajării conformării voluntare la plata </w:t>
      </w:r>
      <w:r>
        <w:rPr>
          <w:rFonts w:asciiTheme="majorHAnsi" w:eastAsia="Times New Roman" w:hAnsiTheme="majorHAnsi" w:cstheme="majorHAnsi"/>
          <w:lang w:val="ro-RO" w:eastAsia="ro-RO"/>
        </w:rPr>
        <w:t xml:space="preserve">impozitelor și </w:t>
      </w:r>
      <w:r w:rsidRPr="006636B4">
        <w:rPr>
          <w:rFonts w:asciiTheme="majorHAnsi" w:eastAsia="Times New Roman" w:hAnsiTheme="majorHAnsi" w:cstheme="majorHAnsi"/>
          <w:lang w:val="ro-RO" w:eastAsia="ro-RO"/>
        </w:rPr>
        <w:t>taxelor</w:t>
      </w:r>
      <w:r>
        <w:rPr>
          <w:rFonts w:asciiTheme="majorHAnsi" w:eastAsia="Times New Roman" w:hAnsiTheme="majorHAnsi" w:cstheme="majorHAnsi"/>
          <w:lang w:val="ro-RO" w:eastAsia="ro-RO"/>
        </w:rPr>
        <w:t>. A</w:t>
      </w:r>
      <w:r w:rsidRPr="006636B4">
        <w:rPr>
          <w:rFonts w:asciiTheme="majorHAnsi" w:eastAsia="Times New Roman" w:hAnsiTheme="majorHAnsi" w:cstheme="majorHAnsi"/>
          <w:lang w:val="ro-RO" w:eastAsia="ro-RO"/>
        </w:rPr>
        <w:t xml:space="preserve">utoritățile au </w:t>
      </w:r>
      <w:r>
        <w:rPr>
          <w:rFonts w:asciiTheme="majorHAnsi" w:eastAsia="Times New Roman" w:hAnsiTheme="majorHAnsi" w:cstheme="majorHAnsi"/>
          <w:lang w:val="ro-RO" w:eastAsia="ro-RO"/>
        </w:rPr>
        <w:t>propus, recent, și legislația secundară necesară</w:t>
      </w:r>
      <w:r w:rsidRPr="006636B4">
        <w:rPr>
          <w:rFonts w:asciiTheme="majorHAnsi" w:eastAsia="Times New Roman" w:hAnsiTheme="majorHAnsi" w:cstheme="majorHAnsi"/>
          <w:lang w:val="ro-RO" w:eastAsia="ro-RO"/>
        </w:rPr>
        <w:t>, care detaliază situațiile în care contribuabilii pot primi o astfel de notificare, dar mai ales excepțiil</w:t>
      </w:r>
      <w:r>
        <w:rPr>
          <w:rFonts w:asciiTheme="majorHAnsi" w:eastAsia="Times New Roman" w:hAnsiTheme="majorHAnsi" w:cstheme="majorHAnsi"/>
          <w:lang w:val="ro-RO" w:eastAsia="ro-RO"/>
        </w:rPr>
        <w:t xml:space="preserve">e, respectiv cazurile în care organele fiscale pot demara inspecția sau verificarea situației fiscale personale chiar dacă nu au emis, în prealabil, o notificare de conformare. </w:t>
      </w:r>
    </w:p>
    <w:p w14:paraId="65374F17" w14:textId="602DE867" w:rsidR="00007355" w:rsidRPr="006636B4" w:rsidRDefault="00007355" w:rsidP="00007355">
      <w:pPr>
        <w:spacing w:after="120" w:line="288" w:lineRule="auto"/>
        <w:jc w:val="both"/>
        <w:rPr>
          <w:rFonts w:asciiTheme="majorHAnsi" w:eastAsia="Times New Roman" w:hAnsiTheme="majorHAnsi" w:cstheme="majorHAnsi"/>
          <w:lang w:val="ro-RO" w:eastAsia="ro-RO"/>
        </w:rPr>
      </w:pPr>
      <w:r>
        <w:rPr>
          <w:rFonts w:asciiTheme="majorHAnsi" w:eastAsia="Times New Roman" w:hAnsiTheme="majorHAnsi" w:cstheme="majorHAnsi"/>
          <w:lang w:val="ro-RO" w:eastAsia="ro-RO"/>
        </w:rPr>
        <w:t xml:space="preserve">Conform legislației adoptate la finalul anului trecut, </w:t>
      </w:r>
      <w:r w:rsidRPr="006636B4">
        <w:rPr>
          <w:rFonts w:asciiTheme="majorHAnsi" w:eastAsia="Times New Roman" w:hAnsiTheme="majorHAnsi" w:cstheme="majorHAnsi"/>
          <w:lang w:val="ro-RO" w:eastAsia="ro-RO"/>
        </w:rPr>
        <w:t>notific</w:t>
      </w:r>
      <w:r>
        <w:rPr>
          <w:rFonts w:asciiTheme="majorHAnsi" w:eastAsia="Times New Roman" w:hAnsiTheme="majorHAnsi" w:cstheme="majorHAnsi"/>
          <w:lang w:val="ro-RO" w:eastAsia="ro-RO"/>
        </w:rPr>
        <w:t xml:space="preserve">area va fi transmisă contribuabililor </w:t>
      </w:r>
      <w:r w:rsidRPr="006636B4">
        <w:rPr>
          <w:rFonts w:asciiTheme="majorHAnsi" w:eastAsia="Times New Roman" w:hAnsiTheme="majorHAnsi" w:cstheme="majorHAnsi"/>
          <w:lang w:val="ro-RO" w:eastAsia="ro-RO"/>
        </w:rPr>
        <w:t>anterior selectării acestora pentru inspecția fiscală sau verificarea situației fiscale personale</w:t>
      </w:r>
      <w:r>
        <w:rPr>
          <w:rFonts w:asciiTheme="majorHAnsi" w:eastAsia="Times New Roman" w:hAnsiTheme="majorHAnsi" w:cstheme="majorHAnsi"/>
          <w:lang w:val="ro-RO" w:eastAsia="ro-RO"/>
        </w:rPr>
        <w:t xml:space="preserve"> și va </w:t>
      </w:r>
      <w:r w:rsidRPr="006636B4">
        <w:rPr>
          <w:rFonts w:asciiTheme="majorHAnsi" w:eastAsia="Times New Roman" w:hAnsiTheme="majorHAnsi" w:cstheme="majorHAnsi"/>
          <w:lang w:val="ro-RO" w:eastAsia="ro-RO"/>
        </w:rPr>
        <w:t>cuprinde riscurile fiscale identificate la contribuabil</w:t>
      </w:r>
      <w:r>
        <w:rPr>
          <w:rFonts w:asciiTheme="majorHAnsi" w:eastAsia="Times New Roman" w:hAnsiTheme="majorHAnsi" w:cstheme="majorHAnsi"/>
          <w:lang w:val="ro-RO" w:eastAsia="ro-RO"/>
        </w:rPr>
        <w:t xml:space="preserve">, astfel încât acesta să aibă </w:t>
      </w:r>
      <w:r w:rsidRPr="006636B4">
        <w:rPr>
          <w:rFonts w:asciiTheme="majorHAnsi" w:eastAsia="Times New Roman" w:hAnsiTheme="majorHAnsi" w:cstheme="majorHAnsi"/>
          <w:lang w:val="ro-RO" w:eastAsia="ro-RO"/>
        </w:rPr>
        <w:t>posibilit</w:t>
      </w:r>
      <w:r>
        <w:rPr>
          <w:rFonts w:asciiTheme="majorHAnsi" w:eastAsia="Times New Roman" w:hAnsiTheme="majorHAnsi" w:cstheme="majorHAnsi"/>
          <w:lang w:val="ro-RO" w:eastAsia="ro-RO"/>
        </w:rPr>
        <w:t xml:space="preserve">atea să își </w:t>
      </w:r>
      <w:r w:rsidRPr="006636B4">
        <w:rPr>
          <w:rFonts w:asciiTheme="majorHAnsi" w:eastAsia="Times New Roman" w:hAnsiTheme="majorHAnsi" w:cstheme="majorHAnsi"/>
          <w:lang w:val="ro-RO" w:eastAsia="ro-RO"/>
        </w:rPr>
        <w:t>reanaliz</w:t>
      </w:r>
      <w:r>
        <w:rPr>
          <w:rFonts w:asciiTheme="majorHAnsi" w:eastAsia="Times New Roman" w:hAnsiTheme="majorHAnsi" w:cstheme="majorHAnsi"/>
          <w:lang w:val="ro-RO" w:eastAsia="ro-RO"/>
        </w:rPr>
        <w:t>eze</w:t>
      </w:r>
      <w:r w:rsidRPr="006636B4">
        <w:rPr>
          <w:rFonts w:asciiTheme="majorHAnsi" w:eastAsia="Times New Roman" w:hAnsiTheme="majorHAnsi" w:cstheme="majorHAnsi"/>
          <w:lang w:val="ro-RO" w:eastAsia="ro-RO"/>
        </w:rPr>
        <w:t xml:space="preserve"> și </w:t>
      </w:r>
      <w:r>
        <w:rPr>
          <w:rFonts w:asciiTheme="majorHAnsi" w:eastAsia="Times New Roman" w:hAnsiTheme="majorHAnsi" w:cstheme="majorHAnsi"/>
          <w:lang w:val="ro-RO" w:eastAsia="ro-RO"/>
        </w:rPr>
        <w:t xml:space="preserve">să își </w:t>
      </w:r>
      <w:r w:rsidRPr="006636B4">
        <w:rPr>
          <w:rFonts w:asciiTheme="majorHAnsi" w:eastAsia="Times New Roman" w:hAnsiTheme="majorHAnsi" w:cstheme="majorHAnsi"/>
          <w:lang w:val="ro-RO" w:eastAsia="ro-RO"/>
        </w:rPr>
        <w:t>corect</w:t>
      </w:r>
      <w:r>
        <w:rPr>
          <w:rFonts w:asciiTheme="majorHAnsi" w:eastAsia="Times New Roman" w:hAnsiTheme="majorHAnsi" w:cstheme="majorHAnsi"/>
          <w:lang w:val="ro-RO" w:eastAsia="ro-RO"/>
        </w:rPr>
        <w:t>eze</w:t>
      </w:r>
      <w:r w:rsidRPr="006636B4">
        <w:rPr>
          <w:rFonts w:asciiTheme="majorHAnsi" w:eastAsia="Times New Roman" w:hAnsiTheme="majorHAnsi" w:cstheme="majorHAnsi"/>
          <w:lang w:val="ro-RO" w:eastAsia="ro-RO"/>
        </w:rPr>
        <w:t xml:space="preserve"> situați</w:t>
      </w:r>
      <w:r>
        <w:rPr>
          <w:rFonts w:asciiTheme="majorHAnsi" w:eastAsia="Times New Roman" w:hAnsiTheme="majorHAnsi" w:cstheme="majorHAnsi"/>
          <w:lang w:val="ro-RO" w:eastAsia="ro-RO"/>
        </w:rPr>
        <w:t>a</w:t>
      </w:r>
      <w:r w:rsidRPr="006636B4">
        <w:rPr>
          <w:rFonts w:asciiTheme="majorHAnsi" w:eastAsia="Times New Roman" w:hAnsiTheme="majorHAnsi" w:cstheme="majorHAnsi"/>
          <w:lang w:val="ro-RO" w:eastAsia="ro-RO"/>
        </w:rPr>
        <w:t xml:space="preserve"> fiscal</w:t>
      </w:r>
      <w:r>
        <w:rPr>
          <w:rFonts w:asciiTheme="majorHAnsi" w:eastAsia="Times New Roman" w:hAnsiTheme="majorHAnsi" w:cstheme="majorHAnsi"/>
          <w:lang w:val="ro-RO" w:eastAsia="ro-RO"/>
        </w:rPr>
        <w:t>ă</w:t>
      </w:r>
      <w:r w:rsidRPr="006636B4">
        <w:rPr>
          <w:rFonts w:asciiTheme="majorHAnsi" w:eastAsia="Times New Roman" w:hAnsiTheme="majorHAnsi" w:cstheme="majorHAnsi"/>
          <w:lang w:val="ro-RO" w:eastAsia="ro-RO"/>
        </w:rPr>
        <w:t>, în termen de 30 de zile de la data comunicării</w:t>
      </w:r>
      <w:r>
        <w:rPr>
          <w:rFonts w:asciiTheme="majorHAnsi" w:eastAsia="Times New Roman" w:hAnsiTheme="majorHAnsi" w:cstheme="majorHAnsi"/>
          <w:lang w:val="ro-RO" w:eastAsia="ro-RO"/>
        </w:rPr>
        <w:t>.</w:t>
      </w:r>
      <w:r w:rsidRPr="006636B4">
        <w:rPr>
          <w:rFonts w:asciiTheme="majorHAnsi" w:eastAsia="Times New Roman" w:hAnsiTheme="majorHAnsi" w:cstheme="majorHAnsi"/>
          <w:lang w:val="ro-RO" w:eastAsia="ro-RO"/>
        </w:rPr>
        <w:t xml:space="preserve"> În cadrul acestui termen, </w:t>
      </w:r>
      <w:r>
        <w:rPr>
          <w:rFonts w:asciiTheme="majorHAnsi" w:eastAsia="Times New Roman" w:hAnsiTheme="majorHAnsi" w:cstheme="majorHAnsi"/>
          <w:lang w:val="ro-RO" w:eastAsia="ro-RO"/>
        </w:rPr>
        <w:t xml:space="preserve">contribuabilul poate fi sigur că nu va fi selectat pentru control. </w:t>
      </w:r>
      <w:r w:rsidRPr="006636B4">
        <w:rPr>
          <w:rFonts w:asciiTheme="majorHAnsi" w:eastAsia="Times New Roman" w:hAnsiTheme="majorHAnsi" w:cstheme="majorHAnsi"/>
          <w:lang w:val="ro-RO" w:eastAsia="ro-RO"/>
        </w:rPr>
        <w:t xml:space="preserve">După </w:t>
      </w:r>
      <w:r>
        <w:rPr>
          <w:rFonts w:asciiTheme="majorHAnsi" w:eastAsia="Times New Roman" w:hAnsiTheme="majorHAnsi" w:cstheme="majorHAnsi"/>
          <w:lang w:val="ro-RO" w:eastAsia="ro-RO"/>
        </w:rPr>
        <w:t xml:space="preserve">cele </w:t>
      </w:r>
      <w:r w:rsidRPr="006636B4">
        <w:rPr>
          <w:rFonts w:asciiTheme="majorHAnsi" w:eastAsia="Times New Roman" w:hAnsiTheme="majorHAnsi" w:cstheme="majorHAnsi"/>
          <w:lang w:val="ro-RO" w:eastAsia="ro-RO"/>
        </w:rPr>
        <w:t xml:space="preserve">30 de zile, </w:t>
      </w:r>
      <w:r>
        <w:rPr>
          <w:rFonts w:asciiTheme="majorHAnsi" w:eastAsia="Times New Roman" w:hAnsiTheme="majorHAnsi" w:cstheme="majorHAnsi"/>
          <w:lang w:val="ro-RO" w:eastAsia="ro-RO"/>
        </w:rPr>
        <w:t xml:space="preserve">dacă </w:t>
      </w:r>
      <w:r w:rsidRPr="006636B4">
        <w:rPr>
          <w:rFonts w:asciiTheme="majorHAnsi" w:eastAsia="Times New Roman" w:hAnsiTheme="majorHAnsi" w:cstheme="majorHAnsi"/>
          <w:lang w:val="ro-RO" w:eastAsia="ro-RO"/>
        </w:rPr>
        <w:t xml:space="preserve">riscurile fiscale </w:t>
      </w:r>
      <w:r>
        <w:rPr>
          <w:rFonts w:asciiTheme="majorHAnsi" w:eastAsia="Times New Roman" w:hAnsiTheme="majorHAnsi" w:cstheme="majorHAnsi"/>
          <w:lang w:val="ro-RO" w:eastAsia="ro-RO"/>
        </w:rPr>
        <w:t>menționate</w:t>
      </w:r>
      <w:r w:rsidRPr="006636B4">
        <w:rPr>
          <w:rFonts w:asciiTheme="majorHAnsi" w:eastAsia="Times New Roman" w:hAnsiTheme="majorHAnsi" w:cstheme="majorHAnsi"/>
          <w:lang w:val="ro-RO" w:eastAsia="ro-RO"/>
        </w:rPr>
        <w:t xml:space="preserve"> </w:t>
      </w:r>
      <w:r>
        <w:rPr>
          <w:rFonts w:asciiTheme="majorHAnsi" w:eastAsia="Times New Roman" w:hAnsiTheme="majorHAnsi" w:cstheme="majorHAnsi"/>
          <w:lang w:val="ro-RO" w:eastAsia="ro-RO"/>
        </w:rPr>
        <w:t xml:space="preserve">în notificare </w:t>
      </w:r>
      <w:r w:rsidRPr="006636B4">
        <w:rPr>
          <w:rFonts w:asciiTheme="majorHAnsi" w:eastAsia="Times New Roman" w:hAnsiTheme="majorHAnsi" w:cstheme="majorHAnsi"/>
          <w:lang w:val="ro-RO" w:eastAsia="ro-RO"/>
        </w:rPr>
        <w:t xml:space="preserve">se mențin, organul fiscal va putea </w:t>
      </w:r>
      <w:r>
        <w:rPr>
          <w:rFonts w:asciiTheme="majorHAnsi" w:eastAsia="Times New Roman" w:hAnsiTheme="majorHAnsi" w:cstheme="majorHAnsi"/>
          <w:lang w:val="ro-RO" w:eastAsia="ro-RO"/>
        </w:rPr>
        <w:t>demara</w:t>
      </w:r>
      <w:r w:rsidRPr="006636B4">
        <w:rPr>
          <w:rFonts w:asciiTheme="majorHAnsi" w:eastAsia="Times New Roman" w:hAnsiTheme="majorHAnsi" w:cstheme="majorHAnsi"/>
          <w:lang w:val="ro-RO" w:eastAsia="ro-RO"/>
        </w:rPr>
        <w:t xml:space="preserve"> inspecția fiscală</w:t>
      </w:r>
      <w:r w:rsidRPr="00674B5D">
        <w:rPr>
          <w:rFonts w:asciiTheme="majorHAnsi" w:eastAsia="Times New Roman" w:hAnsiTheme="majorHAnsi" w:cstheme="majorHAnsi"/>
          <w:lang w:val="ro-RO" w:eastAsia="ro-RO"/>
        </w:rPr>
        <w:t xml:space="preserve"> </w:t>
      </w:r>
      <w:r>
        <w:rPr>
          <w:rFonts w:asciiTheme="majorHAnsi" w:eastAsia="Times New Roman" w:hAnsiTheme="majorHAnsi" w:cstheme="majorHAnsi"/>
          <w:lang w:val="ro-RO" w:eastAsia="ro-RO"/>
        </w:rPr>
        <w:t>sau</w:t>
      </w:r>
      <w:r w:rsidRPr="00674B5D">
        <w:rPr>
          <w:rFonts w:asciiTheme="majorHAnsi" w:eastAsia="Times New Roman" w:hAnsiTheme="majorHAnsi" w:cstheme="majorHAnsi"/>
          <w:lang w:val="ro-RO" w:eastAsia="ro-RO"/>
        </w:rPr>
        <w:t xml:space="preserve"> verificarea situației fiscale personale</w:t>
      </w:r>
      <w:r w:rsidRPr="006636B4">
        <w:rPr>
          <w:rFonts w:asciiTheme="majorHAnsi" w:eastAsia="Times New Roman" w:hAnsiTheme="majorHAnsi" w:cstheme="majorHAnsi"/>
          <w:lang w:val="ro-RO" w:eastAsia="ro-RO"/>
        </w:rPr>
        <w:t xml:space="preserve">. </w:t>
      </w:r>
      <w:r>
        <w:rPr>
          <w:rFonts w:asciiTheme="majorHAnsi" w:eastAsia="Times New Roman" w:hAnsiTheme="majorHAnsi" w:cstheme="majorHAnsi"/>
          <w:lang w:val="ro-RO" w:eastAsia="ro-RO"/>
        </w:rPr>
        <w:t>C</w:t>
      </w:r>
      <w:r w:rsidRPr="006636B4">
        <w:rPr>
          <w:rFonts w:asciiTheme="majorHAnsi" w:eastAsia="Times New Roman" w:hAnsiTheme="majorHAnsi" w:cstheme="majorHAnsi"/>
          <w:lang w:val="ro-RO" w:eastAsia="ro-RO"/>
        </w:rPr>
        <w:t>ontribuabili</w:t>
      </w:r>
      <w:r>
        <w:rPr>
          <w:rFonts w:asciiTheme="majorHAnsi" w:eastAsia="Times New Roman" w:hAnsiTheme="majorHAnsi" w:cstheme="majorHAnsi"/>
          <w:lang w:val="ro-RO" w:eastAsia="ro-RO"/>
        </w:rPr>
        <w:t>i</w:t>
      </w:r>
      <w:r w:rsidRPr="006636B4">
        <w:rPr>
          <w:rFonts w:asciiTheme="majorHAnsi" w:eastAsia="Times New Roman" w:hAnsiTheme="majorHAnsi" w:cstheme="majorHAnsi"/>
          <w:lang w:val="ro-RO" w:eastAsia="ro-RO"/>
        </w:rPr>
        <w:t xml:space="preserve"> cu risc fiscal ridicat</w:t>
      </w:r>
      <w:r>
        <w:rPr>
          <w:rFonts w:asciiTheme="majorHAnsi" w:eastAsia="Times New Roman" w:hAnsiTheme="majorHAnsi" w:cstheme="majorHAnsi"/>
          <w:lang w:val="ro-RO" w:eastAsia="ro-RO"/>
        </w:rPr>
        <w:t>,</w:t>
      </w:r>
      <w:r w:rsidRPr="006636B4">
        <w:rPr>
          <w:rFonts w:asciiTheme="majorHAnsi" w:eastAsia="Times New Roman" w:hAnsiTheme="majorHAnsi" w:cstheme="majorHAnsi"/>
          <w:lang w:val="ro-RO" w:eastAsia="ro-RO"/>
        </w:rPr>
        <w:t xml:space="preserve"> care nu au remediat </w:t>
      </w:r>
      <w:proofErr w:type="spellStart"/>
      <w:r w:rsidRPr="0020336F">
        <w:rPr>
          <w:rFonts w:asciiTheme="majorHAnsi" w:eastAsia="Times New Roman" w:hAnsiTheme="majorHAnsi" w:cstheme="majorHAnsi"/>
          <w:lang w:eastAsia="ro-RO"/>
        </w:rPr>
        <w:t>riscurile</w:t>
      </w:r>
      <w:proofErr w:type="spellEnd"/>
      <w:r w:rsidRPr="006636B4">
        <w:rPr>
          <w:rFonts w:asciiTheme="majorHAnsi" w:eastAsia="Times New Roman" w:hAnsiTheme="majorHAnsi" w:cstheme="majorHAnsi"/>
          <w:lang w:val="ro-RO" w:eastAsia="ro-RO"/>
        </w:rPr>
        <w:t xml:space="preserve"> fiscale pentru care au fost notificați, sunt supuși obligatoriu fie unei inspecții fiscale/verificări a situației fiscale personale, fie unei verificări documentare. </w:t>
      </w:r>
    </w:p>
    <w:p w14:paraId="15E218F9" w14:textId="5C399DC5" w:rsidR="00007355" w:rsidRPr="00674B5D" w:rsidRDefault="00007355" w:rsidP="00007355">
      <w:pPr>
        <w:spacing w:after="120" w:line="288" w:lineRule="auto"/>
        <w:jc w:val="both"/>
        <w:rPr>
          <w:rFonts w:asciiTheme="majorHAnsi" w:eastAsia="Times New Roman" w:hAnsiTheme="majorHAnsi" w:cstheme="majorHAnsi"/>
          <w:lang w:val="ro-RO" w:eastAsia="ro-RO"/>
        </w:rPr>
      </w:pPr>
      <w:r>
        <w:rPr>
          <w:rFonts w:asciiTheme="majorHAnsi" w:eastAsia="Times New Roman" w:hAnsiTheme="majorHAnsi" w:cstheme="majorHAnsi"/>
          <w:lang w:val="ro-RO" w:eastAsia="ro-RO"/>
        </w:rPr>
        <w:t>D</w:t>
      </w:r>
      <w:r w:rsidRPr="00674B5D">
        <w:rPr>
          <w:rFonts w:asciiTheme="majorHAnsi" w:eastAsia="Times New Roman" w:hAnsiTheme="majorHAnsi" w:cstheme="majorHAnsi"/>
          <w:lang w:val="ro-RO" w:eastAsia="ro-RO"/>
        </w:rPr>
        <w:t>enumirea acestei noi</w:t>
      </w:r>
      <w:r>
        <w:rPr>
          <w:rFonts w:asciiTheme="majorHAnsi" w:eastAsia="Times New Roman" w:hAnsiTheme="majorHAnsi" w:cstheme="majorHAnsi"/>
          <w:lang w:val="ro-RO" w:eastAsia="ro-RO"/>
        </w:rPr>
        <w:t xml:space="preserve"> proceduri, în sine, indică </w:t>
      </w:r>
      <w:r w:rsidRPr="00674B5D">
        <w:rPr>
          <w:rFonts w:asciiTheme="majorHAnsi" w:eastAsia="Times New Roman" w:hAnsiTheme="majorHAnsi" w:cstheme="majorHAnsi"/>
          <w:lang w:val="ro-RO" w:eastAsia="ro-RO"/>
        </w:rPr>
        <w:t>o încercare de schimbare de paradigmă – dacă</w:t>
      </w:r>
      <w:r w:rsidR="00563A94">
        <w:rPr>
          <w:rFonts w:asciiTheme="majorHAnsi" w:eastAsia="Times New Roman" w:hAnsiTheme="majorHAnsi" w:cstheme="majorHAnsi"/>
          <w:lang w:val="ro-RO" w:eastAsia="ro-RO"/>
        </w:rPr>
        <w:t>,</w:t>
      </w:r>
      <w:r w:rsidRPr="00674B5D">
        <w:rPr>
          <w:rFonts w:asciiTheme="majorHAnsi" w:eastAsia="Times New Roman" w:hAnsiTheme="majorHAnsi" w:cstheme="majorHAnsi"/>
          <w:lang w:val="ro-RO" w:eastAsia="ro-RO"/>
        </w:rPr>
        <w:t xml:space="preserve"> înainte de OUG 188</w:t>
      </w:r>
      <w:r w:rsidR="00563A94">
        <w:rPr>
          <w:rFonts w:asciiTheme="majorHAnsi" w:eastAsia="Times New Roman" w:hAnsiTheme="majorHAnsi" w:cstheme="majorHAnsi"/>
          <w:lang w:val="ro-RO" w:eastAsia="ro-RO"/>
        </w:rPr>
        <w:t>,</w:t>
      </w:r>
      <w:r w:rsidRPr="00674B5D">
        <w:rPr>
          <w:rFonts w:asciiTheme="majorHAnsi" w:eastAsia="Times New Roman" w:hAnsiTheme="majorHAnsi" w:cstheme="majorHAnsi"/>
          <w:lang w:val="ro-RO" w:eastAsia="ro-RO"/>
        </w:rPr>
        <w:t xml:space="preserve"> contribuabilul selectat pentru inspecție </w:t>
      </w:r>
      <w:r>
        <w:rPr>
          <w:rFonts w:asciiTheme="majorHAnsi" w:eastAsia="Times New Roman" w:hAnsiTheme="majorHAnsi" w:cstheme="majorHAnsi"/>
          <w:lang w:val="ro-RO" w:eastAsia="ro-RO"/>
        </w:rPr>
        <w:t>sau</w:t>
      </w:r>
      <w:r w:rsidRPr="00674B5D">
        <w:rPr>
          <w:rFonts w:asciiTheme="majorHAnsi" w:eastAsia="Times New Roman" w:hAnsiTheme="majorHAnsi" w:cstheme="majorHAnsi"/>
          <w:lang w:val="ro-RO" w:eastAsia="ro-RO"/>
        </w:rPr>
        <w:t xml:space="preserve"> verificarea situației fiscale personale nu avea posibilitatea </w:t>
      </w:r>
      <w:r>
        <w:rPr>
          <w:rFonts w:asciiTheme="majorHAnsi" w:eastAsia="Times New Roman" w:hAnsiTheme="majorHAnsi" w:cstheme="majorHAnsi"/>
          <w:lang w:val="ro-RO" w:eastAsia="ro-RO"/>
        </w:rPr>
        <w:t xml:space="preserve">să lămurească aspectele neclare, în prealabil, și să evite, astfel, declanșarea </w:t>
      </w:r>
      <w:r w:rsidRPr="00E24C89">
        <w:rPr>
          <w:rFonts w:asciiTheme="majorHAnsi" w:eastAsia="Times New Roman" w:hAnsiTheme="majorHAnsi" w:cstheme="majorHAnsi"/>
          <w:lang w:val="ro-RO" w:eastAsia="ro-RO"/>
        </w:rPr>
        <w:t>controlului</w:t>
      </w:r>
      <w:r>
        <w:rPr>
          <w:rFonts w:asciiTheme="majorHAnsi" w:eastAsia="Times New Roman" w:hAnsiTheme="majorHAnsi" w:cstheme="majorHAnsi"/>
          <w:lang w:val="ro-RO" w:eastAsia="ro-RO"/>
        </w:rPr>
        <w:t xml:space="preserve">, </w:t>
      </w:r>
      <w:r w:rsidRPr="00674B5D">
        <w:rPr>
          <w:rFonts w:asciiTheme="majorHAnsi" w:eastAsia="Times New Roman" w:hAnsiTheme="majorHAnsi" w:cstheme="majorHAnsi"/>
          <w:lang w:val="ro-RO" w:eastAsia="ro-RO"/>
        </w:rPr>
        <w:t>pe viitor</w:t>
      </w:r>
      <w:r w:rsidR="00563A94">
        <w:rPr>
          <w:rFonts w:asciiTheme="majorHAnsi" w:eastAsia="Times New Roman" w:hAnsiTheme="majorHAnsi" w:cstheme="majorHAnsi"/>
          <w:lang w:val="ro-RO" w:eastAsia="ro-RO"/>
        </w:rPr>
        <w:t>,</w:t>
      </w:r>
      <w:r w:rsidRPr="00674B5D">
        <w:rPr>
          <w:rFonts w:asciiTheme="majorHAnsi" w:eastAsia="Times New Roman" w:hAnsiTheme="majorHAnsi" w:cstheme="majorHAnsi"/>
          <w:lang w:val="ro-RO" w:eastAsia="ro-RO"/>
        </w:rPr>
        <w:t xml:space="preserve"> legiuitorul dorește încurajarea conform</w:t>
      </w:r>
      <w:r>
        <w:rPr>
          <w:rFonts w:asciiTheme="majorHAnsi" w:eastAsia="Times New Roman" w:hAnsiTheme="majorHAnsi" w:cstheme="majorHAnsi"/>
          <w:lang w:val="ro-RO" w:eastAsia="ro-RO"/>
        </w:rPr>
        <w:t>ării</w:t>
      </w:r>
      <w:r w:rsidRPr="00674B5D">
        <w:rPr>
          <w:rFonts w:asciiTheme="majorHAnsi" w:eastAsia="Times New Roman" w:hAnsiTheme="majorHAnsi" w:cstheme="majorHAnsi"/>
          <w:lang w:val="ro-RO" w:eastAsia="ro-RO"/>
        </w:rPr>
        <w:t xml:space="preserve"> voluntar</w:t>
      </w:r>
      <w:r>
        <w:rPr>
          <w:rFonts w:asciiTheme="majorHAnsi" w:eastAsia="Times New Roman" w:hAnsiTheme="majorHAnsi" w:cstheme="majorHAnsi"/>
          <w:lang w:val="ro-RO" w:eastAsia="ro-RO"/>
        </w:rPr>
        <w:t>e</w:t>
      </w:r>
      <w:r w:rsidRPr="00674B5D">
        <w:rPr>
          <w:rFonts w:asciiTheme="majorHAnsi" w:eastAsia="Times New Roman" w:hAnsiTheme="majorHAnsi" w:cstheme="majorHAnsi"/>
          <w:lang w:val="ro-RO" w:eastAsia="ro-RO"/>
        </w:rPr>
        <w:t xml:space="preserve"> a contribuabililor, în sensul remedierii tratamentului fiscal aplicat</w:t>
      </w:r>
      <w:r w:rsidRPr="00220082">
        <w:rPr>
          <w:rFonts w:asciiTheme="majorHAnsi" w:eastAsia="Times New Roman" w:hAnsiTheme="majorHAnsi" w:cstheme="majorHAnsi"/>
          <w:lang w:val="ro-RO" w:eastAsia="ro-RO"/>
        </w:rPr>
        <w:t xml:space="preserve"> </w:t>
      </w:r>
      <w:r>
        <w:rPr>
          <w:rFonts w:asciiTheme="majorHAnsi" w:eastAsia="Times New Roman" w:hAnsiTheme="majorHAnsi" w:cstheme="majorHAnsi"/>
          <w:lang w:val="ro-RO" w:eastAsia="ro-RO"/>
        </w:rPr>
        <w:t>în afara unei proceduri administrative de control,</w:t>
      </w:r>
      <w:r w:rsidRPr="00674B5D">
        <w:rPr>
          <w:rFonts w:asciiTheme="majorHAnsi" w:eastAsia="Times New Roman" w:hAnsiTheme="majorHAnsi" w:cstheme="majorHAnsi"/>
          <w:lang w:val="ro-RO" w:eastAsia="ro-RO"/>
        </w:rPr>
        <w:t xml:space="preserve"> în linie cu practicile internaționale ale administrațiilor fiscale moderne. </w:t>
      </w:r>
    </w:p>
    <w:p w14:paraId="1DE4C65A" w14:textId="4D4B317C" w:rsidR="00007355" w:rsidRPr="00674B5D" w:rsidRDefault="00007355" w:rsidP="00007355">
      <w:pPr>
        <w:spacing w:line="288" w:lineRule="auto"/>
        <w:jc w:val="both"/>
        <w:rPr>
          <w:rFonts w:asciiTheme="majorHAnsi" w:eastAsia="Times New Roman" w:hAnsiTheme="majorHAnsi" w:cstheme="majorHAnsi"/>
          <w:lang w:val="ro-RO" w:eastAsia="ro-RO"/>
        </w:rPr>
      </w:pPr>
      <w:r w:rsidRPr="00674B5D">
        <w:rPr>
          <w:rFonts w:asciiTheme="majorHAnsi" w:eastAsia="Times New Roman" w:hAnsiTheme="majorHAnsi" w:cstheme="majorHAnsi"/>
          <w:lang w:val="ro-RO" w:eastAsia="ro-RO"/>
        </w:rPr>
        <w:t>Această schimbare de abordare, menționată și de reprezentan</w:t>
      </w:r>
      <w:r>
        <w:rPr>
          <w:rFonts w:asciiTheme="majorHAnsi" w:eastAsia="Times New Roman" w:hAnsiTheme="majorHAnsi" w:cstheme="majorHAnsi"/>
          <w:lang w:val="ro-RO" w:eastAsia="ro-RO"/>
        </w:rPr>
        <w:t>tele</w:t>
      </w:r>
      <w:r w:rsidRPr="00674B5D">
        <w:rPr>
          <w:rFonts w:asciiTheme="majorHAnsi" w:eastAsia="Times New Roman" w:hAnsiTheme="majorHAnsi" w:cstheme="majorHAnsi"/>
          <w:lang w:val="ro-RO" w:eastAsia="ro-RO"/>
        </w:rPr>
        <w:t xml:space="preserve"> A</w:t>
      </w:r>
      <w:r>
        <w:rPr>
          <w:rFonts w:asciiTheme="majorHAnsi" w:eastAsia="Times New Roman" w:hAnsiTheme="majorHAnsi" w:cstheme="majorHAnsi"/>
          <w:lang w:val="ro-RO" w:eastAsia="ro-RO"/>
        </w:rPr>
        <w:t xml:space="preserve">genției </w:t>
      </w:r>
      <w:r w:rsidRPr="00674B5D">
        <w:rPr>
          <w:rFonts w:asciiTheme="majorHAnsi" w:eastAsia="Times New Roman" w:hAnsiTheme="majorHAnsi" w:cstheme="majorHAnsi"/>
          <w:lang w:val="ro-RO" w:eastAsia="ro-RO"/>
        </w:rPr>
        <w:t>N</w:t>
      </w:r>
      <w:r>
        <w:rPr>
          <w:rFonts w:asciiTheme="majorHAnsi" w:eastAsia="Times New Roman" w:hAnsiTheme="majorHAnsi" w:cstheme="majorHAnsi"/>
          <w:lang w:val="ro-RO" w:eastAsia="ro-RO"/>
        </w:rPr>
        <w:t xml:space="preserve">aționale de </w:t>
      </w:r>
      <w:r w:rsidRPr="00674B5D">
        <w:rPr>
          <w:rFonts w:asciiTheme="majorHAnsi" w:eastAsia="Times New Roman" w:hAnsiTheme="majorHAnsi" w:cstheme="majorHAnsi"/>
          <w:lang w:val="ro-RO" w:eastAsia="ro-RO"/>
        </w:rPr>
        <w:t>A</w:t>
      </w:r>
      <w:r>
        <w:rPr>
          <w:rFonts w:asciiTheme="majorHAnsi" w:eastAsia="Times New Roman" w:hAnsiTheme="majorHAnsi" w:cstheme="majorHAnsi"/>
          <w:lang w:val="ro-RO" w:eastAsia="ro-RO"/>
        </w:rPr>
        <w:t xml:space="preserve">dministrare </w:t>
      </w:r>
      <w:r w:rsidRPr="00674B5D">
        <w:rPr>
          <w:rFonts w:asciiTheme="majorHAnsi" w:eastAsia="Times New Roman" w:hAnsiTheme="majorHAnsi" w:cstheme="majorHAnsi"/>
          <w:lang w:val="ro-RO" w:eastAsia="ro-RO"/>
        </w:rPr>
        <w:t>F</w:t>
      </w:r>
      <w:r>
        <w:rPr>
          <w:rFonts w:asciiTheme="majorHAnsi" w:eastAsia="Times New Roman" w:hAnsiTheme="majorHAnsi" w:cstheme="majorHAnsi"/>
          <w:lang w:val="ro-RO" w:eastAsia="ro-RO"/>
        </w:rPr>
        <w:t>iscală (ANAF)</w:t>
      </w:r>
      <w:r w:rsidRPr="00674B5D">
        <w:rPr>
          <w:rFonts w:asciiTheme="majorHAnsi" w:eastAsia="Times New Roman" w:hAnsiTheme="majorHAnsi" w:cstheme="majorHAnsi"/>
          <w:lang w:val="ro-RO" w:eastAsia="ro-RO"/>
        </w:rPr>
        <w:t xml:space="preserve"> </w:t>
      </w:r>
      <w:r w:rsidRPr="00674B5D">
        <w:rPr>
          <w:rFonts w:asciiTheme="majorHAnsi" w:hAnsiTheme="majorHAnsi" w:cstheme="majorHAnsi"/>
          <w:lang w:val="ro-RO"/>
        </w:rPr>
        <w:t>- Daniela Teodoru, </w:t>
      </w:r>
      <w:r w:rsidR="00563A94">
        <w:rPr>
          <w:rFonts w:asciiTheme="majorHAnsi" w:hAnsiTheme="majorHAnsi" w:cstheme="majorHAnsi"/>
          <w:lang w:val="ro-RO"/>
        </w:rPr>
        <w:t>D</w:t>
      </w:r>
      <w:r w:rsidR="00563A94" w:rsidRPr="00674B5D">
        <w:rPr>
          <w:rFonts w:asciiTheme="majorHAnsi" w:hAnsiTheme="majorHAnsi" w:cstheme="majorHAnsi"/>
          <w:lang w:val="ro-RO"/>
        </w:rPr>
        <w:t xml:space="preserve">irector </w:t>
      </w:r>
      <w:r w:rsidR="00563A94">
        <w:rPr>
          <w:rFonts w:asciiTheme="majorHAnsi" w:hAnsiTheme="majorHAnsi" w:cstheme="majorHAnsi"/>
          <w:lang w:val="ro-RO"/>
        </w:rPr>
        <w:t>G</w:t>
      </w:r>
      <w:r w:rsidR="00563A94" w:rsidRPr="00674B5D">
        <w:rPr>
          <w:rFonts w:asciiTheme="majorHAnsi" w:hAnsiTheme="majorHAnsi" w:cstheme="majorHAnsi"/>
          <w:lang w:val="ro-RO"/>
        </w:rPr>
        <w:t>eneral</w:t>
      </w:r>
      <w:r w:rsidRPr="00674B5D">
        <w:rPr>
          <w:rFonts w:asciiTheme="majorHAnsi" w:hAnsiTheme="majorHAnsi" w:cstheme="majorHAnsi"/>
          <w:lang w:val="ro-RO"/>
        </w:rPr>
        <w:t xml:space="preserve">, Direcția Generală Coordonare Control Fiscal, și </w:t>
      </w:r>
      <w:proofErr w:type="spellStart"/>
      <w:r w:rsidRPr="00674B5D">
        <w:rPr>
          <w:rFonts w:asciiTheme="majorHAnsi" w:hAnsiTheme="majorHAnsi" w:cstheme="majorHAnsi"/>
          <w:lang w:val="ro-RO"/>
        </w:rPr>
        <w:t>Sia</w:t>
      </w:r>
      <w:proofErr w:type="spellEnd"/>
      <w:r w:rsidRPr="00674B5D">
        <w:rPr>
          <w:rFonts w:asciiTheme="majorHAnsi" w:hAnsiTheme="majorHAnsi" w:cstheme="majorHAnsi"/>
          <w:lang w:val="ro-RO"/>
        </w:rPr>
        <w:t xml:space="preserve"> </w:t>
      </w:r>
      <w:proofErr w:type="spellStart"/>
      <w:r w:rsidRPr="00674B5D">
        <w:rPr>
          <w:rFonts w:asciiTheme="majorHAnsi" w:hAnsiTheme="majorHAnsi" w:cstheme="majorHAnsi"/>
          <w:lang w:val="ro-RO"/>
        </w:rPr>
        <w:t>Jiru</w:t>
      </w:r>
      <w:proofErr w:type="spellEnd"/>
      <w:r w:rsidRPr="00674B5D">
        <w:rPr>
          <w:rFonts w:asciiTheme="majorHAnsi" w:hAnsiTheme="majorHAnsi" w:cstheme="majorHAnsi"/>
          <w:lang w:val="ro-RO"/>
        </w:rPr>
        <w:t>, </w:t>
      </w:r>
      <w:r w:rsidR="00563A94">
        <w:rPr>
          <w:rFonts w:asciiTheme="majorHAnsi" w:hAnsiTheme="majorHAnsi" w:cstheme="majorHAnsi"/>
          <w:lang w:val="ro-RO"/>
        </w:rPr>
        <w:t>D</w:t>
      </w:r>
      <w:r w:rsidR="00563A94" w:rsidRPr="00674B5D">
        <w:rPr>
          <w:rFonts w:asciiTheme="majorHAnsi" w:hAnsiTheme="majorHAnsi" w:cstheme="majorHAnsi"/>
          <w:lang w:val="ro-RO"/>
        </w:rPr>
        <w:t>irector</w:t>
      </w:r>
      <w:r w:rsidRPr="00674B5D">
        <w:rPr>
          <w:rFonts w:asciiTheme="majorHAnsi" w:hAnsiTheme="majorHAnsi" w:cstheme="majorHAnsi"/>
          <w:lang w:val="ro-RO"/>
        </w:rPr>
        <w:t>, Direcția Generală Coordonare Control Fiscal</w:t>
      </w:r>
      <w:r w:rsidRPr="00674B5D">
        <w:rPr>
          <w:rFonts w:asciiTheme="majorHAnsi" w:eastAsia="Times New Roman" w:hAnsiTheme="majorHAnsi" w:cstheme="majorHAnsi"/>
          <w:lang w:val="ro-RO" w:eastAsia="ro-RO"/>
        </w:rPr>
        <w:t xml:space="preserve">, </w:t>
      </w:r>
      <w:hyperlink r:id="rId7" w:history="1">
        <w:r w:rsidRPr="00100195">
          <w:rPr>
            <w:rStyle w:val="Hyperlink"/>
            <w:rFonts w:asciiTheme="majorHAnsi" w:eastAsia="Times New Roman" w:hAnsiTheme="majorHAnsi" w:cstheme="majorHAnsi"/>
            <w:lang w:val="ro-RO" w:eastAsia="ro-RO"/>
          </w:rPr>
          <w:t>în cadrul unui eve</w:t>
        </w:r>
        <w:r w:rsidRPr="00100195">
          <w:rPr>
            <w:rStyle w:val="Hyperlink"/>
            <w:rFonts w:asciiTheme="majorHAnsi" w:eastAsia="Times New Roman" w:hAnsiTheme="majorHAnsi" w:cstheme="majorHAnsi"/>
            <w:lang w:val="ro-RO" w:eastAsia="ro-RO"/>
          </w:rPr>
          <w:t>n</w:t>
        </w:r>
        <w:r w:rsidRPr="00100195">
          <w:rPr>
            <w:rStyle w:val="Hyperlink"/>
            <w:rFonts w:asciiTheme="majorHAnsi" w:eastAsia="Times New Roman" w:hAnsiTheme="majorHAnsi" w:cstheme="majorHAnsi"/>
            <w:lang w:val="ro-RO" w:eastAsia="ro-RO"/>
          </w:rPr>
          <w:t>iment organizat de Deloitte</w:t>
        </w:r>
      </w:hyperlink>
      <w:r w:rsidRPr="00674B5D">
        <w:rPr>
          <w:rFonts w:asciiTheme="majorHAnsi" w:eastAsia="Times New Roman" w:hAnsiTheme="majorHAnsi" w:cstheme="majorHAnsi"/>
          <w:lang w:val="ro-RO" w:eastAsia="ro-RO"/>
        </w:rPr>
        <w:t xml:space="preserve">, este bine-venită, în contextul în care România se confruntă cu un decalaj mai pronunțat în ceea ce privește colectarea taxelor și impozitelor, prin comparație cu alte state europene. </w:t>
      </w:r>
    </w:p>
    <w:p w14:paraId="6C9A1F84" w14:textId="77777777" w:rsidR="00007355" w:rsidRPr="00674B5D" w:rsidRDefault="00007355" w:rsidP="00007355">
      <w:pPr>
        <w:spacing w:after="120" w:line="288" w:lineRule="auto"/>
        <w:jc w:val="both"/>
        <w:rPr>
          <w:rFonts w:asciiTheme="majorHAnsi" w:eastAsia="Times New Roman" w:hAnsiTheme="majorHAnsi" w:cstheme="majorHAnsi"/>
          <w:b/>
          <w:bCs/>
          <w:i/>
          <w:iCs/>
          <w:lang w:val="ro-RO" w:eastAsia="ro-RO"/>
        </w:rPr>
      </w:pPr>
    </w:p>
    <w:p w14:paraId="6FB80D53" w14:textId="77777777" w:rsidR="00007355" w:rsidRPr="006636B4" w:rsidRDefault="00007355" w:rsidP="00007355">
      <w:pPr>
        <w:spacing w:after="120" w:line="288" w:lineRule="auto"/>
        <w:jc w:val="both"/>
        <w:rPr>
          <w:rFonts w:asciiTheme="majorHAnsi" w:eastAsia="Times New Roman" w:hAnsiTheme="majorHAnsi" w:cstheme="majorHAnsi"/>
          <w:b/>
          <w:bCs/>
          <w:lang w:val="ro-RO" w:eastAsia="ro-RO"/>
        </w:rPr>
      </w:pPr>
      <w:r w:rsidRPr="006636B4">
        <w:rPr>
          <w:rFonts w:asciiTheme="majorHAnsi" w:eastAsia="Times New Roman" w:hAnsiTheme="majorHAnsi" w:cstheme="majorHAnsi"/>
          <w:b/>
          <w:bCs/>
          <w:lang w:val="ro-RO" w:eastAsia="ro-RO"/>
        </w:rPr>
        <w:t>Avantajele preconizate ale notificării de conformare</w:t>
      </w:r>
    </w:p>
    <w:p w14:paraId="02E42B75" w14:textId="77777777" w:rsidR="00007355" w:rsidRDefault="00007355" w:rsidP="00007355">
      <w:pPr>
        <w:spacing w:after="120" w:line="288" w:lineRule="auto"/>
        <w:jc w:val="both"/>
        <w:rPr>
          <w:rFonts w:asciiTheme="majorHAnsi" w:eastAsia="Times New Roman" w:hAnsiTheme="majorHAnsi" w:cstheme="majorHAnsi"/>
          <w:lang w:val="ro-RO" w:eastAsia="ro-RO"/>
        </w:rPr>
      </w:pPr>
      <w:r w:rsidRPr="00674B5D">
        <w:rPr>
          <w:rFonts w:asciiTheme="majorHAnsi" w:eastAsia="Times New Roman" w:hAnsiTheme="majorHAnsi" w:cstheme="majorHAnsi"/>
          <w:lang w:val="ro-RO" w:eastAsia="ro-RO"/>
        </w:rPr>
        <w:t>Aplicarea în practică a reglementării ar trebui să genereze avantaje pentru ambele părți ale raportului juridic fiscal</w:t>
      </w:r>
      <w:r>
        <w:rPr>
          <w:rFonts w:asciiTheme="majorHAnsi" w:eastAsia="Times New Roman" w:hAnsiTheme="majorHAnsi" w:cstheme="majorHAnsi"/>
          <w:lang w:val="ro-RO" w:eastAsia="ro-RO"/>
        </w:rPr>
        <w:t>. D</w:t>
      </w:r>
      <w:r w:rsidRPr="00674B5D">
        <w:rPr>
          <w:rFonts w:asciiTheme="majorHAnsi" w:eastAsia="Times New Roman" w:hAnsiTheme="majorHAnsi" w:cstheme="majorHAnsi"/>
          <w:lang w:val="ro-RO" w:eastAsia="ro-RO"/>
        </w:rPr>
        <w:t>in perspectiva contribuabilului, principalul avantaj este acela că</w:t>
      </w:r>
      <w:r>
        <w:rPr>
          <w:rFonts w:asciiTheme="majorHAnsi" w:eastAsia="Times New Roman" w:hAnsiTheme="majorHAnsi" w:cstheme="majorHAnsi"/>
          <w:lang w:val="ro-RO" w:eastAsia="ro-RO"/>
        </w:rPr>
        <w:t>,</w:t>
      </w:r>
      <w:r w:rsidRPr="00674B5D">
        <w:rPr>
          <w:rFonts w:asciiTheme="majorHAnsi" w:eastAsia="Times New Roman" w:hAnsiTheme="majorHAnsi" w:cstheme="majorHAnsi"/>
          <w:lang w:val="ro-RO" w:eastAsia="ro-RO"/>
        </w:rPr>
        <w:t xml:space="preserve"> prin conformare</w:t>
      </w:r>
      <w:r>
        <w:rPr>
          <w:rFonts w:asciiTheme="majorHAnsi" w:eastAsia="Times New Roman" w:hAnsiTheme="majorHAnsi" w:cstheme="majorHAnsi"/>
          <w:lang w:val="ro-RO" w:eastAsia="ro-RO"/>
        </w:rPr>
        <w:t>a</w:t>
      </w:r>
      <w:r w:rsidRPr="00674B5D">
        <w:rPr>
          <w:rFonts w:asciiTheme="majorHAnsi" w:eastAsia="Times New Roman" w:hAnsiTheme="majorHAnsi" w:cstheme="majorHAnsi"/>
          <w:lang w:val="ro-RO" w:eastAsia="ro-RO"/>
        </w:rPr>
        <w:t xml:space="preserve"> voluntară și remedierea </w:t>
      </w:r>
      <w:r>
        <w:rPr>
          <w:rFonts w:asciiTheme="majorHAnsi" w:eastAsia="Times New Roman" w:hAnsiTheme="majorHAnsi" w:cstheme="majorHAnsi"/>
          <w:lang w:val="ro-RO" w:eastAsia="ro-RO"/>
        </w:rPr>
        <w:t xml:space="preserve">anticipată a </w:t>
      </w:r>
      <w:r w:rsidRPr="00674B5D">
        <w:rPr>
          <w:rFonts w:asciiTheme="majorHAnsi" w:eastAsia="Times New Roman" w:hAnsiTheme="majorHAnsi" w:cstheme="majorHAnsi"/>
          <w:lang w:val="ro-RO" w:eastAsia="ro-RO"/>
        </w:rPr>
        <w:t>riscurilor</w:t>
      </w:r>
      <w:r>
        <w:rPr>
          <w:rFonts w:asciiTheme="majorHAnsi" w:eastAsia="Times New Roman" w:hAnsiTheme="majorHAnsi" w:cstheme="majorHAnsi"/>
          <w:lang w:val="ro-RO" w:eastAsia="ro-RO"/>
        </w:rPr>
        <w:t>,</w:t>
      </w:r>
      <w:r w:rsidRPr="00674B5D">
        <w:rPr>
          <w:rFonts w:asciiTheme="majorHAnsi" w:eastAsia="Times New Roman" w:hAnsiTheme="majorHAnsi" w:cstheme="majorHAnsi"/>
          <w:lang w:val="ro-RO" w:eastAsia="ro-RO"/>
        </w:rPr>
        <w:t xml:space="preserve"> poate </w:t>
      </w:r>
      <w:r>
        <w:rPr>
          <w:rFonts w:asciiTheme="majorHAnsi" w:eastAsia="Times New Roman" w:hAnsiTheme="majorHAnsi" w:cstheme="majorHAnsi"/>
          <w:lang w:val="ro-RO" w:eastAsia="ro-RO"/>
        </w:rPr>
        <w:t xml:space="preserve">demonstra autorității fiscale că nu mai există motive să demareze </w:t>
      </w:r>
      <w:r w:rsidRPr="00674B5D">
        <w:rPr>
          <w:rFonts w:asciiTheme="majorHAnsi" w:eastAsia="Times New Roman" w:hAnsiTheme="majorHAnsi" w:cstheme="majorHAnsi"/>
          <w:lang w:val="ro-RO" w:eastAsia="ro-RO"/>
        </w:rPr>
        <w:t>inspecți</w:t>
      </w:r>
      <w:r>
        <w:rPr>
          <w:rFonts w:asciiTheme="majorHAnsi" w:eastAsia="Times New Roman" w:hAnsiTheme="majorHAnsi" w:cstheme="majorHAnsi"/>
          <w:lang w:val="ro-RO" w:eastAsia="ro-RO"/>
        </w:rPr>
        <w:t>a</w:t>
      </w:r>
      <w:r w:rsidRPr="00674B5D">
        <w:rPr>
          <w:rFonts w:asciiTheme="majorHAnsi" w:eastAsia="Times New Roman" w:hAnsiTheme="majorHAnsi" w:cstheme="majorHAnsi"/>
          <w:lang w:val="ro-RO" w:eastAsia="ro-RO"/>
        </w:rPr>
        <w:t xml:space="preserve"> fiscal</w:t>
      </w:r>
      <w:r>
        <w:rPr>
          <w:rFonts w:asciiTheme="majorHAnsi" w:eastAsia="Times New Roman" w:hAnsiTheme="majorHAnsi" w:cstheme="majorHAnsi"/>
          <w:lang w:val="ro-RO" w:eastAsia="ro-RO"/>
        </w:rPr>
        <w:t>ă</w:t>
      </w:r>
      <w:r w:rsidRPr="00674B5D">
        <w:rPr>
          <w:rFonts w:asciiTheme="majorHAnsi" w:eastAsia="Times New Roman" w:hAnsiTheme="majorHAnsi" w:cstheme="majorHAnsi"/>
          <w:lang w:val="ro-RO" w:eastAsia="ro-RO"/>
        </w:rPr>
        <w:t xml:space="preserve"> sau verific</w:t>
      </w:r>
      <w:r>
        <w:rPr>
          <w:rFonts w:asciiTheme="majorHAnsi" w:eastAsia="Times New Roman" w:hAnsiTheme="majorHAnsi" w:cstheme="majorHAnsi"/>
          <w:lang w:val="ro-RO" w:eastAsia="ro-RO"/>
        </w:rPr>
        <w:t>area</w:t>
      </w:r>
      <w:r w:rsidRPr="00674B5D">
        <w:rPr>
          <w:rFonts w:asciiTheme="majorHAnsi" w:eastAsia="Times New Roman" w:hAnsiTheme="majorHAnsi" w:cstheme="majorHAnsi"/>
          <w:lang w:val="ro-RO" w:eastAsia="ro-RO"/>
        </w:rPr>
        <w:t xml:space="preserve"> situației fiscale personale</w:t>
      </w:r>
      <w:r>
        <w:rPr>
          <w:rFonts w:asciiTheme="majorHAnsi" w:eastAsia="Times New Roman" w:hAnsiTheme="majorHAnsi" w:cstheme="majorHAnsi"/>
          <w:lang w:val="ro-RO" w:eastAsia="ro-RO"/>
        </w:rPr>
        <w:t xml:space="preserve">. Astfel, </w:t>
      </w:r>
      <w:r w:rsidRPr="00674B5D">
        <w:rPr>
          <w:rFonts w:asciiTheme="majorHAnsi" w:eastAsia="Times New Roman" w:hAnsiTheme="majorHAnsi" w:cstheme="majorHAnsi"/>
          <w:lang w:val="ro-RO" w:eastAsia="ro-RO"/>
        </w:rPr>
        <w:t>resursel</w:t>
      </w:r>
      <w:r>
        <w:rPr>
          <w:rFonts w:asciiTheme="majorHAnsi" w:eastAsia="Times New Roman" w:hAnsiTheme="majorHAnsi" w:cstheme="majorHAnsi"/>
          <w:lang w:val="ro-RO" w:eastAsia="ro-RO"/>
        </w:rPr>
        <w:t>e</w:t>
      </w:r>
      <w:r w:rsidRPr="00674B5D">
        <w:rPr>
          <w:rFonts w:asciiTheme="majorHAnsi" w:eastAsia="Times New Roman" w:hAnsiTheme="majorHAnsi" w:cstheme="majorHAnsi"/>
          <w:lang w:val="ro-RO" w:eastAsia="ro-RO"/>
        </w:rPr>
        <w:t xml:space="preserve"> umane și financiare</w:t>
      </w:r>
      <w:r>
        <w:rPr>
          <w:rFonts w:asciiTheme="majorHAnsi" w:eastAsia="Times New Roman" w:hAnsiTheme="majorHAnsi" w:cstheme="majorHAnsi"/>
          <w:lang w:val="ro-RO" w:eastAsia="ro-RO"/>
        </w:rPr>
        <w:t xml:space="preserve"> care, în trecut, erau </w:t>
      </w:r>
      <w:r w:rsidRPr="00674B5D">
        <w:rPr>
          <w:rFonts w:asciiTheme="majorHAnsi" w:eastAsia="Times New Roman" w:hAnsiTheme="majorHAnsi" w:cstheme="majorHAnsi"/>
          <w:lang w:val="ro-RO" w:eastAsia="ro-RO"/>
        </w:rPr>
        <w:t xml:space="preserve">alocate pentru gestionarea controlului, </w:t>
      </w:r>
      <w:r>
        <w:rPr>
          <w:rFonts w:asciiTheme="majorHAnsi" w:eastAsia="Times New Roman" w:hAnsiTheme="majorHAnsi" w:cstheme="majorHAnsi"/>
          <w:lang w:val="ro-RO" w:eastAsia="ro-RO"/>
        </w:rPr>
        <w:t xml:space="preserve">deseori </w:t>
      </w:r>
      <w:r w:rsidRPr="00674B5D">
        <w:rPr>
          <w:rFonts w:asciiTheme="majorHAnsi" w:eastAsia="Times New Roman" w:hAnsiTheme="majorHAnsi" w:cstheme="majorHAnsi"/>
          <w:lang w:val="ro-RO" w:eastAsia="ro-RO"/>
        </w:rPr>
        <w:t>cronofag</w:t>
      </w:r>
      <w:r>
        <w:rPr>
          <w:rFonts w:asciiTheme="majorHAnsi" w:eastAsia="Times New Roman" w:hAnsiTheme="majorHAnsi" w:cstheme="majorHAnsi"/>
          <w:lang w:val="ro-RO" w:eastAsia="ro-RO"/>
        </w:rPr>
        <w:t>, vor putea fi utilizate mai eficient pe viitor.</w:t>
      </w:r>
    </w:p>
    <w:p w14:paraId="56AA7735" w14:textId="635AB72B" w:rsidR="00563A94" w:rsidRDefault="00007355" w:rsidP="00007355">
      <w:pPr>
        <w:spacing w:after="120" w:line="288" w:lineRule="auto"/>
        <w:jc w:val="both"/>
        <w:rPr>
          <w:rFonts w:asciiTheme="majorHAnsi" w:eastAsia="Times New Roman" w:hAnsiTheme="majorHAnsi" w:cstheme="majorHAnsi"/>
          <w:lang w:val="ro-RO" w:eastAsia="ro-RO"/>
        </w:rPr>
      </w:pPr>
      <w:r w:rsidRPr="00674B5D">
        <w:rPr>
          <w:rFonts w:asciiTheme="majorHAnsi" w:eastAsia="Times New Roman" w:hAnsiTheme="majorHAnsi" w:cstheme="majorHAnsi"/>
          <w:lang w:val="ro-RO" w:eastAsia="ro-RO"/>
        </w:rPr>
        <w:t xml:space="preserve">De asemenea, chiar și în ipoteza în care contribuabilul consideră că riscul fiscal semnalat de ANAF prin notificare nu se verifică în realitate sau nu </w:t>
      </w:r>
      <w:r>
        <w:rPr>
          <w:rFonts w:asciiTheme="majorHAnsi" w:eastAsia="Times New Roman" w:hAnsiTheme="majorHAnsi" w:cstheme="majorHAnsi"/>
          <w:lang w:val="ro-RO" w:eastAsia="ro-RO"/>
        </w:rPr>
        <w:t xml:space="preserve">coincide cu propria interpretare </w:t>
      </w:r>
      <w:r w:rsidRPr="00674B5D">
        <w:rPr>
          <w:rFonts w:asciiTheme="majorHAnsi" w:eastAsia="Times New Roman" w:hAnsiTheme="majorHAnsi" w:cstheme="majorHAnsi"/>
          <w:lang w:val="ro-RO" w:eastAsia="ro-RO"/>
        </w:rPr>
        <w:t xml:space="preserve">și, deci, decide să nu </w:t>
      </w:r>
      <w:r>
        <w:rPr>
          <w:rFonts w:asciiTheme="majorHAnsi" w:eastAsia="Times New Roman" w:hAnsiTheme="majorHAnsi" w:cstheme="majorHAnsi"/>
          <w:lang w:val="ro-RO" w:eastAsia="ro-RO"/>
        </w:rPr>
        <w:t>ia</w:t>
      </w:r>
      <w:r w:rsidRPr="00674B5D">
        <w:rPr>
          <w:rFonts w:asciiTheme="majorHAnsi" w:eastAsia="Times New Roman" w:hAnsiTheme="majorHAnsi" w:cstheme="majorHAnsi"/>
          <w:lang w:val="ro-RO" w:eastAsia="ro-RO"/>
        </w:rPr>
        <w:t xml:space="preserve"> nicio măsură de reevaluare a situației sale fiscale, acesta va beneficia de termenul de 30 de zile de la comunicarea notificării, t</w:t>
      </w:r>
      <w:r>
        <w:rPr>
          <w:rFonts w:asciiTheme="majorHAnsi" w:eastAsia="Times New Roman" w:hAnsiTheme="majorHAnsi" w:cstheme="majorHAnsi"/>
          <w:lang w:val="ro-RO" w:eastAsia="ro-RO"/>
        </w:rPr>
        <w:t>imp</w:t>
      </w:r>
      <w:r w:rsidRPr="00674B5D">
        <w:rPr>
          <w:rFonts w:asciiTheme="majorHAnsi" w:eastAsia="Times New Roman" w:hAnsiTheme="majorHAnsi" w:cstheme="majorHAnsi"/>
          <w:lang w:val="ro-RO" w:eastAsia="ro-RO"/>
        </w:rPr>
        <w:t xml:space="preserve"> în care ANAF nu </w:t>
      </w:r>
      <w:r w:rsidRPr="00674B5D">
        <w:rPr>
          <w:rFonts w:asciiTheme="majorHAnsi" w:eastAsia="Times New Roman" w:hAnsiTheme="majorHAnsi" w:cstheme="majorHAnsi"/>
          <w:lang w:val="ro-RO" w:eastAsia="ro-RO"/>
        </w:rPr>
        <w:lastRenderedPageBreak/>
        <w:t>va putea demara acțiunea de control. Ace</w:t>
      </w:r>
      <w:r>
        <w:rPr>
          <w:rFonts w:asciiTheme="majorHAnsi" w:eastAsia="Times New Roman" w:hAnsiTheme="majorHAnsi" w:cstheme="majorHAnsi"/>
          <w:lang w:val="ro-RO" w:eastAsia="ro-RO"/>
        </w:rPr>
        <w:t>a</w:t>
      </w:r>
      <w:r w:rsidRPr="00674B5D">
        <w:rPr>
          <w:rFonts w:asciiTheme="majorHAnsi" w:eastAsia="Times New Roman" w:hAnsiTheme="majorHAnsi" w:cstheme="majorHAnsi"/>
          <w:lang w:val="ro-RO" w:eastAsia="ro-RO"/>
        </w:rPr>
        <w:t>st</w:t>
      </w:r>
      <w:r>
        <w:rPr>
          <w:rFonts w:asciiTheme="majorHAnsi" w:eastAsia="Times New Roman" w:hAnsiTheme="majorHAnsi" w:cstheme="majorHAnsi"/>
          <w:lang w:val="ro-RO" w:eastAsia="ro-RO"/>
        </w:rPr>
        <w:t>ă „</w:t>
      </w:r>
      <w:r w:rsidRPr="00674B5D">
        <w:rPr>
          <w:rFonts w:asciiTheme="majorHAnsi" w:eastAsia="Times New Roman" w:hAnsiTheme="majorHAnsi" w:cstheme="majorHAnsi"/>
          <w:lang w:val="ro-RO" w:eastAsia="ro-RO"/>
        </w:rPr>
        <w:t>păsuire’’ poate fi exploatat</w:t>
      </w:r>
      <w:r>
        <w:rPr>
          <w:rFonts w:asciiTheme="majorHAnsi" w:eastAsia="Times New Roman" w:hAnsiTheme="majorHAnsi" w:cstheme="majorHAnsi"/>
          <w:lang w:val="ro-RO" w:eastAsia="ro-RO"/>
        </w:rPr>
        <w:t>ă</w:t>
      </w:r>
      <w:r w:rsidRPr="00674B5D">
        <w:rPr>
          <w:rFonts w:asciiTheme="majorHAnsi" w:eastAsia="Times New Roman" w:hAnsiTheme="majorHAnsi" w:cstheme="majorHAnsi"/>
          <w:lang w:val="ro-RO" w:eastAsia="ro-RO"/>
        </w:rPr>
        <w:t xml:space="preserve"> în mod pragmatic, în sensul că poate fi folosit</w:t>
      </w:r>
      <w:r>
        <w:rPr>
          <w:rFonts w:asciiTheme="majorHAnsi" w:eastAsia="Times New Roman" w:hAnsiTheme="majorHAnsi" w:cstheme="majorHAnsi"/>
          <w:lang w:val="ro-RO" w:eastAsia="ro-RO"/>
        </w:rPr>
        <w:t>ă</w:t>
      </w:r>
      <w:r w:rsidRPr="00674B5D">
        <w:rPr>
          <w:rFonts w:asciiTheme="majorHAnsi" w:eastAsia="Times New Roman" w:hAnsiTheme="majorHAnsi" w:cstheme="majorHAnsi"/>
          <w:lang w:val="ro-RO" w:eastAsia="ro-RO"/>
        </w:rPr>
        <w:t xml:space="preserve"> pentru pregătirea acțiuni</w:t>
      </w:r>
      <w:r>
        <w:rPr>
          <w:rFonts w:asciiTheme="majorHAnsi" w:eastAsia="Times New Roman" w:hAnsiTheme="majorHAnsi" w:cstheme="majorHAnsi"/>
          <w:lang w:val="ro-RO" w:eastAsia="ro-RO"/>
        </w:rPr>
        <w:t>i</w:t>
      </w:r>
      <w:r w:rsidRPr="00674B5D">
        <w:rPr>
          <w:rFonts w:asciiTheme="majorHAnsi" w:eastAsia="Times New Roman" w:hAnsiTheme="majorHAnsi" w:cstheme="majorHAnsi"/>
          <w:lang w:val="ro-RO" w:eastAsia="ro-RO"/>
        </w:rPr>
        <w:t xml:space="preserve"> de control fiscal</w:t>
      </w:r>
      <w:r w:rsidR="00563A94">
        <w:rPr>
          <w:rFonts w:asciiTheme="majorHAnsi" w:eastAsia="Times New Roman" w:hAnsiTheme="majorHAnsi" w:cstheme="majorHAnsi"/>
          <w:lang w:val="ro-RO" w:eastAsia="ro-RO"/>
        </w:rPr>
        <w:t>.</w:t>
      </w:r>
    </w:p>
    <w:p w14:paraId="3F1CA923" w14:textId="2D19ED1F" w:rsidR="00007355" w:rsidRPr="00674B5D" w:rsidRDefault="00007355" w:rsidP="00007355">
      <w:pPr>
        <w:spacing w:after="120" w:line="288" w:lineRule="auto"/>
        <w:jc w:val="both"/>
        <w:rPr>
          <w:rFonts w:asciiTheme="majorHAnsi" w:eastAsia="Times New Roman" w:hAnsiTheme="majorHAnsi" w:cstheme="majorHAnsi"/>
          <w:lang w:val="ro-RO" w:eastAsia="ro-RO"/>
        </w:rPr>
      </w:pPr>
      <w:r>
        <w:rPr>
          <w:rFonts w:asciiTheme="majorHAnsi" w:eastAsia="Times New Roman" w:hAnsiTheme="majorHAnsi" w:cstheme="majorHAnsi"/>
          <w:lang w:val="ro-RO" w:eastAsia="ro-RO"/>
        </w:rPr>
        <w:t>D</w:t>
      </w:r>
      <w:r w:rsidRPr="00674B5D">
        <w:rPr>
          <w:rFonts w:asciiTheme="majorHAnsi" w:eastAsia="Times New Roman" w:hAnsiTheme="majorHAnsi" w:cstheme="majorHAnsi"/>
          <w:lang w:val="ro-RO" w:eastAsia="ro-RO"/>
        </w:rPr>
        <w:t xml:space="preserve">in perspectiva ANAF, </w:t>
      </w:r>
      <w:r>
        <w:rPr>
          <w:rFonts w:asciiTheme="majorHAnsi" w:eastAsia="Times New Roman" w:hAnsiTheme="majorHAnsi" w:cstheme="majorHAnsi"/>
          <w:lang w:val="ro-RO" w:eastAsia="ro-RO"/>
        </w:rPr>
        <w:t xml:space="preserve">avantajele noii proceduri constau atât în </w:t>
      </w:r>
      <w:r w:rsidRPr="00674B5D">
        <w:rPr>
          <w:rFonts w:asciiTheme="majorHAnsi" w:eastAsia="Times New Roman" w:hAnsiTheme="majorHAnsi" w:cstheme="majorHAnsi"/>
          <w:lang w:val="ro-RO" w:eastAsia="ro-RO"/>
        </w:rPr>
        <w:t xml:space="preserve">colectarea mai facilă a taxelor și impozitelor la bugetul de stat, </w:t>
      </w:r>
      <w:r>
        <w:rPr>
          <w:rFonts w:asciiTheme="majorHAnsi" w:eastAsia="Times New Roman" w:hAnsiTheme="majorHAnsi" w:cstheme="majorHAnsi"/>
          <w:lang w:val="ro-RO" w:eastAsia="ro-RO"/>
        </w:rPr>
        <w:t xml:space="preserve">cât și în </w:t>
      </w:r>
      <w:r w:rsidRPr="00674B5D">
        <w:rPr>
          <w:rFonts w:asciiTheme="majorHAnsi" w:eastAsia="Times New Roman" w:hAnsiTheme="majorHAnsi" w:cstheme="majorHAnsi"/>
          <w:lang w:val="ro-RO" w:eastAsia="ro-RO"/>
        </w:rPr>
        <w:t>eficientizare</w:t>
      </w:r>
      <w:r w:rsidR="003D5E25">
        <w:rPr>
          <w:rFonts w:asciiTheme="majorHAnsi" w:eastAsia="Times New Roman" w:hAnsiTheme="majorHAnsi" w:cstheme="majorHAnsi"/>
          <w:lang w:val="ro-RO" w:eastAsia="ro-RO"/>
        </w:rPr>
        <w:t>a</w:t>
      </w:r>
      <w:r w:rsidRPr="00674B5D">
        <w:rPr>
          <w:rFonts w:asciiTheme="majorHAnsi" w:eastAsia="Times New Roman" w:hAnsiTheme="majorHAnsi" w:cstheme="majorHAnsi"/>
          <w:lang w:val="ro-RO" w:eastAsia="ro-RO"/>
        </w:rPr>
        <w:t xml:space="preserve"> alocării resurse</w:t>
      </w:r>
      <w:r>
        <w:rPr>
          <w:rFonts w:asciiTheme="majorHAnsi" w:eastAsia="Times New Roman" w:hAnsiTheme="majorHAnsi" w:cstheme="majorHAnsi"/>
          <w:lang w:val="ro-RO" w:eastAsia="ro-RO"/>
        </w:rPr>
        <w:t>lor</w:t>
      </w:r>
      <w:r w:rsidRPr="00674B5D">
        <w:rPr>
          <w:rFonts w:asciiTheme="majorHAnsi" w:eastAsia="Times New Roman" w:hAnsiTheme="majorHAnsi" w:cstheme="majorHAnsi"/>
          <w:lang w:val="ro-RO" w:eastAsia="ro-RO"/>
        </w:rPr>
        <w:t xml:space="preserve"> umane, inspectorii fiscali urmând </w:t>
      </w:r>
      <w:r>
        <w:rPr>
          <w:rFonts w:asciiTheme="majorHAnsi" w:eastAsia="Times New Roman" w:hAnsiTheme="majorHAnsi" w:cstheme="majorHAnsi"/>
          <w:lang w:val="ro-RO" w:eastAsia="ro-RO"/>
        </w:rPr>
        <w:t>să</w:t>
      </w:r>
      <w:r w:rsidRPr="00674B5D">
        <w:rPr>
          <w:rFonts w:asciiTheme="majorHAnsi" w:eastAsia="Times New Roman" w:hAnsiTheme="majorHAnsi" w:cstheme="majorHAnsi"/>
          <w:lang w:val="ro-RO" w:eastAsia="ro-RO"/>
        </w:rPr>
        <w:t xml:space="preserve"> </w:t>
      </w:r>
      <w:r>
        <w:rPr>
          <w:rFonts w:asciiTheme="majorHAnsi" w:eastAsia="Times New Roman" w:hAnsiTheme="majorHAnsi" w:cstheme="majorHAnsi"/>
          <w:lang w:val="ro-RO" w:eastAsia="ro-RO"/>
        </w:rPr>
        <w:t xml:space="preserve">se dedice exclusiv </w:t>
      </w:r>
      <w:r w:rsidRPr="00674B5D">
        <w:rPr>
          <w:rFonts w:asciiTheme="majorHAnsi" w:eastAsia="Times New Roman" w:hAnsiTheme="majorHAnsi" w:cstheme="majorHAnsi"/>
          <w:lang w:val="ro-RO" w:eastAsia="ro-RO"/>
        </w:rPr>
        <w:t>acel</w:t>
      </w:r>
      <w:r>
        <w:rPr>
          <w:rFonts w:asciiTheme="majorHAnsi" w:eastAsia="Times New Roman" w:hAnsiTheme="majorHAnsi" w:cstheme="majorHAnsi"/>
          <w:lang w:val="ro-RO" w:eastAsia="ro-RO"/>
        </w:rPr>
        <w:t>or</w:t>
      </w:r>
      <w:r w:rsidRPr="00674B5D">
        <w:rPr>
          <w:rFonts w:asciiTheme="majorHAnsi" w:eastAsia="Times New Roman" w:hAnsiTheme="majorHAnsi" w:cstheme="majorHAnsi"/>
          <w:lang w:val="ro-RO" w:eastAsia="ro-RO"/>
        </w:rPr>
        <w:t xml:space="preserve"> acțiuni de control ce vizează tratarea riscurilor fiscale</w:t>
      </w:r>
      <w:r>
        <w:rPr>
          <w:rFonts w:asciiTheme="majorHAnsi" w:eastAsia="Times New Roman" w:hAnsiTheme="majorHAnsi" w:cstheme="majorHAnsi"/>
          <w:lang w:val="ro-RO" w:eastAsia="ro-RO"/>
        </w:rPr>
        <w:t xml:space="preserve"> persistente</w:t>
      </w:r>
      <w:r w:rsidRPr="00674B5D">
        <w:rPr>
          <w:rFonts w:asciiTheme="majorHAnsi" w:eastAsia="Times New Roman" w:hAnsiTheme="majorHAnsi" w:cstheme="majorHAnsi"/>
          <w:lang w:val="ro-RO" w:eastAsia="ro-RO"/>
        </w:rPr>
        <w:t>.</w:t>
      </w:r>
    </w:p>
    <w:p w14:paraId="499168F0" w14:textId="77777777" w:rsidR="00007355" w:rsidRPr="00887B51" w:rsidRDefault="00007355" w:rsidP="00007355">
      <w:pPr>
        <w:spacing w:after="120" w:line="288" w:lineRule="auto"/>
        <w:jc w:val="both"/>
        <w:rPr>
          <w:rFonts w:asciiTheme="majorHAnsi" w:eastAsia="Times New Roman" w:hAnsiTheme="majorHAnsi" w:cstheme="majorHAnsi"/>
          <w:lang w:val="ro-RO" w:eastAsia="ro-RO"/>
        </w:rPr>
      </w:pPr>
    </w:p>
    <w:p w14:paraId="6A73A9CF" w14:textId="77777777" w:rsidR="00007355" w:rsidRPr="006636B4" w:rsidRDefault="00007355" w:rsidP="00007355">
      <w:pPr>
        <w:spacing w:after="120" w:line="288" w:lineRule="auto"/>
        <w:jc w:val="both"/>
        <w:rPr>
          <w:rFonts w:asciiTheme="majorHAnsi" w:eastAsia="Times New Roman" w:hAnsiTheme="majorHAnsi" w:cstheme="majorHAnsi"/>
          <w:b/>
          <w:bCs/>
          <w:i/>
          <w:iCs/>
          <w:lang w:val="ro-RO" w:eastAsia="ro-RO"/>
        </w:rPr>
      </w:pPr>
      <w:r w:rsidRPr="006636B4">
        <w:rPr>
          <w:rFonts w:asciiTheme="majorHAnsi" w:eastAsia="Times New Roman" w:hAnsiTheme="majorHAnsi" w:cstheme="majorHAnsi"/>
          <w:b/>
          <w:bCs/>
          <w:lang w:val="ro-RO" w:eastAsia="ro-RO"/>
        </w:rPr>
        <w:t>Urmează testul eficienței</w:t>
      </w:r>
    </w:p>
    <w:p w14:paraId="7246563E" w14:textId="77777777" w:rsidR="00007355" w:rsidRPr="006636B4" w:rsidRDefault="00007355" w:rsidP="00007355">
      <w:pPr>
        <w:spacing w:after="120" w:line="288" w:lineRule="auto"/>
        <w:jc w:val="both"/>
        <w:rPr>
          <w:rFonts w:asciiTheme="majorHAnsi" w:eastAsia="Times New Roman" w:hAnsiTheme="majorHAnsi" w:cstheme="majorHAnsi"/>
          <w:lang w:val="ro-RO" w:eastAsia="ro-RO"/>
        </w:rPr>
      </w:pPr>
      <w:r w:rsidRPr="006636B4">
        <w:rPr>
          <w:rFonts w:asciiTheme="majorHAnsi" w:eastAsia="Times New Roman" w:hAnsiTheme="majorHAnsi" w:cstheme="majorHAnsi"/>
          <w:lang w:val="ro-RO" w:eastAsia="ro-RO"/>
        </w:rPr>
        <w:t>Proiect</w:t>
      </w:r>
      <w:r>
        <w:rPr>
          <w:rFonts w:asciiTheme="majorHAnsi" w:eastAsia="Times New Roman" w:hAnsiTheme="majorHAnsi" w:cstheme="majorHAnsi"/>
          <w:lang w:val="ro-RO" w:eastAsia="ro-RO"/>
        </w:rPr>
        <w:t>ele</w:t>
      </w:r>
      <w:r w:rsidRPr="006636B4">
        <w:rPr>
          <w:rFonts w:asciiTheme="majorHAnsi" w:eastAsia="Times New Roman" w:hAnsiTheme="majorHAnsi" w:cstheme="majorHAnsi"/>
          <w:lang w:val="ro-RO" w:eastAsia="ro-RO"/>
        </w:rPr>
        <w:t xml:space="preserve"> de </w:t>
      </w:r>
      <w:r>
        <w:rPr>
          <w:rFonts w:asciiTheme="majorHAnsi" w:eastAsia="Times New Roman" w:hAnsiTheme="majorHAnsi" w:cstheme="majorHAnsi"/>
          <w:lang w:val="ro-RO" w:eastAsia="ro-RO"/>
        </w:rPr>
        <w:t>o</w:t>
      </w:r>
      <w:r w:rsidRPr="006636B4">
        <w:rPr>
          <w:rFonts w:asciiTheme="majorHAnsi" w:eastAsia="Times New Roman" w:hAnsiTheme="majorHAnsi" w:cstheme="majorHAnsi"/>
          <w:lang w:val="ro-RO" w:eastAsia="ro-RO"/>
        </w:rPr>
        <w:t xml:space="preserve">rdin </w:t>
      </w:r>
      <w:r>
        <w:rPr>
          <w:rFonts w:asciiTheme="majorHAnsi" w:eastAsia="Times New Roman" w:hAnsiTheme="majorHAnsi" w:cstheme="majorHAnsi"/>
          <w:lang w:val="ro-RO" w:eastAsia="ro-RO"/>
        </w:rPr>
        <w:t xml:space="preserve">pentru aprobarea legislației secundare, publicate recent, conțin </w:t>
      </w:r>
      <w:r w:rsidRPr="006636B4">
        <w:rPr>
          <w:rFonts w:asciiTheme="majorHAnsi" w:eastAsia="Times New Roman" w:hAnsiTheme="majorHAnsi" w:cstheme="majorHAnsi"/>
          <w:lang w:val="ro-RO" w:eastAsia="ro-RO"/>
        </w:rPr>
        <w:t xml:space="preserve">precizări referitoare la situațiile în care notificarea de conformare va fi și, în special, nu va fi trimisă către contribuabil înainte de selectarea pentru inspecția fiscală sau verificarea situației fiscale personale. </w:t>
      </w:r>
    </w:p>
    <w:p w14:paraId="0F6785E2" w14:textId="77777777" w:rsidR="00007355" w:rsidRPr="006636B4" w:rsidRDefault="00007355" w:rsidP="00007355">
      <w:pPr>
        <w:spacing w:after="120" w:line="288" w:lineRule="auto"/>
        <w:jc w:val="both"/>
        <w:rPr>
          <w:rFonts w:asciiTheme="majorHAnsi" w:eastAsia="Times New Roman" w:hAnsiTheme="majorHAnsi" w:cstheme="majorHAnsi"/>
          <w:lang w:val="ro-RO" w:eastAsia="ro-RO"/>
        </w:rPr>
      </w:pPr>
      <w:r>
        <w:rPr>
          <w:rFonts w:asciiTheme="majorHAnsi" w:eastAsia="Times New Roman" w:hAnsiTheme="majorHAnsi" w:cstheme="majorHAnsi"/>
          <w:lang w:val="ro-RO" w:eastAsia="ro-RO"/>
        </w:rPr>
        <w:t xml:space="preserve">Conform documentelor, </w:t>
      </w:r>
      <w:r w:rsidRPr="006636B4">
        <w:rPr>
          <w:rFonts w:asciiTheme="majorHAnsi" w:eastAsia="Times New Roman" w:hAnsiTheme="majorHAnsi" w:cstheme="majorHAnsi"/>
          <w:lang w:val="ro-RO" w:eastAsia="ro-RO"/>
        </w:rPr>
        <w:t xml:space="preserve">notificarea va fi emisă ori de câte ori, urmare a analizei de risc, sunt identificate noi riscuri fiscale, care nu au fost notificate anterior și nici nu au făcut obiectul controalelor fiscale. </w:t>
      </w:r>
    </w:p>
    <w:p w14:paraId="1187DE3C" w14:textId="77777777" w:rsidR="00007355" w:rsidRPr="006636B4" w:rsidRDefault="00007355" w:rsidP="00007355">
      <w:pPr>
        <w:spacing w:after="120" w:line="288" w:lineRule="auto"/>
        <w:jc w:val="both"/>
        <w:rPr>
          <w:rFonts w:asciiTheme="majorHAnsi" w:eastAsia="Times New Roman" w:hAnsiTheme="majorHAnsi" w:cstheme="majorHAnsi"/>
          <w:lang w:val="ro-RO" w:eastAsia="ro-RO"/>
        </w:rPr>
      </w:pPr>
      <w:r w:rsidRPr="006636B4">
        <w:rPr>
          <w:rFonts w:asciiTheme="majorHAnsi" w:eastAsia="Times New Roman" w:hAnsiTheme="majorHAnsi" w:cstheme="majorHAnsi"/>
          <w:lang w:val="ro-RO" w:eastAsia="ro-RO"/>
        </w:rPr>
        <w:t xml:space="preserve">Pe de altă parte, notificarea nu va fi trimisă </w:t>
      </w:r>
      <w:r>
        <w:rPr>
          <w:rFonts w:asciiTheme="majorHAnsi" w:eastAsia="Times New Roman" w:hAnsiTheme="majorHAnsi" w:cstheme="majorHAnsi"/>
          <w:lang w:val="ro-RO" w:eastAsia="ro-RO"/>
        </w:rPr>
        <w:t xml:space="preserve">dacă: </w:t>
      </w:r>
      <w:r w:rsidRPr="006636B4">
        <w:rPr>
          <w:rFonts w:asciiTheme="majorHAnsi" w:eastAsia="Times New Roman" w:hAnsiTheme="majorHAnsi" w:cstheme="majorHAnsi"/>
          <w:lang w:val="ro-RO" w:eastAsia="ro-RO"/>
        </w:rPr>
        <w:t xml:space="preserve">inspecția fiscală este necesară pentru soluționarea unor cereri ale contribuabilului, efectuarea inspecției fiscale este prevăzută în mod expres în alte acte normative sau există pericolul ca plătitorul/contribuabilul să se sustragă inspecției fiscale. De asemenea, </w:t>
      </w:r>
      <w:r>
        <w:rPr>
          <w:rFonts w:asciiTheme="majorHAnsi" w:eastAsia="Times New Roman" w:hAnsiTheme="majorHAnsi" w:cstheme="majorHAnsi"/>
          <w:lang w:val="ro-RO" w:eastAsia="ro-RO"/>
        </w:rPr>
        <w:t xml:space="preserve">mai sunt și alte cazuri în care organul de control </w:t>
      </w:r>
      <w:r w:rsidRPr="006636B4">
        <w:rPr>
          <w:rFonts w:asciiTheme="majorHAnsi" w:eastAsia="Times New Roman" w:hAnsiTheme="majorHAnsi" w:cstheme="majorHAnsi"/>
          <w:lang w:val="ro-RO" w:eastAsia="ro-RO"/>
        </w:rPr>
        <w:t>nu emi</w:t>
      </w:r>
      <w:r>
        <w:rPr>
          <w:rFonts w:asciiTheme="majorHAnsi" w:eastAsia="Times New Roman" w:hAnsiTheme="majorHAnsi" w:cstheme="majorHAnsi"/>
          <w:lang w:val="ro-RO" w:eastAsia="ro-RO"/>
        </w:rPr>
        <w:t>te</w:t>
      </w:r>
      <w:r w:rsidRPr="006636B4">
        <w:rPr>
          <w:rFonts w:asciiTheme="majorHAnsi" w:eastAsia="Times New Roman" w:hAnsiTheme="majorHAnsi" w:cstheme="majorHAnsi"/>
          <w:lang w:val="ro-RO" w:eastAsia="ro-RO"/>
        </w:rPr>
        <w:t xml:space="preserve"> o notificare </w:t>
      </w:r>
      <w:r>
        <w:rPr>
          <w:rFonts w:asciiTheme="majorHAnsi" w:eastAsia="Times New Roman" w:hAnsiTheme="majorHAnsi" w:cstheme="majorHAnsi"/>
          <w:lang w:val="ro-RO" w:eastAsia="ro-RO"/>
        </w:rPr>
        <w:t xml:space="preserve">înainte de începerea inspecției fiscale, respectiv cele în care </w:t>
      </w:r>
      <w:r w:rsidRPr="006636B4">
        <w:rPr>
          <w:rFonts w:asciiTheme="majorHAnsi" w:eastAsia="Times New Roman" w:hAnsiTheme="majorHAnsi" w:cstheme="majorHAnsi"/>
          <w:lang w:val="ro-RO" w:eastAsia="ro-RO"/>
        </w:rPr>
        <w:t>nu comunică aviz de inspecție fiscală</w:t>
      </w:r>
      <w:r>
        <w:rPr>
          <w:rFonts w:asciiTheme="majorHAnsi" w:eastAsia="Times New Roman" w:hAnsiTheme="majorHAnsi" w:cstheme="majorHAnsi"/>
          <w:lang w:val="ro-RO" w:eastAsia="ro-RO"/>
        </w:rPr>
        <w:t>. P</w:t>
      </w:r>
      <w:r w:rsidRPr="006636B4">
        <w:rPr>
          <w:rFonts w:asciiTheme="majorHAnsi" w:eastAsia="Times New Roman" w:hAnsiTheme="majorHAnsi" w:cstheme="majorHAnsi"/>
          <w:lang w:val="ro-RO" w:eastAsia="ro-RO"/>
        </w:rPr>
        <w:t>rintre situaț</w:t>
      </w:r>
      <w:r>
        <w:rPr>
          <w:rFonts w:asciiTheme="majorHAnsi" w:eastAsia="Times New Roman" w:hAnsiTheme="majorHAnsi" w:cstheme="majorHAnsi"/>
          <w:lang w:val="ro-RO" w:eastAsia="ro-RO"/>
        </w:rPr>
        <w:t>i</w:t>
      </w:r>
      <w:r w:rsidRPr="006636B4">
        <w:rPr>
          <w:rFonts w:asciiTheme="majorHAnsi" w:eastAsia="Times New Roman" w:hAnsiTheme="majorHAnsi" w:cstheme="majorHAnsi"/>
          <w:lang w:val="ro-RO" w:eastAsia="ro-RO"/>
        </w:rPr>
        <w:t>ile</w:t>
      </w:r>
      <w:r>
        <w:rPr>
          <w:rFonts w:asciiTheme="majorHAnsi" w:eastAsia="Times New Roman" w:hAnsiTheme="majorHAnsi" w:cstheme="majorHAnsi"/>
          <w:lang w:val="ro-RO" w:eastAsia="ro-RO"/>
        </w:rPr>
        <w:t xml:space="preserve"> de acest gen des</w:t>
      </w:r>
      <w:r w:rsidRPr="006636B4">
        <w:rPr>
          <w:rFonts w:asciiTheme="majorHAnsi" w:eastAsia="Times New Roman" w:hAnsiTheme="majorHAnsi" w:cstheme="majorHAnsi"/>
          <w:lang w:val="ro-RO" w:eastAsia="ro-RO"/>
        </w:rPr>
        <w:t xml:space="preserve"> întâlnite în practică </w:t>
      </w:r>
      <w:r>
        <w:rPr>
          <w:rFonts w:asciiTheme="majorHAnsi" w:eastAsia="Times New Roman" w:hAnsiTheme="majorHAnsi" w:cstheme="majorHAnsi"/>
          <w:lang w:val="ro-RO" w:eastAsia="ro-RO"/>
        </w:rPr>
        <w:t xml:space="preserve">se numără </w:t>
      </w:r>
      <w:r w:rsidRPr="006636B4">
        <w:rPr>
          <w:rFonts w:asciiTheme="majorHAnsi" w:eastAsia="Times New Roman" w:hAnsiTheme="majorHAnsi" w:cstheme="majorHAnsi"/>
          <w:lang w:val="ro-RO" w:eastAsia="ro-RO"/>
        </w:rPr>
        <w:t>refacer</w:t>
      </w:r>
      <w:r>
        <w:rPr>
          <w:rFonts w:asciiTheme="majorHAnsi" w:eastAsia="Times New Roman" w:hAnsiTheme="majorHAnsi" w:cstheme="majorHAnsi"/>
          <w:lang w:val="ro-RO" w:eastAsia="ro-RO"/>
        </w:rPr>
        <w:t>ea</w:t>
      </w:r>
      <w:r w:rsidRPr="006636B4">
        <w:rPr>
          <w:rFonts w:asciiTheme="majorHAnsi" w:eastAsia="Times New Roman" w:hAnsiTheme="majorHAnsi" w:cstheme="majorHAnsi"/>
          <w:lang w:val="ro-RO" w:eastAsia="ro-RO"/>
        </w:rPr>
        <w:t xml:space="preserve"> inspecției fiscale sau efectu</w:t>
      </w:r>
      <w:r>
        <w:rPr>
          <w:rFonts w:asciiTheme="majorHAnsi" w:eastAsia="Times New Roman" w:hAnsiTheme="majorHAnsi" w:cstheme="majorHAnsi"/>
          <w:lang w:val="ro-RO" w:eastAsia="ro-RO"/>
        </w:rPr>
        <w:t>area</w:t>
      </w:r>
      <w:r w:rsidRPr="006636B4">
        <w:rPr>
          <w:rFonts w:asciiTheme="majorHAnsi" w:eastAsia="Times New Roman" w:hAnsiTheme="majorHAnsi" w:cstheme="majorHAnsi"/>
          <w:lang w:val="ro-RO" w:eastAsia="ro-RO"/>
        </w:rPr>
        <w:t xml:space="preserve"> în prealabil a unui control inopinat</w:t>
      </w:r>
      <w:r>
        <w:rPr>
          <w:rFonts w:asciiTheme="majorHAnsi" w:eastAsia="Times New Roman" w:hAnsiTheme="majorHAnsi" w:cstheme="majorHAnsi"/>
          <w:lang w:val="ro-RO" w:eastAsia="ro-RO"/>
        </w:rPr>
        <w:t>,</w:t>
      </w:r>
      <w:r w:rsidRPr="006636B4">
        <w:rPr>
          <w:rFonts w:asciiTheme="majorHAnsi" w:eastAsia="Times New Roman" w:hAnsiTheme="majorHAnsi" w:cstheme="majorHAnsi"/>
          <w:lang w:val="ro-RO" w:eastAsia="ro-RO"/>
        </w:rPr>
        <w:t xml:space="preserve"> în urma căruia se impune începerea imediat</w:t>
      </w:r>
      <w:r w:rsidRPr="00674B5D">
        <w:rPr>
          <w:rFonts w:asciiTheme="majorHAnsi" w:eastAsia="Times New Roman" w:hAnsiTheme="majorHAnsi" w:cstheme="majorHAnsi"/>
          <w:lang w:val="ro-RO" w:eastAsia="ro-RO"/>
        </w:rPr>
        <w:t xml:space="preserve">ă a </w:t>
      </w:r>
      <w:r w:rsidRPr="006636B4">
        <w:rPr>
          <w:rFonts w:asciiTheme="majorHAnsi" w:eastAsia="Times New Roman" w:hAnsiTheme="majorHAnsi" w:cstheme="majorHAnsi"/>
          <w:lang w:val="ro-RO" w:eastAsia="ro-RO"/>
        </w:rPr>
        <w:t xml:space="preserve">inspecției fiscale. </w:t>
      </w:r>
      <w:r>
        <w:rPr>
          <w:rFonts w:asciiTheme="majorHAnsi" w:eastAsia="Times New Roman" w:hAnsiTheme="majorHAnsi" w:cstheme="majorHAnsi"/>
          <w:lang w:val="ro-RO" w:eastAsia="ro-RO"/>
        </w:rPr>
        <w:t>Excepțiile de la transmiterea notificării sunt similare</w:t>
      </w:r>
      <w:r w:rsidRPr="006636B4">
        <w:rPr>
          <w:rFonts w:asciiTheme="majorHAnsi" w:eastAsia="Times New Roman" w:hAnsiTheme="majorHAnsi" w:cstheme="majorHAnsi"/>
          <w:lang w:val="ro-RO" w:eastAsia="ro-RO"/>
        </w:rPr>
        <w:t xml:space="preserve"> și în cazul verificării situației fiscale personale. </w:t>
      </w:r>
    </w:p>
    <w:p w14:paraId="246560F1" w14:textId="77777777" w:rsidR="00007355" w:rsidRPr="00674B5D" w:rsidRDefault="00007355" w:rsidP="00007355">
      <w:pPr>
        <w:spacing w:after="120" w:line="288" w:lineRule="auto"/>
        <w:jc w:val="both"/>
        <w:rPr>
          <w:rFonts w:asciiTheme="majorHAnsi" w:eastAsia="Times New Roman" w:hAnsiTheme="majorHAnsi" w:cstheme="majorHAnsi"/>
          <w:lang w:val="ro-RO" w:eastAsia="ro-RO"/>
        </w:rPr>
      </w:pPr>
      <w:r>
        <w:rPr>
          <w:rFonts w:asciiTheme="majorHAnsi" w:eastAsia="Times New Roman" w:hAnsiTheme="majorHAnsi" w:cstheme="majorHAnsi"/>
          <w:lang w:val="ro-RO" w:eastAsia="ro-RO"/>
        </w:rPr>
        <w:t xml:space="preserve">Așadar, </w:t>
      </w:r>
      <w:r w:rsidRPr="00674B5D">
        <w:rPr>
          <w:rFonts w:asciiTheme="majorHAnsi" w:eastAsia="Times New Roman" w:hAnsiTheme="majorHAnsi" w:cstheme="majorHAnsi"/>
          <w:lang w:val="ro-RO" w:eastAsia="ro-RO"/>
        </w:rPr>
        <w:t xml:space="preserve">contribuabilii </w:t>
      </w:r>
      <w:r>
        <w:rPr>
          <w:rFonts w:asciiTheme="majorHAnsi" w:eastAsia="Times New Roman" w:hAnsiTheme="majorHAnsi" w:cstheme="majorHAnsi"/>
          <w:lang w:val="ro-RO" w:eastAsia="ro-RO"/>
        </w:rPr>
        <w:t xml:space="preserve">trebuie să rețină că pot exista situații în care </w:t>
      </w:r>
      <w:r w:rsidRPr="006636B4">
        <w:rPr>
          <w:rFonts w:asciiTheme="majorHAnsi" w:eastAsia="Times New Roman" w:hAnsiTheme="majorHAnsi" w:cstheme="majorHAnsi"/>
          <w:b/>
          <w:bCs/>
          <w:lang w:val="ro-RO" w:eastAsia="ro-RO"/>
        </w:rPr>
        <w:t>nu vor primi notificare de conformare înainte de selectarea</w:t>
      </w:r>
      <w:r w:rsidRPr="00674B5D">
        <w:rPr>
          <w:rFonts w:asciiTheme="majorHAnsi" w:eastAsia="Times New Roman" w:hAnsiTheme="majorHAnsi" w:cstheme="majorHAnsi"/>
          <w:lang w:val="ro-RO" w:eastAsia="ro-RO"/>
        </w:rPr>
        <w:t xml:space="preserve"> </w:t>
      </w:r>
      <w:r w:rsidRPr="006636B4">
        <w:rPr>
          <w:rFonts w:asciiTheme="majorHAnsi" w:eastAsia="Times New Roman" w:hAnsiTheme="majorHAnsi" w:cstheme="majorHAnsi"/>
          <w:b/>
          <w:bCs/>
          <w:lang w:val="ro-RO" w:eastAsia="ro-RO"/>
        </w:rPr>
        <w:t>pentru inspecție fiscală sau verificarea situației fiscale personale</w:t>
      </w:r>
      <w:r w:rsidRPr="00674B5D">
        <w:rPr>
          <w:rFonts w:asciiTheme="majorHAnsi" w:eastAsia="Times New Roman" w:hAnsiTheme="majorHAnsi" w:cstheme="majorHAnsi"/>
          <w:lang w:val="ro-RO" w:eastAsia="ro-RO"/>
        </w:rPr>
        <w:t xml:space="preserve">, </w:t>
      </w:r>
      <w:r>
        <w:rPr>
          <w:rFonts w:asciiTheme="majorHAnsi" w:eastAsia="Times New Roman" w:hAnsiTheme="majorHAnsi" w:cstheme="majorHAnsi"/>
          <w:lang w:val="ro-RO" w:eastAsia="ro-RO"/>
        </w:rPr>
        <w:t xml:space="preserve">acestea constituind </w:t>
      </w:r>
      <w:r w:rsidRPr="00674B5D">
        <w:rPr>
          <w:rFonts w:asciiTheme="majorHAnsi" w:eastAsia="Times New Roman" w:hAnsiTheme="majorHAnsi" w:cstheme="majorHAnsi"/>
          <w:lang w:val="ro-RO" w:eastAsia="ro-RO"/>
        </w:rPr>
        <w:t xml:space="preserve">excepții importante de la regulă. Prin urmare, după definitivarea și intrarea în vigoare a </w:t>
      </w:r>
      <w:r>
        <w:rPr>
          <w:rFonts w:asciiTheme="majorHAnsi" w:eastAsia="Times New Roman" w:hAnsiTheme="majorHAnsi" w:cstheme="majorHAnsi"/>
          <w:lang w:val="ro-RO" w:eastAsia="ro-RO"/>
        </w:rPr>
        <w:t>prevederilor menționate</w:t>
      </w:r>
      <w:r w:rsidRPr="00674B5D">
        <w:rPr>
          <w:rFonts w:asciiTheme="majorHAnsi" w:eastAsia="Times New Roman" w:hAnsiTheme="majorHAnsi" w:cstheme="majorHAnsi"/>
          <w:lang w:val="ro-RO" w:eastAsia="ro-RO"/>
        </w:rPr>
        <w:t xml:space="preserve">, contribuabilii se pot aștepta </w:t>
      </w:r>
      <w:r>
        <w:rPr>
          <w:rFonts w:asciiTheme="majorHAnsi" w:eastAsia="Times New Roman" w:hAnsiTheme="majorHAnsi" w:cstheme="majorHAnsi"/>
          <w:lang w:val="ro-RO" w:eastAsia="ro-RO"/>
        </w:rPr>
        <w:t xml:space="preserve">să </w:t>
      </w:r>
      <w:r w:rsidRPr="00674B5D">
        <w:rPr>
          <w:rFonts w:asciiTheme="majorHAnsi" w:eastAsia="Times New Roman" w:hAnsiTheme="majorHAnsi" w:cstheme="majorHAnsi"/>
          <w:lang w:val="ro-RO" w:eastAsia="ro-RO"/>
        </w:rPr>
        <w:t>prim</w:t>
      </w:r>
      <w:r>
        <w:rPr>
          <w:rFonts w:asciiTheme="majorHAnsi" w:eastAsia="Times New Roman" w:hAnsiTheme="majorHAnsi" w:cstheme="majorHAnsi"/>
          <w:lang w:val="ro-RO" w:eastAsia="ro-RO"/>
        </w:rPr>
        <w:t xml:space="preserve">ească </w:t>
      </w:r>
      <w:r w:rsidRPr="00674B5D">
        <w:rPr>
          <w:rFonts w:asciiTheme="majorHAnsi" w:eastAsia="Times New Roman" w:hAnsiTheme="majorHAnsi" w:cstheme="majorHAnsi"/>
          <w:lang w:val="ro-RO" w:eastAsia="ro-RO"/>
        </w:rPr>
        <w:t xml:space="preserve">din partea ANAF notificări de conformare, </w:t>
      </w:r>
      <w:r>
        <w:rPr>
          <w:rFonts w:asciiTheme="majorHAnsi" w:eastAsia="Times New Roman" w:hAnsiTheme="majorHAnsi" w:cstheme="majorHAnsi"/>
          <w:lang w:val="ro-RO" w:eastAsia="ro-RO"/>
        </w:rPr>
        <w:t xml:space="preserve">dar trebuie să ia în calcul și posibilitatea demarării </w:t>
      </w:r>
      <w:r w:rsidRPr="00674B5D">
        <w:rPr>
          <w:rFonts w:asciiTheme="majorHAnsi" w:eastAsia="Times New Roman" w:hAnsiTheme="majorHAnsi" w:cstheme="majorHAnsi"/>
          <w:lang w:val="ro-RO" w:eastAsia="ro-RO"/>
        </w:rPr>
        <w:t>inspecți</w:t>
      </w:r>
      <w:r>
        <w:rPr>
          <w:rFonts w:asciiTheme="majorHAnsi" w:eastAsia="Times New Roman" w:hAnsiTheme="majorHAnsi" w:cstheme="majorHAnsi"/>
          <w:lang w:val="ro-RO" w:eastAsia="ro-RO"/>
        </w:rPr>
        <w:t>ei</w:t>
      </w:r>
      <w:r w:rsidRPr="00674B5D">
        <w:rPr>
          <w:rFonts w:asciiTheme="majorHAnsi" w:eastAsia="Times New Roman" w:hAnsiTheme="majorHAnsi" w:cstheme="majorHAnsi"/>
          <w:lang w:val="ro-RO" w:eastAsia="ro-RO"/>
        </w:rPr>
        <w:t xml:space="preserve"> fiscal</w:t>
      </w:r>
      <w:r>
        <w:rPr>
          <w:rFonts w:asciiTheme="majorHAnsi" w:eastAsia="Times New Roman" w:hAnsiTheme="majorHAnsi" w:cstheme="majorHAnsi"/>
          <w:lang w:val="ro-RO" w:eastAsia="ro-RO"/>
        </w:rPr>
        <w:t>e sau verificării situației fiscale personale</w:t>
      </w:r>
      <w:r w:rsidRPr="00674B5D">
        <w:rPr>
          <w:rFonts w:asciiTheme="majorHAnsi" w:eastAsia="Times New Roman" w:hAnsiTheme="majorHAnsi" w:cstheme="majorHAnsi"/>
          <w:lang w:val="ro-RO" w:eastAsia="ro-RO"/>
        </w:rPr>
        <w:t xml:space="preserve"> </w:t>
      </w:r>
      <w:r>
        <w:rPr>
          <w:rFonts w:asciiTheme="majorHAnsi" w:eastAsia="Times New Roman" w:hAnsiTheme="majorHAnsi" w:cstheme="majorHAnsi"/>
          <w:lang w:val="ro-RO" w:eastAsia="ro-RO"/>
        </w:rPr>
        <w:t xml:space="preserve">fără să fi primit o astfel de </w:t>
      </w:r>
      <w:r w:rsidRPr="00674B5D">
        <w:rPr>
          <w:rFonts w:asciiTheme="majorHAnsi" w:eastAsia="Times New Roman" w:hAnsiTheme="majorHAnsi" w:cstheme="majorHAnsi"/>
          <w:lang w:val="ro-RO" w:eastAsia="ro-RO"/>
        </w:rPr>
        <w:t>notific</w:t>
      </w:r>
      <w:r>
        <w:rPr>
          <w:rFonts w:asciiTheme="majorHAnsi" w:eastAsia="Times New Roman" w:hAnsiTheme="majorHAnsi" w:cstheme="majorHAnsi"/>
          <w:lang w:val="ro-RO" w:eastAsia="ro-RO"/>
        </w:rPr>
        <w:t>are (</w:t>
      </w:r>
      <w:r w:rsidRPr="00674B5D">
        <w:rPr>
          <w:rFonts w:asciiTheme="majorHAnsi" w:eastAsia="Times New Roman" w:hAnsiTheme="majorHAnsi" w:cstheme="majorHAnsi"/>
          <w:lang w:val="ro-RO" w:eastAsia="ro-RO"/>
        </w:rPr>
        <w:t>în cazurile menționate de lege</w:t>
      </w:r>
      <w:r>
        <w:rPr>
          <w:rFonts w:asciiTheme="majorHAnsi" w:eastAsia="Times New Roman" w:hAnsiTheme="majorHAnsi" w:cstheme="majorHAnsi"/>
          <w:lang w:val="ro-RO" w:eastAsia="ro-RO"/>
        </w:rPr>
        <w:t>) și fără a beneficia astfel de avantajele anterior menționate.</w:t>
      </w:r>
      <w:r w:rsidRPr="00674B5D">
        <w:rPr>
          <w:rFonts w:asciiTheme="majorHAnsi" w:eastAsia="Times New Roman" w:hAnsiTheme="majorHAnsi" w:cstheme="majorHAnsi"/>
          <w:lang w:val="ro-RO" w:eastAsia="ro-RO"/>
        </w:rPr>
        <w:t xml:space="preserve"> </w:t>
      </w:r>
    </w:p>
    <w:p w14:paraId="6044B96B" w14:textId="77777777" w:rsidR="00007355" w:rsidRPr="006636B4" w:rsidRDefault="00007355" w:rsidP="00007355">
      <w:pPr>
        <w:spacing w:after="120" w:line="288" w:lineRule="auto"/>
        <w:jc w:val="both"/>
        <w:rPr>
          <w:rFonts w:asciiTheme="majorHAnsi" w:eastAsia="Times New Roman" w:hAnsiTheme="majorHAnsi" w:cstheme="majorHAnsi"/>
          <w:lang w:val="ro-RO" w:eastAsia="ro-RO"/>
        </w:rPr>
      </w:pPr>
      <w:r>
        <w:rPr>
          <w:rFonts w:asciiTheme="majorHAnsi" w:eastAsia="Times New Roman" w:hAnsiTheme="majorHAnsi" w:cstheme="majorHAnsi"/>
          <w:lang w:val="ro-RO" w:eastAsia="ro-RO"/>
        </w:rPr>
        <w:t>În concluzie, r</w:t>
      </w:r>
      <w:r w:rsidRPr="00674B5D">
        <w:rPr>
          <w:rFonts w:asciiTheme="majorHAnsi" w:eastAsia="Times New Roman" w:hAnsiTheme="majorHAnsi" w:cstheme="majorHAnsi"/>
          <w:lang w:val="ro-RO" w:eastAsia="ro-RO"/>
        </w:rPr>
        <w:t>ămâne de v</w:t>
      </w:r>
      <w:r>
        <w:rPr>
          <w:rFonts w:asciiTheme="majorHAnsi" w:eastAsia="Times New Roman" w:hAnsiTheme="majorHAnsi" w:cstheme="majorHAnsi"/>
          <w:lang w:val="ro-RO" w:eastAsia="ro-RO"/>
        </w:rPr>
        <w:t>ă</w:t>
      </w:r>
      <w:r w:rsidRPr="00674B5D">
        <w:rPr>
          <w:rFonts w:asciiTheme="majorHAnsi" w:eastAsia="Times New Roman" w:hAnsiTheme="majorHAnsi" w:cstheme="majorHAnsi"/>
          <w:lang w:val="ro-RO" w:eastAsia="ro-RO"/>
        </w:rPr>
        <w:t xml:space="preserve">zut dacă această </w:t>
      </w:r>
      <w:r>
        <w:rPr>
          <w:rFonts w:asciiTheme="majorHAnsi" w:eastAsia="Times New Roman" w:hAnsiTheme="majorHAnsi" w:cstheme="majorHAnsi"/>
          <w:lang w:val="ro-RO" w:eastAsia="ro-RO"/>
        </w:rPr>
        <w:t xml:space="preserve">nouă procedură </w:t>
      </w:r>
      <w:r w:rsidRPr="00674B5D">
        <w:rPr>
          <w:rFonts w:asciiTheme="majorHAnsi" w:eastAsia="Times New Roman" w:hAnsiTheme="majorHAnsi" w:cstheme="majorHAnsi"/>
          <w:lang w:val="ro-RO" w:eastAsia="ro-RO"/>
        </w:rPr>
        <w:t>va</w:t>
      </w:r>
      <w:r>
        <w:rPr>
          <w:rFonts w:asciiTheme="majorHAnsi" w:eastAsia="Times New Roman" w:hAnsiTheme="majorHAnsi" w:cstheme="majorHAnsi"/>
          <w:lang w:val="ro-RO" w:eastAsia="ro-RO"/>
        </w:rPr>
        <w:t xml:space="preserve"> avea ca efect, în practică,</w:t>
      </w:r>
      <w:r w:rsidRPr="00674B5D">
        <w:rPr>
          <w:rFonts w:asciiTheme="majorHAnsi" w:eastAsia="Times New Roman" w:hAnsiTheme="majorHAnsi" w:cstheme="majorHAnsi"/>
          <w:lang w:val="ro-RO" w:eastAsia="ro-RO"/>
        </w:rPr>
        <w:t xml:space="preserve"> evitarea </w:t>
      </w:r>
      <w:r>
        <w:rPr>
          <w:rFonts w:asciiTheme="majorHAnsi" w:eastAsia="Times New Roman" w:hAnsiTheme="majorHAnsi" w:cstheme="majorHAnsi"/>
          <w:lang w:val="ro-RO" w:eastAsia="ro-RO"/>
        </w:rPr>
        <w:t xml:space="preserve">unor </w:t>
      </w:r>
      <w:r w:rsidRPr="00674B5D">
        <w:rPr>
          <w:rFonts w:asciiTheme="majorHAnsi" w:eastAsia="Times New Roman" w:hAnsiTheme="majorHAnsi" w:cstheme="majorHAnsi"/>
          <w:lang w:val="ro-RO" w:eastAsia="ro-RO"/>
        </w:rPr>
        <w:t>inspecții fiscale</w:t>
      </w:r>
      <w:r>
        <w:rPr>
          <w:rFonts w:asciiTheme="majorHAnsi" w:eastAsia="Times New Roman" w:hAnsiTheme="majorHAnsi" w:cstheme="majorHAnsi"/>
          <w:lang w:val="ro-RO" w:eastAsia="ro-RO"/>
        </w:rPr>
        <w:t xml:space="preserve"> sau </w:t>
      </w:r>
      <w:r w:rsidRPr="00674B5D">
        <w:rPr>
          <w:rFonts w:asciiTheme="majorHAnsi" w:eastAsia="Times New Roman" w:hAnsiTheme="majorHAnsi" w:cstheme="majorHAnsi"/>
          <w:lang w:val="ro-RO" w:eastAsia="ro-RO"/>
        </w:rPr>
        <w:t>verificări de situații fiscale personale</w:t>
      </w:r>
      <w:r>
        <w:rPr>
          <w:rFonts w:asciiTheme="majorHAnsi" w:eastAsia="Times New Roman" w:hAnsiTheme="majorHAnsi" w:cstheme="majorHAnsi"/>
          <w:lang w:val="ro-RO" w:eastAsia="ro-RO"/>
        </w:rPr>
        <w:t>,</w:t>
      </w:r>
      <w:r w:rsidRPr="00674B5D">
        <w:rPr>
          <w:rFonts w:asciiTheme="majorHAnsi" w:eastAsia="Times New Roman" w:hAnsiTheme="majorHAnsi" w:cstheme="majorHAnsi"/>
          <w:lang w:val="ro-RO" w:eastAsia="ro-RO"/>
        </w:rPr>
        <w:t xml:space="preserve"> ca urmare a conformării voluntare a contribuabililor. </w:t>
      </w:r>
      <w:r>
        <w:rPr>
          <w:rFonts w:asciiTheme="majorHAnsi" w:eastAsia="Times New Roman" w:hAnsiTheme="majorHAnsi" w:cstheme="majorHAnsi"/>
          <w:lang w:val="ro-RO" w:eastAsia="ro-RO"/>
        </w:rPr>
        <w:t xml:space="preserve">Rezultatul </w:t>
      </w:r>
      <w:r w:rsidRPr="006636B4">
        <w:rPr>
          <w:rFonts w:asciiTheme="majorHAnsi" w:eastAsia="Times New Roman" w:hAnsiTheme="majorHAnsi" w:cstheme="majorHAnsi"/>
          <w:lang w:val="ro-RO" w:eastAsia="ro-RO"/>
        </w:rPr>
        <w:t>va depinde</w:t>
      </w:r>
      <w:r>
        <w:rPr>
          <w:rFonts w:asciiTheme="majorHAnsi" w:eastAsia="Times New Roman" w:hAnsiTheme="majorHAnsi" w:cstheme="majorHAnsi"/>
          <w:lang w:val="ro-RO" w:eastAsia="ro-RO"/>
        </w:rPr>
        <w:t>,</w:t>
      </w:r>
      <w:r w:rsidRPr="006636B4">
        <w:rPr>
          <w:rFonts w:asciiTheme="majorHAnsi" w:eastAsia="Times New Roman" w:hAnsiTheme="majorHAnsi" w:cstheme="majorHAnsi"/>
          <w:lang w:val="ro-RO" w:eastAsia="ro-RO"/>
        </w:rPr>
        <w:t xml:space="preserve"> în special</w:t>
      </w:r>
      <w:r>
        <w:rPr>
          <w:rFonts w:asciiTheme="majorHAnsi" w:eastAsia="Times New Roman" w:hAnsiTheme="majorHAnsi" w:cstheme="majorHAnsi"/>
          <w:lang w:val="ro-RO" w:eastAsia="ro-RO"/>
        </w:rPr>
        <w:t>,</w:t>
      </w:r>
      <w:r w:rsidRPr="006636B4">
        <w:rPr>
          <w:rFonts w:asciiTheme="majorHAnsi" w:eastAsia="Times New Roman" w:hAnsiTheme="majorHAnsi" w:cstheme="majorHAnsi"/>
          <w:lang w:val="ro-RO" w:eastAsia="ro-RO"/>
        </w:rPr>
        <w:t xml:space="preserve"> de modul în care organele fiscale, dar și contribuabilii, se vor raporta la această notificare. </w:t>
      </w:r>
    </w:p>
    <w:p w14:paraId="478A1CBB" w14:textId="77777777" w:rsidR="00007355" w:rsidRPr="00674B5D" w:rsidRDefault="00007355" w:rsidP="00007355">
      <w:pPr>
        <w:spacing w:after="120" w:line="288" w:lineRule="auto"/>
        <w:rPr>
          <w:lang w:val="ro-RO"/>
        </w:rPr>
      </w:pPr>
    </w:p>
    <w:p w14:paraId="28E578A8" w14:textId="1F13D841" w:rsidR="00F70632" w:rsidRPr="00007355" w:rsidRDefault="00F70632" w:rsidP="00007355">
      <w:pPr>
        <w:rPr>
          <w:lang w:val="ro-RO"/>
        </w:rPr>
      </w:pPr>
    </w:p>
    <w:sectPr w:rsidR="00F70632" w:rsidRPr="0000735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D280E" w14:textId="77777777" w:rsidR="00565841" w:rsidRDefault="00565841" w:rsidP="00CC4DE2">
      <w:pPr>
        <w:spacing w:line="240" w:lineRule="auto"/>
      </w:pPr>
      <w:r>
        <w:separator/>
      </w:r>
    </w:p>
  </w:endnote>
  <w:endnote w:type="continuationSeparator" w:id="0">
    <w:p w14:paraId="1EDCB421" w14:textId="77777777" w:rsidR="00565841" w:rsidRDefault="00565841" w:rsidP="00CC4D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45 Light">
    <w:altName w:val="Times New Roman"/>
    <w:charset w:val="00"/>
    <w:family w:val="auto"/>
    <w:pitch w:val="variable"/>
    <w:sig w:usb0="03000000"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47D7E" w14:textId="77777777" w:rsidR="00565841" w:rsidRDefault="00565841" w:rsidP="00CC4DE2">
      <w:pPr>
        <w:spacing w:line="240" w:lineRule="auto"/>
      </w:pPr>
      <w:r>
        <w:separator/>
      </w:r>
    </w:p>
  </w:footnote>
  <w:footnote w:type="continuationSeparator" w:id="0">
    <w:p w14:paraId="60AFDDE9" w14:textId="77777777" w:rsidR="00565841" w:rsidRDefault="00565841" w:rsidP="00CC4D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A33F" w14:textId="77777777" w:rsidR="00CC4DE2" w:rsidRDefault="00CC4DE2">
    <w:pPr>
      <w:pStyle w:val="Header"/>
    </w:pPr>
    <w:r w:rsidRPr="003B0F78">
      <w:rPr>
        <w:noProof/>
      </w:rPr>
      <w:drawing>
        <wp:anchor distT="0" distB="0" distL="114300" distR="114300" simplePos="0" relativeHeight="251659264" behindDoc="0" locked="0" layoutInCell="1" allowOverlap="1" wp14:anchorId="30A94B81" wp14:editId="69C255B9">
          <wp:simplePos x="0" y="0"/>
          <wp:positionH relativeFrom="column">
            <wp:posOffset>0</wp:posOffset>
          </wp:positionH>
          <wp:positionV relativeFrom="paragraph">
            <wp:posOffset>0</wp:posOffset>
          </wp:positionV>
          <wp:extent cx="1600200" cy="295275"/>
          <wp:effectExtent l="0" t="0" r="0" b="9525"/>
          <wp:wrapNone/>
          <wp:docPr id="1" name="Picture 1" descr="Logo Reff&amp;Asociatii ne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eff&amp;Asociatii negr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72D5"/>
    <w:multiLevelType w:val="hybridMultilevel"/>
    <w:tmpl w:val="44862014"/>
    <w:lvl w:ilvl="0" w:tplc="0409000B">
      <w:start w:val="1"/>
      <w:numFmt w:val="bullet"/>
      <w:lvlText w:val=""/>
      <w:lvlJc w:val="left"/>
      <w:pPr>
        <w:tabs>
          <w:tab w:val="num" w:pos="720"/>
        </w:tabs>
        <w:ind w:left="720" w:hanging="360"/>
      </w:pPr>
      <w:rPr>
        <w:rFonts w:ascii="Wingdings" w:hAnsi="Wingdings" w:hint="default"/>
      </w:rPr>
    </w:lvl>
    <w:lvl w:ilvl="1" w:tplc="545E0EF2">
      <w:start w:val="1"/>
      <w:numFmt w:val="bullet"/>
      <w:lvlText w:val="•"/>
      <w:lvlJc w:val="left"/>
      <w:pPr>
        <w:tabs>
          <w:tab w:val="num" w:pos="1440"/>
        </w:tabs>
        <w:ind w:left="1440" w:hanging="360"/>
      </w:pPr>
      <w:rPr>
        <w:rFonts w:ascii="Times New Roman" w:hAnsi="Times New Roman" w:cs="Times New Roman" w:hint="default"/>
      </w:rPr>
    </w:lvl>
    <w:lvl w:ilvl="2" w:tplc="C8143C70">
      <w:start w:val="1"/>
      <w:numFmt w:val="bullet"/>
      <w:lvlText w:val="•"/>
      <w:lvlJc w:val="left"/>
      <w:pPr>
        <w:tabs>
          <w:tab w:val="num" w:pos="2160"/>
        </w:tabs>
        <w:ind w:left="2160" w:hanging="360"/>
      </w:pPr>
      <w:rPr>
        <w:rFonts w:ascii="Times New Roman" w:hAnsi="Times New Roman" w:cs="Times New Roman" w:hint="default"/>
      </w:rPr>
    </w:lvl>
    <w:lvl w:ilvl="3" w:tplc="E62817CC">
      <w:start w:val="1"/>
      <w:numFmt w:val="bullet"/>
      <w:lvlText w:val="•"/>
      <w:lvlJc w:val="left"/>
      <w:pPr>
        <w:tabs>
          <w:tab w:val="num" w:pos="2880"/>
        </w:tabs>
        <w:ind w:left="2880" w:hanging="360"/>
      </w:pPr>
      <w:rPr>
        <w:rFonts w:ascii="Times New Roman" w:hAnsi="Times New Roman" w:cs="Times New Roman" w:hint="default"/>
      </w:rPr>
    </w:lvl>
    <w:lvl w:ilvl="4" w:tplc="690E9802">
      <w:start w:val="1"/>
      <w:numFmt w:val="bullet"/>
      <w:lvlText w:val="•"/>
      <w:lvlJc w:val="left"/>
      <w:pPr>
        <w:tabs>
          <w:tab w:val="num" w:pos="3600"/>
        </w:tabs>
        <w:ind w:left="3600" w:hanging="360"/>
      </w:pPr>
      <w:rPr>
        <w:rFonts w:ascii="Times New Roman" w:hAnsi="Times New Roman" w:cs="Times New Roman" w:hint="default"/>
      </w:rPr>
    </w:lvl>
    <w:lvl w:ilvl="5" w:tplc="26E81E26">
      <w:start w:val="1"/>
      <w:numFmt w:val="bullet"/>
      <w:lvlText w:val="•"/>
      <w:lvlJc w:val="left"/>
      <w:pPr>
        <w:tabs>
          <w:tab w:val="num" w:pos="4320"/>
        </w:tabs>
        <w:ind w:left="4320" w:hanging="360"/>
      </w:pPr>
      <w:rPr>
        <w:rFonts w:ascii="Times New Roman" w:hAnsi="Times New Roman" w:cs="Times New Roman" w:hint="default"/>
      </w:rPr>
    </w:lvl>
    <w:lvl w:ilvl="6" w:tplc="1BB8ABF4">
      <w:start w:val="1"/>
      <w:numFmt w:val="bullet"/>
      <w:lvlText w:val="•"/>
      <w:lvlJc w:val="left"/>
      <w:pPr>
        <w:tabs>
          <w:tab w:val="num" w:pos="5040"/>
        </w:tabs>
        <w:ind w:left="5040" w:hanging="360"/>
      </w:pPr>
      <w:rPr>
        <w:rFonts w:ascii="Times New Roman" w:hAnsi="Times New Roman" w:cs="Times New Roman" w:hint="default"/>
      </w:rPr>
    </w:lvl>
    <w:lvl w:ilvl="7" w:tplc="1F3C83FA">
      <w:start w:val="1"/>
      <w:numFmt w:val="bullet"/>
      <w:lvlText w:val="•"/>
      <w:lvlJc w:val="left"/>
      <w:pPr>
        <w:tabs>
          <w:tab w:val="num" w:pos="5760"/>
        </w:tabs>
        <w:ind w:left="5760" w:hanging="360"/>
      </w:pPr>
      <w:rPr>
        <w:rFonts w:ascii="Times New Roman" w:hAnsi="Times New Roman" w:cs="Times New Roman" w:hint="default"/>
      </w:rPr>
    </w:lvl>
    <w:lvl w:ilvl="8" w:tplc="8E42231C">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21532317"/>
    <w:multiLevelType w:val="hybridMultilevel"/>
    <w:tmpl w:val="C07257E8"/>
    <w:lvl w:ilvl="0" w:tplc="8F3EB896">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51CA0"/>
    <w:multiLevelType w:val="hybridMultilevel"/>
    <w:tmpl w:val="ED4C3F58"/>
    <w:lvl w:ilvl="0" w:tplc="C318E21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F753BA"/>
    <w:multiLevelType w:val="hybridMultilevel"/>
    <w:tmpl w:val="5E8C7F7C"/>
    <w:lvl w:ilvl="0" w:tplc="358C97CE">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E5443"/>
    <w:multiLevelType w:val="hybridMultilevel"/>
    <w:tmpl w:val="58B6B330"/>
    <w:lvl w:ilvl="0" w:tplc="4C629B0A">
      <w:start w:val="5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6271D1"/>
    <w:multiLevelType w:val="hybridMultilevel"/>
    <w:tmpl w:val="47A2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F33AD1"/>
    <w:multiLevelType w:val="hybridMultilevel"/>
    <w:tmpl w:val="AF388F16"/>
    <w:lvl w:ilvl="0" w:tplc="9DCC012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7042308"/>
    <w:multiLevelType w:val="hybridMultilevel"/>
    <w:tmpl w:val="24FC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353879">
    <w:abstractNumId w:val="3"/>
  </w:num>
  <w:num w:numId="2" w16cid:durableId="489254402">
    <w:abstractNumId w:val="1"/>
  </w:num>
  <w:num w:numId="3" w16cid:durableId="1248154057">
    <w:abstractNumId w:val="2"/>
  </w:num>
  <w:num w:numId="4" w16cid:durableId="271936772">
    <w:abstractNumId w:val="5"/>
  </w:num>
  <w:num w:numId="5" w16cid:durableId="1730693577">
    <w:abstractNumId w:val="0"/>
  </w:num>
  <w:num w:numId="6" w16cid:durableId="238447991">
    <w:abstractNumId w:val="4"/>
  </w:num>
  <w:num w:numId="7" w16cid:durableId="2115859582">
    <w:abstractNumId w:val="6"/>
  </w:num>
  <w:num w:numId="8" w16cid:durableId="16192932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27F"/>
    <w:rsid w:val="00007355"/>
    <w:rsid w:val="00015D47"/>
    <w:rsid w:val="00054BB5"/>
    <w:rsid w:val="00062581"/>
    <w:rsid w:val="00071EBF"/>
    <w:rsid w:val="000914AC"/>
    <w:rsid w:val="000F252B"/>
    <w:rsid w:val="00100195"/>
    <w:rsid w:val="00112B9E"/>
    <w:rsid w:val="00126DCA"/>
    <w:rsid w:val="00127D0B"/>
    <w:rsid w:val="00154BA9"/>
    <w:rsid w:val="00155810"/>
    <w:rsid w:val="001B55DC"/>
    <w:rsid w:val="002261BC"/>
    <w:rsid w:val="00226563"/>
    <w:rsid w:val="002537A1"/>
    <w:rsid w:val="002672FE"/>
    <w:rsid w:val="00270304"/>
    <w:rsid w:val="0029127F"/>
    <w:rsid w:val="002F36E2"/>
    <w:rsid w:val="00330CE5"/>
    <w:rsid w:val="00332CF8"/>
    <w:rsid w:val="0034336B"/>
    <w:rsid w:val="00343527"/>
    <w:rsid w:val="003D5E25"/>
    <w:rsid w:val="00433040"/>
    <w:rsid w:val="00442D20"/>
    <w:rsid w:val="0045176D"/>
    <w:rsid w:val="004A4A2F"/>
    <w:rsid w:val="005446AB"/>
    <w:rsid w:val="00546EF0"/>
    <w:rsid w:val="00561480"/>
    <w:rsid w:val="00563A94"/>
    <w:rsid w:val="00565841"/>
    <w:rsid w:val="005D1C5C"/>
    <w:rsid w:val="005E3316"/>
    <w:rsid w:val="0060406F"/>
    <w:rsid w:val="0061355E"/>
    <w:rsid w:val="0064260F"/>
    <w:rsid w:val="00660AD6"/>
    <w:rsid w:val="006D365A"/>
    <w:rsid w:val="006E12AC"/>
    <w:rsid w:val="00712B5D"/>
    <w:rsid w:val="00717137"/>
    <w:rsid w:val="00717CA9"/>
    <w:rsid w:val="007245A1"/>
    <w:rsid w:val="00750FFD"/>
    <w:rsid w:val="00785387"/>
    <w:rsid w:val="00793D8B"/>
    <w:rsid w:val="007B4ED1"/>
    <w:rsid w:val="007C1E44"/>
    <w:rsid w:val="008524AC"/>
    <w:rsid w:val="00853E5E"/>
    <w:rsid w:val="00862C3F"/>
    <w:rsid w:val="008C2253"/>
    <w:rsid w:val="008E7177"/>
    <w:rsid w:val="009037EC"/>
    <w:rsid w:val="00912CFF"/>
    <w:rsid w:val="0091784E"/>
    <w:rsid w:val="009449D3"/>
    <w:rsid w:val="009618CD"/>
    <w:rsid w:val="00967F84"/>
    <w:rsid w:val="009B0EEE"/>
    <w:rsid w:val="009C0124"/>
    <w:rsid w:val="009C5CA4"/>
    <w:rsid w:val="009F3788"/>
    <w:rsid w:val="00A11125"/>
    <w:rsid w:val="00A12025"/>
    <w:rsid w:val="00A222E1"/>
    <w:rsid w:val="00A54E5F"/>
    <w:rsid w:val="00AA33C3"/>
    <w:rsid w:val="00AE206B"/>
    <w:rsid w:val="00AF7E21"/>
    <w:rsid w:val="00B00EBA"/>
    <w:rsid w:val="00B26B5F"/>
    <w:rsid w:val="00B50E35"/>
    <w:rsid w:val="00BA1641"/>
    <w:rsid w:val="00BB0EED"/>
    <w:rsid w:val="00BD7B28"/>
    <w:rsid w:val="00C057B8"/>
    <w:rsid w:val="00C443C0"/>
    <w:rsid w:val="00C46353"/>
    <w:rsid w:val="00CC4DE2"/>
    <w:rsid w:val="00CD5073"/>
    <w:rsid w:val="00CE7056"/>
    <w:rsid w:val="00D95B30"/>
    <w:rsid w:val="00DB5042"/>
    <w:rsid w:val="00DB6199"/>
    <w:rsid w:val="00E1101A"/>
    <w:rsid w:val="00E14E8D"/>
    <w:rsid w:val="00E17B04"/>
    <w:rsid w:val="00E42939"/>
    <w:rsid w:val="00E4370A"/>
    <w:rsid w:val="00E91AC8"/>
    <w:rsid w:val="00EB51B4"/>
    <w:rsid w:val="00ED1C9B"/>
    <w:rsid w:val="00ED2C59"/>
    <w:rsid w:val="00ED5B33"/>
    <w:rsid w:val="00F70632"/>
    <w:rsid w:val="00F8111B"/>
    <w:rsid w:val="00F85A1B"/>
    <w:rsid w:val="00F862C0"/>
    <w:rsid w:val="00F97415"/>
    <w:rsid w:val="00FB6A7C"/>
    <w:rsid w:val="00FF0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492"/>
  <w15:chartTrackingRefBased/>
  <w15:docId w15:val="{1F9238C6-8960-4336-8C28-9B34EC1C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355"/>
    <w:pPr>
      <w:tabs>
        <w:tab w:val="left" w:pos="284"/>
        <w:tab w:val="left" w:pos="567"/>
        <w:tab w:val="left" w:pos="851"/>
        <w:tab w:val="left" w:pos="1985"/>
        <w:tab w:val="left" w:pos="3119"/>
        <w:tab w:val="left" w:pos="4253"/>
        <w:tab w:val="right" w:pos="7655"/>
      </w:tabs>
      <w:spacing w:after="0" w:line="280" w:lineRule="exact"/>
    </w:pPr>
    <w:rPr>
      <w:rFonts w:ascii="Helvetica 45 Light" w:eastAsia="Times" w:hAnsi="Helvetica 45 Light"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DE2"/>
    <w:pPr>
      <w:tabs>
        <w:tab w:val="clear" w:pos="284"/>
        <w:tab w:val="clear" w:pos="567"/>
        <w:tab w:val="clear" w:pos="851"/>
        <w:tab w:val="clear" w:pos="1985"/>
        <w:tab w:val="clear" w:pos="3119"/>
        <w:tab w:val="clear" w:pos="4253"/>
        <w:tab w:val="clear" w:pos="7655"/>
        <w:tab w:val="center" w:pos="4680"/>
        <w:tab w:val="right" w:pos="9360"/>
      </w:tabs>
      <w:spacing w:line="240" w:lineRule="auto"/>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CC4DE2"/>
  </w:style>
  <w:style w:type="paragraph" w:styleId="Footer">
    <w:name w:val="footer"/>
    <w:basedOn w:val="Normal"/>
    <w:link w:val="FooterChar"/>
    <w:uiPriority w:val="99"/>
    <w:unhideWhenUsed/>
    <w:rsid w:val="00CC4DE2"/>
    <w:pPr>
      <w:tabs>
        <w:tab w:val="clear" w:pos="284"/>
        <w:tab w:val="clear" w:pos="567"/>
        <w:tab w:val="clear" w:pos="851"/>
        <w:tab w:val="clear" w:pos="1985"/>
        <w:tab w:val="clear" w:pos="3119"/>
        <w:tab w:val="clear" w:pos="4253"/>
        <w:tab w:val="clear" w:pos="7655"/>
        <w:tab w:val="center" w:pos="4680"/>
        <w:tab w:val="right" w:pos="9360"/>
      </w:tabs>
      <w:spacing w:line="240" w:lineRule="auto"/>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CC4DE2"/>
  </w:style>
  <w:style w:type="paragraph" w:styleId="ListParagraph">
    <w:name w:val="List Paragraph"/>
    <w:basedOn w:val="Normal"/>
    <w:uiPriority w:val="34"/>
    <w:qFormat/>
    <w:rsid w:val="00CC4DE2"/>
    <w:pPr>
      <w:tabs>
        <w:tab w:val="clear" w:pos="284"/>
        <w:tab w:val="clear" w:pos="567"/>
        <w:tab w:val="clear" w:pos="851"/>
        <w:tab w:val="clear" w:pos="1985"/>
        <w:tab w:val="clear" w:pos="3119"/>
        <w:tab w:val="clear" w:pos="4253"/>
        <w:tab w:val="clear" w:pos="7655"/>
      </w:tabs>
      <w:spacing w:after="160" w:line="259" w:lineRule="auto"/>
      <w:ind w:left="720"/>
      <w:contextualSpacing/>
    </w:pPr>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C443C0"/>
    <w:rPr>
      <w:color w:val="0563C1" w:themeColor="hyperlink"/>
      <w:u w:val="single"/>
    </w:rPr>
  </w:style>
  <w:style w:type="table" w:styleId="TableGrid">
    <w:name w:val="Table Grid"/>
    <w:basedOn w:val="TableNormal"/>
    <w:uiPriority w:val="39"/>
    <w:rsid w:val="00C44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5C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CA4"/>
    <w:rPr>
      <w:rFonts w:ascii="Segoe UI" w:hAnsi="Segoe UI" w:cs="Segoe UI"/>
      <w:sz w:val="18"/>
      <w:szCs w:val="18"/>
    </w:rPr>
  </w:style>
  <w:style w:type="paragraph" w:styleId="Revision">
    <w:name w:val="Revision"/>
    <w:hidden/>
    <w:uiPriority w:val="99"/>
    <w:semiHidden/>
    <w:rsid w:val="005446AB"/>
    <w:pPr>
      <w:spacing w:after="0" w:line="240" w:lineRule="auto"/>
    </w:pPr>
  </w:style>
  <w:style w:type="character" w:styleId="CommentReference">
    <w:name w:val="annotation reference"/>
    <w:basedOn w:val="DefaultParagraphFont"/>
    <w:uiPriority w:val="99"/>
    <w:semiHidden/>
    <w:unhideWhenUsed/>
    <w:rsid w:val="00126DCA"/>
    <w:rPr>
      <w:sz w:val="16"/>
      <w:szCs w:val="16"/>
    </w:rPr>
  </w:style>
  <w:style w:type="paragraph" w:styleId="CommentText">
    <w:name w:val="annotation text"/>
    <w:basedOn w:val="Normal"/>
    <w:link w:val="CommentTextChar"/>
    <w:uiPriority w:val="99"/>
    <w:unhideWhenUsed/>
    <w:rsid w:val="00126DCA"/>
    <w:pPr>
      <w:tabs>
        <w:tab w:val="clear" w:pos="284"/>
        <w:tab w:val="clear" w:pos="567"/>
        <w:tab w:val="clear" w:pos="851"/>
        <w:tab w:val="clear" w:pos="1985"/>
        <w:tab w:val="clear" w:pos="3119"/>
        <w:tab w:val="clear" w:pos="4253"/>
        <w:tab w:val="clear" w:pos="7655"/>
      </w:tabs>
      <w:spacing w:after="160" w:line="240" w:lineRule="auto"/>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rsid w:val="00126DCA"/>
    <w:rPr>
      <w:sz w:val="20"/>
      <w:szCs w:val="20"/>
    </w:rPr>
  </w:style>
  <w:style w:type="paragraph" w:styleId="CommentSubject">
    <w:name w:val="annotation subject"/>
    <w:basedOn w:val="CommentText"/>
    <w:next w:val="CommentText"/>
    <w:link w:val="CommentSubjectChar"/>
    <w:uiPriority w:val="99"/>
    <w:semiHidden/>
    <w:unhideWhenUsed/>
    <w:rsid w:val="00126DCA"/>
    <w:rPr>
      <w:b/>
      <w:bCs/>
    </w:rPr>
  </w:style>
  <w:style w:type="character" w:customStyle="1" w:styleId="CommentSubjectChar">
    <w:name w:val="Comment Subject Char"/>
    <w:basedOn w:val="CommentTextChar"/>
    <w:link w:val="CommentSubject"/>
    <w:uiPriority w:val="99"/>
    <w:semiHidden/>
    <w:rsid w:val="00126DCA"/>
    <w:rPr>
      <w:b/>
      <w:bCs/>
      <w:sz w:val="20"/>
      <w:szCs w:val="20"/>
    </w:rPr>
  </w:style>
  <w:style w:type="paragraph" w:customStyle="1" w:styleId="wordsection1">
    <w:name w:val="wordsection1"/>
    <w:basedOn w:val="Normal"/>
    <w:uiPriority w:val="99"/>
    <w:rsid w:val="00F862C0"/>
    <w:pPr>
      <w:tabs>
        <w:tab w:val="clear" w:pos="284"/>
        <w:tab w:val="clear" w:pos="567"/>
        <w:tab w:val="clear" w:pos="851"/>
        <w:tab w:val="clear" w:pos="1985"/>
        <w:tab w:val="clear" w:pos="3119"/>
        <w:tab w:val="clear" w:pos="4253"/>
        <w:tab w:val="clear" w:pos="7655"/>
      </w:tabs>
      <w:spacing w:before="100" w:beforeAutospacing="1" w:after="100" w:afterAutospacing="1" w:line="240" w:lineRule="auto"/>
    </w:pPr>
    <w:rPr>
      <w:rFonts w:ascii="Times New Roman" w:eastAsiaTheme="minorHAnsi" w:hAnsi="Times New Roman"/>
      <w:sz w:val="24"/>
      <w:szCs w:val="24"/>
      <w:lang w:val="ro-RO" w:eastAsia="ro-RO"/>
    </w:rPr>
  </w:style>
  <w:style w:type="paragraph" w:styleId="Title">
    <w:name w:val="Title"/>
    <w:basedOn w:val="Normal"/>
    <w:next w:val="Normal"/>
    <w:link w:val="TitleChar"/>
    <w:uiPriority w:val="10"/>
    <w:qFormat/>
    <w:rsid w:val="00007355"/>
    <w:pPr>
      <w:tabs>
        <w:tab w:val="clear" w:pos="284"/>
        <w:tab w:val="clear" w:pos="567"/>
        <w:tab w:val="clear" w:pos="851"/>
        <w:tab w:val="clear" w:pos="1985"/>
        <w:tab w:val="clear" w:pos="3119"/>
        <w:tab w:val="clear" w:pos="4253"/>
        <w:tab w:val="clear" w:pos="7655"/>
      </w:tabs>
      <w:spacing w:line="240" w:lineRule="auto"/>
      <w:contextualSpacing/>
    </w:pPr>
    <w:rPr>
      <w:rFonts w:asciiTheme="majorHAnsi" w:eastAsiaTheme="majorEastAsia" w:hAnsiTheme="majorHAnsi" w:cstheme="majorBidi"/>
      <w:spacing w:val="-10"/>
      <w:kern w:val="28"/>
      <w:sz w:val="56"/>
      <w:szCs w:val="56"/>
      <w:lang w:val="ro-RO" w:eastAsia="en-US"/>
    </w:rPr>
  </w:style>
  <w:style w:type="character" w:customStyle="1" w:styleId="TitleChar">
    <w:name w:val="Title Char"/>
    <w:basedOn w:val="DefaultParagraphFont"/>
    <w:link w:val="Title"/>
    <w:uiPriority w:val="10"/>
    <w:rsid w:val="00007355"/>
    <w:rPr>
      <w:rFonts w:asciiTheme="majorHAnsi" w:eastAsiaTheme="majorEastAsia" w:hAnsiTheme="majorHAnsi" w:cstheme="majorBidi"/>
      <w:spacing w:val="-10"/>
      <w:kern w:val="28"/>
      <w:sz w:val="56"/>
      <w:szCs w:val="56"/>
      <w:lang w:val="ro-RO"/>
    </w:rPr>
  </w:style>
  <w:style w:type="character" w:styleId="UnresolvedMention">
    <w:name w:val="Unresolved Mention"/>
    <w:basedOn w:val="DefaultParagraphFont"/>
    <w:uiPriority w:val="99"/>
    <w:semiHidden/>
    <w:unhideWhenUsed/>
    <w:rsid w:val="00100195"/>
    <w:rPr>
      <w:color w:val="605E5C"/>
      <w:shd w:val="clear" w:color="auto" w:fill="E1DFDD"/>
    </w:rPr>
  </w:style>
  <w:style w:type="character" w:styleId="FollowedHyperlink">
    <w:name w:val="FollowedHyperlink"/>
    <w:basedOn w:val="DefaultParagraphFont"/>
    <w:uiPriority w:val="99"/>
    <w:semiHidden/>
    <w:unhideWhenUsed/>
    <w:rsid w:val="001001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720226">
      <w:bodyDiv w:val="1"/>
      <w:marLeft w:val="0"/>
      <w:marRight w:val="0"/>
      <w:marTop w:val="0"/>
      <w:marBottom w:val="0"/>
      <w:divBdr>
        <w:top w:val="none" w:sz="0" w:space="0" w:color="auto"/>
        <w:left w:val="none" w:sz="0" w:space="0" w:color="auto"/>
        <w:bottom w:val="none" w:sz="0" w:space="0" w:color="auto"/>
        <w:right w:val="none" w:sz="0" w:space="0" w:color="auto"/>
      </w:divBdr>
    </w:div>
    <w:div w:id="923800069">
      <w:bodyDiv w:val="1"/>
      <w:marLeft w:val="0"/>
      <w:marRight w:val="0"/>
      <w:marTop w:val="0"/>
      <w:marBottom w:val="0"/>
      <w:divBdr>
        <w:top w:val="none" w:sz="0" w:space="0" w:color="auto"/>
        <w:left w:val="none" w:sz="0" w:space="0" w:color="auto"/>
        <w:bottom w:val="none" w:sz="0" w:space="0" w:color="auto"/>
        <w:right w:val="none" w:sz="0" w:space="0" w:color="auto"/>
      </w:divBdr>
    </w:div>
    <w:div w:id="10988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2.deloitte.com/ro/ro/pages/about-deloitte/events/un-nou-inceput-activitatea-de-control-fiscal-romania.html?nc=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Reff &amp; Asociatii</dc:creator>
  <cp:keywords/>
  <dc:description/>
  <cp:lastModifiedBy>Anghel, Oana</cp:lastModifiedBy>
  <cp:revision>3</cp:revision>
  <dcterms:created xsi:type="dcterms:W3CDTF">2023-02-06T08:50:00Z</dcterms:created>
  <dcterms:modified xsi:type="dcterms:W3CDTF">2023-02-06T09:31:00Z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2021-08-12T11:20:56Z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0beb1859-6382-4ca5-9e58-da4894a35e14</vt:lpwstr>
  </property>
  <property fmtid="{D5CDD505-2E9C-101B-9397-08002B2CF9AE}" pid="8" name="MSIP_Label_ea60d57e-af5b-4752-ac57-3e4f28ca11dc_ContentBits">
    <vt:lpwstr>0</vt:lpwstr>
  </property>
</Properties>
</file>