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F44" w14:textId="77777777" w:rsidR="00B6130D" w:rsidRPr="00356E3D" w:rsidRDefault="00B6130D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</w:p>
    <w:p w14:paraId="58B2EE69" w14:textId="77777777" w:rsidR="00B6130D" w:rsidRPr="00356E3D" w:rsidRDefault="00B6130D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</w:p>
    <w:p w14:paraId="1F0FD709" w14:textId="77777777" w:rsidR="00B6130D" w:rsidRPr="00356E3D" w:rsidRDefault="00B6130D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</w:p>
    <w:p w14:paraId="5DCD53BA" w14:textId="492BCA0E" w:rsidR="00DD215E" w:rsidRPr="004577C0" w:rsidRDefault="001E738F" w:rsidP="00C75190">
      <w:pPr>
        <w:tabs>
          <w:tab w:val="left" w:pos="4860"/>
        </w:tabs>
        <w:spacing w:before="120"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UE</w:t>
      </w:r>
      <w:r w:rsidR="00286079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a adoptat </w:t>
      </w:r>
      <w:r w:rsidR="00DD215E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DORA, </w:t>
      </w: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un fel de </w:t>
      </w:r>
      <w:r w:rsidR="00C7519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GDPR </w:t>
      </w:r>
      <w:r w:rsidR="00BF7772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al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siguranței</w:t>
      </w: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="00B47F4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cibernetic</w:t>
      </w:r>
      <w:r w:rsidR="003F176F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e</w:t>
      </w:r>
      <w:r w:rsidR="00B47F4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="00BF7772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pentru </w:t>
      </w:r>
      <w:r w:rsidR="00C7519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organizațiil</w:t>
      </w:r>
      <w:r w:rsidR="00BF7772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e</w:t>
      </w:r>
      <w:r w:rsidR="00C7519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din sectorul financiar.</w:t>
      </w: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="00D80E0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Ce presupune </w:t>
      </w:r>
      <w:r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noul cadru de reglementare</w:t>
      </w:r>
      <w:r w:rsidR="00C7519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pentru</w:t>
      </w:r>
      <w:r w:rsidR="00246116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echipele de management</w:t>
      </w:r>
      <w:r w:rsidR="00C75190" w:rsidRPr="004577C0">
        <w:rPr>
          <w:rFonts w:asciiTheme="majorHAnsi" w:hAnsiTheme="majorHAnsi" w:cstheme="majorHAnsi"/>
          <w:b/>
          <w:bCs/>
          <w:sz w:val="24"/>
          <w:szCs w:val="24"/>
          <w:lang w:val="ro-RO"/>
        </w:rPr>
        <w:t>?</w:t>
      </w:r>
    </w:p>
    <w:p w14:paraId="73A4F90F" w14:textId="77777777" w:rsidR="00B6130D" w:rsidRPr="00356E3D" w:rsidRDefault="00B6130D" w:rsidP="00356E3D">
      <w:pPr>
        <w:tabs>
          <w:tab w:val="left" w:pos="4860"/>
        </w:tabs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</w:p>
    <w:p w14:paraId="1AF3B627" w14:textId="3ECC81B4" w:rsidR="00B6130D" w:rsidRPr="00356E3D" w:rsidRDefault="00B6130D" w:rsidP="00356E3D">
      <w:pPr>
        <w:tabs>
          <w:tab w:val="left" w:pos="4860"/>
        </w:tabs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Articol de opinie de Sergiu Zaharia, Director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Cyber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Strategy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Advisory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, Mihai Olteanu, Director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Cyber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Defense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Advisory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, și Adrian Ifrim, Director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Cyber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>Risk</w:t>
      </w:r>
      <w:proofErr w:type="spellEnd"/>
      <w:r w:rsidRPr="00356E3D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Services, Deloitte România</w:t>
      </w:r>
    </w:p>
    <w:p w14:paraId="466645E9" w14:textId="77777777" w:rsidR="000A4FA5" w:rsidRDefault="000A4FA5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</w:p>
    <w:p w14:paraId="22F5CF7F" w14:textId="66455890" w:rsidR="001A2C78" w:rsidRDefault="00356E3D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>La finalul anului 2022</w:t>
      </w:r>
      <w:r w:rsidRPr="00356E3D">
        <w:rPr>
          <w:rFonts w:ascii="Calibri Light" w:hAnsi="Calibri Light" w:cs="Calibri Light"/>
          <w:lang w:val="ro-RO"/>
        </w:rPr>
        <w:t xml:space="preserve">, </w:t>
      </w:r>
      <w:hyperlink r:id="rId10" w:history="1">
        <w:r w:rsidRPr="00234E65">
          <w:rPr>
            <w:rStyle w:val="Hyperlink"/>
            <w:rFonts w:ascii="Calibri Light" w:hAnsi="Calibri Light" w:cs="Calibri Light"/>
            <w:lang w:val="ro-RO"/>
          </w:rPr>
          <w:t>actul de reglementare privind reziliența operațională digitală (DORA</w:t>
        </w:r>
      </w:hyperlink>
      <w:r>
        <w:rPr>
          <w:rFonts w:ascii="Calibri Light" w:hAnsi="Calibri Light" w:cs="Calibri Light"/>
          <w:lang w:val="ro-RO"/>
        </w:rPr>
        <w:t>)</w:t>
      </w:r>
      <w:r w:rsidR="00B47F40">
        <w:rPr>
          <w:rFonts w:ascii="Calibri Light" w:hAnsi="Calibri Light" w:cs="Calibri Light"/>
          <w:lang w:val="ro-RO"/>
        </w:rPr>
        <w:t xml:space="preserve"> a</w:t>
      </w:r>
      <w:r>
        <w:rPr>
          <w:rFonts w:ascii="Calibri Light" w:hAnsi="Calibri Light" w:cs="Calibri Light"/>
          <w:lang w:val="ro-RO"/>
        </w:rPr>
        <w:t xml:space="preserve"> fost publicat în monitorul oficial al Uniunii Europene, </w:t>
      </w:r>
      <w:r w:rsidR="001A2C78">
        <w:rPr>
          <w:rFonts w:ascii="Calibri Light" w:hAnsi="Calibri Light" w:cs="Calibri Light"/>
          <w:lang w:val="ro-RO"/>
        </w:rPr>
        <w:t xml:space="preserve">întrând în vigoare </w:t>
      </w:r>
      <w:r w:rsidR="000C51A9">
        <w:rPr>
          <w:rFonts w:ascii="Calibri Light" w:hAnsi="Calibri Light" w:cs="Calibri Light"/>
          <w:lang w:val="ro-RO"/>
        </w:rPr>
        <w:t>începând cu</w:t>
      </w:r>
      <w:r w:rsidR="001A2C78">
        <w:rPr>
          <w:rFonts w:ascii="Calibri Light" w:hAnsi="Calibri Light" w:cs="Calibri Light"/>
          <w:lang w:val="ro-RO"/>
        </w:rPr>
        <w:t xml:space="preserve"> </w:t>
      </w:r>
      <w:r w:rsidR="001A2C78" w:rsidRPr="003F217A">
        <w:rPr>
          <w:rFonts w:ascii="Calibri Light" w:hAnsi="Calibri Light" w:cs="Calibri Light"/>
          <w:lang w:val="ro-RO"/>
        </w:rPr>
        <w:t>1</w:t>
      </w:r>
      <w:r w:rsidR="004152B1" w:rsidRPr="003F217A">
        <w:rPr>
          <w:rFonts w:ascii="Calibri Light" w:hAnsi="Calibri Light" w:cs="Calibri Light"/>
          <w:lang w:val="ro-RO"/>
        </w:rPr>
        <w:t>6</w:t>
      </w:r>
      <w:r w:rsidR="001A2C78" w:rsidRPr="009F3865">
        <w:rPr>
          <w:rFonts w:ascii="Calibri Light" w:hAnsi="Calibri Light" w:cs="Calibri Light"/>
          <w:lang w:val="ro-RO"/>
        </w:rPr>
        <w:t xml:space="preserve"> ianuarie 2023</w:t>
      </w:r>
      <w:r w:rsidR="001A2C78" w:rsidRPr="003F217A">
        <w:rPr>
          <w:rFonts w:ascii="Calibri Light" w:hAnsi="Calibri Light" w:cs="Calibri Light"/>
          <w:lang w:val="ro-RO"/>
        </w:rPr>
        <w:t>.</w:t>
      </w:r>
      <w:r w:rsidR="001A2C78">
        <w:rPr>
          <w:rFonts w:ascii="Calibri Light" w:hAnsi="Calibri Light" w:cs="Calibri Light"/>
          <w:lang w:val="ro-RO"/>
        </w:rPr>
        <w:t xml:space="preserve"> </w:t>
      </w:r>
      <w:r w:rsidR="00286079">
        <w:rPr>
          <w:rFonts w:ascii="Calibri Light" w:hAnsi="Calibri Light" w:cs="Calibri Light"/>
          <w:lang w:val="ro-RO"/>
        </w:rPr>
        <w:t>Co</w:t>
      </w:r>
      <w:r w:rsidR="001E738F">
        <w:rPr>
          <w:rFonts w:ascii="Calibri Light" w:hAnsi="Calibri Light" w:cs="Calibri Light"/>
          <w:lang w:val="ro-RO"/>
        </w:rPr>
        <w:t xml:space="preserve">mplexitatea efectelor </w:t>
      </w:r>
      <w:r w:rsidR="001A2C78" w:rsidRPr="00356E3D">
        <w:rPr>
          <w:rFonts w:ascii="Calibri Light" w:hAnsi="Calibri Light" w:cs="Calibri Light"/>
          <w:lang w:val="ro-RO"/>
        </w:rPr>
        <w:t xml:space="preserve">DORA </w:t>
      </w:r>
      <w:r w:rsidR="001E738F">
        <w:rPr>
          <w:rFonts w:ascii="Calibri Light" w:hAnsi="Calibri Light" w:cs="Calibri Light"/>
          <w:lang w:val="ro-RO"/>
        </w:rPr>
        <w:t xml:space="preserve">asupra domeniului </w:t>
      </w:r>
      <w:r w:rsidR="00286079">
        <w:rPr>
          <w:rFonts w:ascii="Calibri Light" w:hAnsi="Calibri Light" w:cs="Calibri Light"/>
          <w:lang w:val="ro-RO"/>
        </w:rPr>
        <w:t xml:space="preserve">siguranței </w:t>
      </w:r>
      <w:r w:rsidR="001E738F">
        <w:rPr>
          <w:rFonts w:ascii="Calibri Light" w:hAnsi="Calibri Light" w:cs="Calibri Light"/>
          <w:lang w:val="ro-RO"/>
        </w:rPr>
        <w:t xml:space="preserve">cibernetice pentru organizațiile din sectorul financiar </w:t>
      </w:r>
      <w:r w:rsidR="00286079">
        <w:rPr>
          <w:rFonts w:ascii="Calibri Light" w:hAnsi="Calibri Light" w:cs="Calibri Light"/>
          <w:lang w:val="ro-RO"/>
        </w:rPr>
        <w:t xml:space="preserve">este </w:t>
      </w:r>
      <w:r w:rsidR="001E738F">
        <w:rPr>
          <w:rFonts w:ascii="Calibri Light" w:hAnsi="Calibri Light" w:cs="Calibri Light"/>
          <w:lang w:val="ro-RO"/>
        </w:rPr>
        <w:t>comparabil</w:t>
      </w:r>
      <w:r w:rsidR="00286079">
        <w:rPr>
          <w:rFonts w:ascii="Calibri Light" w:hAnsi="Calibri Light" w:cs="Calibri Light"/>
          <w:lang w:val="ro-RO"/>
        </w:rPr>
        <w:t>ă</w:t>
      </w:r>
      <w:r w:rsidR="001E738F">
        <w:rPr>
          <w:rFonts w:ascii="Calibri Light" w:hAnsi="Calibri Light" w:cs="Calibri Light"/>
          <w:lang w:val="ro-RO"/>
        </w:rPr>
        <w:t xml:space="preserve"> cu ceea ce a însemnat GDPR pentru domeniul protecției datelor personale. DORA </w:t>
      </w:r>
      <w:r w:rsidR="00466E50">
        <w:rPr>
          <w:rFonts w:ascii="Calibri Light" w:hAnsi="Calibri Light" w:cs="Calibri Light"/>
          <w:lang w:val="ro-RO"/>
        </w:rPr>
        <w:t>cre</w:t>
      </w:r>
      <w:r w:rsidR="001E738F">
        <w:rPr>
          <w:rFonts w:ascii="Calibri Light" w:hAnsi="Calibri Light" w:cs="Calibri Light"/>
          <w:lang w:val="ro-RO"/>
        </w:rPr>
        <w:t>ează</w:t>
      </w:r>
      <w:r w:rsidR="00466E50">
        <w:rPr>
          <w:rFonts w:ascii="Calibri Light" w:hAnsi="Calibri Light" w:cs="Calibri Light"/>
          <w:lang w:val="ro-RO"/>
        </w:rPr>
        <w:t xml:space="preserve"> </w:t>
      </w:r>
      <w:r w:rsidR="001A2C78">
        <w:rPr>
          <w:rFonts w:ascii="Calibri Light" w:hAnsi="Calibri Light" w:cs="Calibri Light"/>
          <w:lang w:val="ro-RO"/>
        </w:rPr>
        <w:t>primul cadru</w:t>
      </w:r>
      <w:r w:rsidR="003C0053">
        <w:rPr>
          <w:rFonts w:ascii="Calibri Light" w:hAnsi="Calibri Light" w:cs="Calibri Light"/>
          <w:lang w:val="ro-RO"/>
        </w:rPr>
        <w:t xml:space="preserve"> legislativ </w:t>
      </w:r>
      <w:r w:rsidR="001A2C78">
        <w:rPr>
          <w:rFonts w:ascii="Calibri Light" w:hAnsi="Calibri Light" w:cs="Calibri Light"/>
          <w:lang w:val="ro-RO"/>
        </w:rPr>
        <w:t xml:space="preserve">care armonizează măsurile de securitate cibernetică și de risc pentru toate </w:t>
      </w:r>
      <w:r w:rsidR="002D4706">
        <w:rPr>
          <w:rFonts w:ascii="Calibri Light" w:hAnsi="Calibri Light" w:cs="Calibri Light"/>
          <w:lang w:val="ro-RO"/>
        </w:rPr>
        <w:t>entitățile</w:t>
      </w:r>
      <w:r w:rsidR="001A2C78">
        <w:rPr>
          <w:rFonts w:ascii="Calibri Light" w:hAnsi="Calibri Light" w:cs="Calibri Light"/>
          <w:lang w:val="ro-RO"/>
        </w:rPr>
        <w:t xml:space="preserve"> din sectorul financiar, nu doar </w:t>
      </w:r>
      <w:r w:rsidR="00466E50">
        <w:rPr>
          <w:rFonts w:ascii="Calibri Light" w:hAnsi="Calibri Light" w:cs="Calibri Light"/>
          <w:lang w:val="ro-RO"/>
        </w:rPr>
        <w:t>pentru bănci</w:t>
      </w:r>
      <w:r w:rsidR="001A2C78">
        <w:rPr>
          <w:rFonts w:ascii="Calibri Light" w:hAnsi="Calibri Light" w:cs="Calibri Light"/>
          <w:lang w:val="ro-RO"/>
        </w:rPr>
        <w:t>, la nivel europea</w:t>
      </w:r>
      <w:r w:rsidR="00DD215E">
        <w:rPr>
          <w:rFonts w:ascii="Calibri Light" w:hAnsi="Calibri Light" w:cs="Calibri Light"/>
          <w:lang w:val="ro-RO"/>
        </w:rPr>
        <w:t xml:space="preserve">n. </w:t>
      </w:r>
    </w:p>
    <w:p w14:paraId="02DDF9EF" w14:textId="77777777" w:rsidR="009859F6" w:rsidRDefault="009859F6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</w:p>
    <w:p w14:paraId="4BD251B3" w14:textId="61F11F1E" w:rsidR="00E13319" w:rsidRPr="00E13319" w:rsidRDefault="00D9644C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  <w:r>
        <w:rPr>
          <w:rFonts w:ascii="Calibri Light" w:hAnsi="Calibri Light" w:cs="Calibri Light"/>
          <w:b/>
          <w:bCs/>
          <w:lang w:val="ro-RO"/>
        </w:rPr>
        <w:t xml:space="preserve">Cei </w:t>
      </w:r>
      <w:r w:rsidR="003C0053">
        <w:rPr>
          <w:rFonts w:ascii="Calibri Light" w:hAnsi="Calibri Light" w:cs="Calibri Light"/>
          <w:b/>
          <w:bCs/>
          <w:lang w:val="ro-RO"/>
        </w:rPr>
        <w:t xml:space="preserve">patru </w:t>
      </w:r>
      <w:r>
        <w:rPr>
          <w:rFonts w:ascii="Calibri Light" w:hAnsi="Calibri Light" w:cs="Calibri Light"/>
          <w:b/>
          <w:bCs/>
          <w:lang w:val="ro-RO"/>
        </w:rPr>
        <w:t xml:space="preserve">piloni </w:t>
      </w:r>
      <w:r w:rsidR="003C0053">
        <w:rPr>
          <w:rFonts w:ascii="Calibri Light" w:hAnsi="Calibri Light" w:cs="Calibri Light"/>
          <w:b/>
          <w:bCs/>
          <w:lang w:val="ro-RO"/>
        </w:rPr>
        <w:t>prezentați în</w:t>
      </w:r>
      <w:r>
        <w:rPr>
          <w:rFonts w:ascii="Calibri Light" w:hAnsi="Calibri Light" w:cs="Calibri Light"/>
          <w:b/>
          <w:bCs/>
          <w:lang w:val="ro-RO"/>
        </w:rPr>
        <w:t xml:space="preserve"> DORA</w:t>
      </w:r>
    </w:p>
    <w:p w14:paraId="43AB29B7" w14:textId="071C0EDA" w:rsidR="00D80E00" w:rsidRDefault="00D9644C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>DORA</w:t>
      </w:r>
      <w:r w:rsidR="005D17C5">
        <w:rPr>
          <w:rFonts w:ascii="Calibri Light" w:hAnsi="Calibri Light" w:cs="Calibri Light"/>
          <w:lang w:val="ro-RO"/>
        </w:rPr>
        <w:t xml:space="preserve"> </w:t>
      </w:r>
      <w:r w:rsidR="007467E4">
        <w:rPr>
          <w:rFonts w:ascii="Calibri Light" w:hAnsi="Calibri Light" w:cs="Calibri Light"/>
          <w:lang w:val="ro-RO"/>
        </w:rPr>
        <w:t xml:space="preserve">are </w:t>
      </w:r>
      <w:r w:rsidR="003C0053">
        <w:rPr>
          <w:rFonts w:ascii="Calibri Light" w:hAnsi="Calibri Light" w:cs="Calibri Light"/>
          <w:lang w:val="ro-RO"/>
        </w:rPr>
        <w:t>î</w:t>
      </w:r>
      <w:r w:rsidR="007467E4">
        <w:rPr>
          <w:rFonts w:ascii="Calibri Light" w:hAnsi="Calibri Light" w:cs="Calibri Light"/>
          <w:lang w:val="ro-RO"/>
        </w:rPr>
        <w:t xml:space="preserve">n vedere </w:t>
      </w:r>
      <w:r w:rsidR="007467E4">
        <w:rPr>
          <w:rFonts w:ascii="Calibri Light" w:hAnsi="Calibri Light" w:cs="Calibri Light"/>
          <w:b/>
          <w:bCs/>
          <w:lang w:val="ro-RO"/>
        </w:rPr>
        <w:t xml:space="preserve">patru </w:t>
      </w:r>
      <w:r w:rsidR="005D17C5" w:rsidRPr="0014202C">
        <w:rPr>
          <w:rFonts w:ascii="Calibri Light" w:hAnsi="Calibri Light" w:cs="Calibri Light"/>
          <w:b/>
          <w:bCs/>
          <w:lang w:val="ro-RO"/>
        </w:rPr>
        <w:t>piloni</w:t>
      </w:r>
      <w:r w:rsidR="005D17C5">
        <w:rPr>
          <w:rFonts w:ascii="Calibri Light" w:hAnsi="Calibri Light" w:cs="Calibri Light"/>
          <w:lang w:val="ro-RO"/>
        </w:rPr>
        <w:t xml:space="preserve"> pe care c</w:t>
      </w:r>
      <w:r w:rsidR="00D80E00">
        <w:rPr>
          <w:rFonts w:ascii="Calibri Light" w:hAnsi="Calibri Light" w:cs="Calibri Light"/>
          <w:lang w:val="ro-RO"/>
        </w:rPr>
        <w:t xml:space="preserve">ompaniile din sectorul financiar </w:t>
      </w:r>
      <w:r w:rsidR="005D17C5">
        <w:rPr>
          <w:rFonts w:ascii="Calibri Light" w:hAnsi="Calibri Light" w:cs="Calibri Light"/>
          <w:lang w:val="ro-RO"/>
        </w:rPr>
        <w:t xml:space="preserve">trebuie să îi ia în considerare pentru a </w:t>
      </w:r>
      <w:r w:rsidR="00BF7772">
        <w:rPr>
          <w:rFonts w:ascii="Calibri Light" w:hAnsi="Calibri Light" w:cs="Calibri Light"/>
          <w:lang w:val="ro-RO"/>
        </w:rPr>
        <w:t xml:space="preserve">înțelege maniera în care </w:t>
      </w:r>
      <w:r w:rsidR="005D17C5">
        <w:rPr>
          <w:rFonts w:ascii="Calibri Light" w:hAnsi="Calibri Light" w:cs="Calibri Light"/>
          <w:lang w:val="ro-RO"/>
        </w:rPr>
        <w:t xml:space="preserve">practicile lor </w:t>
      </w:r>
      <w:r w:rsidR="00A41CE7">
        <w:rPr>
          <w:rFonts w:ascii="Calibri Light" w:hAnsi="Calibri Light" w:cs="Calibri Light"/>
          <w:lang w:val="ro-RO"/>
        </w:rPr>
        <w:t xml:space="preserve">privind tehnologia informației și comunicațiilor, </w:t>
      </w:r>
      <w:r w:rsidR="0085563D">
        <w:rPr>
          <w:rFonts w:ascii="Calibri Light" w:hAnsi="Calibri Light" w:cs="Calibri Light"/>
          <w:lang w:val="ro-RO"/>
        </w:rPr>
        <w:t xml:space="preserve">reziliența </w:t>
      </w:r>
      <w:r w:rsidR="00A41CE7">
        <w:rPr>
          <w:rFonts w:ascii="Calibri Light" w:hAnsi="Calibri Light" w:cs="Calibri Light"/>
          <w:lang w:val="ro-RO"/>
        </w:rPr>
        <w:t xml:space="preserve">operațională și cibernetică, dar și managementul riscurilor rezultate în urma colaborării cu terți asigură </w:t>
      </w:r>
      <w:r w:rsidR="00B5697E">
        <w:rPr>
          <w:rFonts w:ascii="Calibri Light" w:hAnsi="Calibri Light" w:cs="Calibri Light"/>
          <w:lang w:val="ro-RO"/>
        </w:rPr>
        <w:t xml:space="preserve">continuitatea </w:t>
      </w:r>
      <w:r w:rsidR="00A41CE7">
        <w:rPr>
          <w:rFonts w:ascii="Calibri Light" w:hAnsi="Calibri Light" w:cs="Calibri Light"/>
          <w:lang w:val="ro-RO"/>
        </w:rPr>
        <w:t>funcțiilor lor critice</w:t>
      </w:r>
      <w:r w:rsidR="007467E4">
        <w:rPr>
          <w:rFonts w:ascii="Calibri Light" w:hAnsi="Calibri Light" w:cs="Calibri Light"/>
          <w:lang w:val="ro-RO"/>
        </w:rPr>
        <w:t xml:space="preserve">. </w:t>
      </w:r>
    </w:p>
    <w:p w14:paraId="54278069" w14:textId="119A4A4B" w:rsidR="00DA45EE" w:rsidRDefault="0014202C" w:rsidP="00DA45EE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b/>
          <w:bCs/>
          <w:lang w:val="ro-RO"/>
        </w:rPr>
        <w:t xml:space="preserve">Primul pilon </w:t>
      </w:r>
      <w:r w:rsidR="00FD04CE">
        <w:rPr>
          <w:rFonts w:ascii="Calibri Light" w:hAnsi="Calibri Light" w:cs="Calibri Light"/>
          <w:lang w:val="ro-RO"/>
        </w:rPr>
        <w:t xml:space="preserve">presupune </w:t>
      </w:r>
      <w:r w:rsidR="00FD04CE" w:rsidRPr="007467E4">
        <w:rPr>
          <w:rFonts w:ascii="Calibri Light" w:hAnsi="Calibri Light" w:cs="Calibri Light"/>
          <w:lang w:val="ro-RO"/>
        </w:rPr>
        <w:t>cre</w:t>
      </w:r>
      <w:r w:rsidR="00FD04CE">
        <w:rPr>
          <w:rFonts w:ascii="Calibri Light" w:hAnsi="Calibri Light" w:cs="Calibri Light"/>
          <w:lang w:val="ro-RO"/>
        </w:rPr>
        <w:t xml:space="preserve">area </w:t>
      </w:r>
      <w:r w:rsidR="00FD04CE" w:rsidRPr="007467E4">
        <w:rPr>
          <w:rFonts w:ascii="Calibri Light" w:hAnsi="Calibri Light" w:cs="Calibri Light"/>
          <w:lang w:val="ro-RO"/>
        </w:rPr>
        <w:t>un</w:t>
      </w:r>
      <w:r w:rsidR="00FD04CE">
        <w:rPr>
          <w:rFonts w:ascii="Calibri Light" w:hAnsi="Calibri Light" w:cs="Calibri Light"/>
          <w:lang w:val="ro-RO"/>
        </w:rPr>
        <w:t>ui</w:t>
      </w:r>
      <w:r w:rsidR="00FD04CE" w:rsidRPr="007467E4">
        <w:rPr>
          <w:rFonts w:ascii="Calibri Light" w:hAnsi="Calibri Light" w:cs="Calibri Light"/>
          <w:lang w:val="ro-RO"/>
        </w:rPr>
        <w:t xml:space="preserve"> cadru de management al riscului în jurul unui set de principii și cerințe cheie </w:t>
      </w:r>
      <w:r w:rsidR="00FD04CE">
        <w:rPr>
          <w:rFonts w:ascii="Calibri Light" w:hAnsi="Calibri Light" w:cs="Calibri Light"/>
          <w:lang w:val="ro-RO"/>
        </w:rPr>
        <w:t>în vederea</w:t>
      </w:r>
      <w:r w:rsidRPr="007467E4">
        <w:rPr>
          <w:rFonts w:ascii="Calibri Light" w:hAnsi="Calibri Light" w:cs="Calibri Light"/>
          <w:lang w:val="ro-RO"/>
        </w:rPr>
        <w:t xml:space="preserve"> </w:t>
      </w:r>
      <w:r w:rsidRPr="00FD04CE">
        <w:rPr>
          <w:rFonts w:ascii="Calibri Light" w:hAnsi="Calibri Light" w:cs="Calibri Light"/>
          <w:b/>
          <w:bCs/>
          <w:lang w:val="ro-RO"/>
        </w:rPr>
        <w:t>gestion</w:t>
      </w:r>
      <w:r w:rsidR="00FD04CE">
        <w:rPr>
          <w:rFonts w:ascii="Calibri Light" w:hAnsi="Calibri Light" w:cs="Calibri Light"/>
          <w:b/>
          <w:bCs/>
          <w:lang w:val="ro-RO"/>
        </w:rPr>
        <w:t>ării</w:t>
      </w:r>
      <w:r w:rsidRPr="00FD04CE">
        <w:rPr>
          <w:rFonts w:ascii="Calibri Light" w:hAnsi="Calibri Light" w:cs="Calibri Light"/>
          <w:b/>
          <w:bCs/>
          <w:lang w:val="ro-RO"/>
        </w:rPr>
        <w:t xml:space="preserve"> riscului privind tehnologia informației și comunicațiilo</w:t>
      </w:r>
      <w:r w:rsidR="007467E4" w:rsidRPr="00FD04CE">
        <w:rPr>
          <w:rFonts w:ascii="Calibri Light" w:hAnsi="Calibri Light" w:cs="Calibri Light"/>
          <w:b/>
          <w:bCs/>
          <w:lang w:val="ro-RO"/>
        </w:rPr>
        <w:t>r</w:t>
      </w:r>
      <w:r w:rsidR="007467E4">
        <w:rPr>
          <w:rFonts w:ascii="Calibri Light" w:hAnsi="Calibri Light" w:cs="Calibri Light"/>
          <w:lang w:val="ro-RO"/>
        </w:rPr>
        <w:t xml:space="preserve">. </w:t>
      </w:r>
    </w:p>
    <w:p w14:paraId="367552B7" w14:textId="560D8BD8" w:rsidR="007467E4" w:rsidRDefault="007467E4" w:rsidP="007467E4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 w:rsidRPr="007467E4">
        <w:rPr>
          <w:rFonts w:ascii="Calibri Light" w:hAnsi="Calibri Light" w:cs="Calibri Light"/>
          <w:b/>
          <w:bCs/>
          <w:lang w:val="ro-RO"/>
        </w:rPr>
        <w:t xml:space="preserve">Al doilea </w:t>
      </w:r>
      <w:r w:rsidRPr="003F217A">
        <w:rPr>
          <w:rFonts w:ascii="Calibri Light" w:hAnsi="Calibri Light" w:cs="Calibri Light"/>
          <w:b/>
          <w:bCs/>
          <w:lang w:val="ro-RO"/>
        </w:rPr>
        <w:t>p</w:t>
      </w:r>
      <w:r w:rsidR="00DA45EE" w:rsidRPr="003F217A">
        <w:rPr>
          <w:rFonts w:ascii="Calibri Light" w:hAnsi="Calibri Light" w:cs="Calibri Light"/>
          <w:b/>
          <w:bCs/>
          <w:lang w:val="ro-RO"/>
        </w:rPr>
        <w:t>ilon</w:t>
      </w:r>
      <w:r w:rsidR="00DA45EE" w:rsidRPr="007F1FF6">
        <w:rPr>
          <w:rFonts w:ascii="Calibri Light" w:hAnsi="Calibri Light" w:cs="Calibri Light"/>
          <w:lang w:val="ro-RO"/>
        </w:rPr>
        <w:t xml:space="preserve"> </w:t>
      </w:r>
      <w:r w:rsidRPr="007F1FF6">
        <w:rPr>
          <w:rFonts w:ascii="Calibri Light" w:hAnsi="Calibri Light" w:cs="Calibri Light"/>
          <w:lang w:val="ro-RO"/>
        </w:rPr>
        <w:t xml:space="preserve">vizează </w:t>
      </w:r>
      <w:r w:rsidRPr="003F217A">
        <w:rPr>
          <w:rFonts w:ascii="Calibri Light" w:hAnsi="Calibri Light" w:cs="Calibri Light"/>
          <w:lang w:val="ro-RO"/>
        </w:rPr>
        <w:t>modalitate</w:t>
      </w:r>
      <w:r w:rsidR="009D4C32" w:rsidRPr="003F217A">
        <w:rPr>
          <w:rFonts w:ascii="Calibri Light" w:hAnsi="Calibri Light" w:cs="Calibri Light"/>
          <w:lang w:val="ro-RO"/>
        </w:rPr>
        <w:t>a</w:t>
      </w:r>
      <w:r>
        <w:rPr>
          <w:rFonts w:ascii="Calibri Light" w:hAnsi="Calibri Light" w:cs="Calibri Light"/>
          <w:lang w:val="ro-RO"/>
        </w:rPr>
        <w:t xml:space="preserve"> de </w:t>
      </w:r>
      <w:r w:rsidRPr="00FD04CE">
        <w:rPr>
          <w:rFonts w:ascii="Calibri Light" w:hAnsi="Calibri Light" w:cs="Calibri Light"/>
          <w:b/>
          <w:bCs/>
          <w:lang w:val="ro-RO"/>
        </w:rPr>
        <w:t>raportare a incidentelor</w:t>
      </w:r>
      <w:r>
        <w:rPr>
          <w:rFonts w:ascii="Calibri Light" w:hAnsi="Calibri Light" w:cs="Calibri Light"/>
          <w:lang w:val="ro-RO"/>
        </w:rPr>
        <w:t>, entitățile financiare</w:t>
      </w:r>
      <w:r w:rsidRPr="00470E08">
        <w:rPr>
          <w:rFonts w:ascii="Calibri Light" w:hAnsi="Calibri Light" w:cs="Calibri Light"/>
          <w:lang w:val="ro-RO"/>
        </w:rPr>
        <w:t xml:space="preserve"> </w:t>
      </w:r>
      <w:r>
        <w:rPr>
          <w:rFonts w:ascii="Calibri Light" w:hAnsi="Calibri Light" w:cs="Calibri Light"/>
          <w:lang w:val="ro-RO"/>
        </w:rPr>
        <w:t xml:space="preserve">fiind nevoite </w:t>
      </w:r>
      <w:r w:rsidRPr="00470E08">
        <w:rPr>
          <w:rFonts w:ascii="Calibri Light" w:hAnsi="Calibri Light" w:cs="Calibri Light"/>
          <w:lang w:val="ro-RO"/>
        </w:rPr>
        <w:t>s</w:t>
      </w:r>
      <w:r>
        <w:rPr>
          <w:rFonts w:ascii="Calibri Light" w:hAnsi="Calibri Light" w:cs="Calibri Light"/>
          <w:lang w:val="ro-RO"/>
        </w:rPr>
        <w:t>ă</w:t>
      </w:r>
      <w:r w:rsidRPr="00470E08">
        <w:rPr>
          <w:rFonts w:ascii="Calibri Light" w:hAnsi="Calibri Light" w:cs="Calibri Light"/>
          <w:lang w:val="ro-RO"/>
        </w:rPr>
        <w:t xml:space="preserve"> notific</w:t>
      </w:r>
      <w:r>
        <w:rPr>
          <w:rFonts w:ascii="Calibri Light" w:hAnsi="Calibri Light" w:cs="Calibri Light"/>
          <w:lang w:val="ro-RO"/>
        </w:rPr>
        <w:t>e</w:t>
      </w:r>
      <w:r w:rsidRPr="00470E08">
        <w:rPr>
          <w:rFonts w:ascii="Calibri Light" w:hAnsi="Calibri Light" w:cs="Calibri Light"/>
          <w:lang w:val="ro-RO"/>
        </w:rPr>
        <w:t xml:space="preserve"> </w:t>
      </w:r>
      <w:r w:rsidR="00466E50">
        <w:rPr>
          <w:rFonts w:ascii="Calibri Light" w:hAnsi="Calibri Light" w:cs="Calibri Light"/>
          <w:lang w:val="ro-RO"/>
        </w:rPr>
        <w:t>astfel de caz</w:t>
      </w:r>
      <w:r w:rsidR="00286079">
        <w:rPr>
          <w:rFonts w:ascii="Calibri Light" w:hAnsi="Calibri Light" w:cs="Calibri Light"/>
          <w:lang w:val="ro-RO"/>
        </w:rPr>
        <w:t>uri</w:t>
      </w:r>
      <w:r w:rsidR="00466E50">
        <w:rPr>
          <w:rFonts w:ascii="Calibri Light" w:hAnsi="Calibri Light" w:cs="Calibri Light"/>
          <w:lang w:val="ro-RO"/>
        </w:rPr>
        <w:t xml:space="preserve"> </w:t>
      </w:r>
      <w:r>
        <w:rPr>
          <w:rFonts w:ascii="Calibri Light" w:hAnsi="Calibri Light" w:cs="Calibri Light"/>
          <w:lang w:val="ro-RO"/>
        </w:rPr>
        <w:t>î</w:t>
      </w:r>
      <w:r w:rsidRPr="00470E08">
        <w:rPr>
          <w:rFonts w:ascii="Calibri Light" w:hAnsi="Calibri Light" w:cs="Calibri Light"/>
          <w:lang w:val="ro-RO"/>
        </w:rPr>
        <w:t xml:space="preserve">n </w:t>
      </w:r>
      <w:r>
        <w:rPr>
          <w:rFonts w:ascii="Calibri Light" w:hAnsi="Calibri Light" w:cs="Calibri Light"/>
          <w:lang w:val="ro-RO"/>
        </w:rPr>
        <w:t>24 de ore de la producere. În decurs de o lună</w:t>
      </w:r>
      <w:r w:rsidRPr="00470E08">
        <w:rPr>
          <w:rFonts w:ascii="Calibri Light" w:hAnsi="Calibri Light" w:cs="Calibri Light"/>
          <w:lang w:val="ro-RO"/>
        </w:rPr>
        <w:t xml:space="preserve">, </w:t>
      </w:r>
      <w:r>
        <w:rPr>
          <w:rFonts w:ascii="Calibri Light" w:hAnsi="Calibri Light" w:cs="Calibri Light"/>
          <w:lang w:val="ro-RO"/>
        </w:rPr>
        <w:t>organizația</w:t>
      </w:r>
      <w:r w:rsidRPr="00470E08">
        <w:rPr>
          <w:rFonts w:ascii="Calibri Light" w:hAnsi="Calibri Light" w:cs="Calibri Light"/>
          <w:lang w:val="ro-RO"/>
        </w:rPr>
        <w:t xml:space="preserve"> compromis</w:t>
      </w:r>
      <w:r>
        <w:rPr>
          <w:rFonts w:ascii="Calibri Light" w:hAnsi="Calibri Light" w:cs="Calibri Light"/>
          <w:lang w:val="ro-RO"/>
        </w:rPr>
        <w:t>ă</w:t>
      </w:r>
      <w:r w:rsidRPr="00470E08">
        <w:rPr>
          <w:rFonts w:ascii="Calibri Light" w:hAnsi="Calibri Light" w:cs="Calibri Light"/>
          <w:lang w:val="ro-RO"/>
        </w:rPr>
        <w:t xml:space="preserve"> </w:t>
      </w:r>
      <w:r>
        <w:rPr>
          <w:rFonts w:ascii="Calibri Light" w:hAnsi="Calibri Light" w:cs="Calibri Light"/>
          <w:lang w:val="ro-RO"/>
        </w:rPr>
        <w:t>este nevoită</w:t>
      </w:r>
      <w:r w:rsidRPr="00470E08">
        <w:rPr>
          <w:rFonts w:ascii="Calibri Light" w:hAnsi="Calibri Light" w:cs="Calibri Light"/>
          <w:lang w:val="ro-RO"/>
        </w:rPr>
        <w:t xml:space="preserve"> s</w:t>
      </w:r>
      <w:r>
        <w:rPr>
          <w:rFonts w:ascii="Calibri Light" w:hAnsi="Calibri Light" w:cs="Calibri Light"/>
          <w:lang w:val="ro-RO"/>
        </w:rPr>
        <w:t>ă</w:t>
      </w:r>
      <w:r w:rsidRPr="00470E08">
        <w:rPr>
          <w:rFonts w:ascii="Calibri Light" w:hAnsi="Calibri Light" w:cs="Calibri Light"/>
          <w:lang w:val="ro-RO"/>
        </w:rPr>
        <w:t xml:space="preserve"> identifice cauza primar</w:t>
      </w:r>
      <w:r w:rsidR="00FD04CE">
        <w:rPr>
          <w:rFonts w:ascii="Calibri Light" w:hAnsi="Calibri Light" w:cs="Calibri Light"/>
          <w:lang w:val="ro-RO"/>
        </w:rPr>
        <w:t>ă</w:t>
      </w:r>
      <w:r w:rsidRPr="00470E08">
        <w:rPr>
          <w:rFonts w:ascii="Calibri Light" w:hAnsi="Calibri Light" w:cs="Calibri Light"/>
          <w:lang w:val="ro-RO"/>
        </w:rPr>
        <w:t xml:space="preserve"> a atacului</w:t>
      </w:r>
      <w:r>
        <w:rPr>
          <w:rFonts w:ascii="Calibri Light" w:hAnsi="Calibri Light" w:cs="Calibri Light"/>
          <w:lang w:val="ro-RO"/>
        </w:rPr>
        <w:t xml:space="preserve"> </w:t>
      </w:r>
      <w:r w:rsidR="00466E50">
        <w:rPr>
          <w:rFonts w:ascii="Calibri Light" w:hAnsi="Calibri Light" w:cs="Calibri Light"/>
          <w:lang w:val="ro-RO"/>
        </w:rPr>
        <w:t xml:space="preserve">folosind </w:t>
      </w:r>
      <w:hyperlink r:id="rId11" w:history="1">
        <w:r w:rsidRPr="003F217A">
          <w:rPr>
            <w:rStyle w:val="Hyperlink"/>
            <w:rFonts w:ascii="Calibri Light" w:hAnsi="Calibri Light" w:cs="Calibri Light"/>
            <w:lang w:val="ro-RO"/>
          </w:rPr>
          <w:t>instrumente de dete</w:t>
        </w:r>
        <w:r w:rsidR="00FD04CE" w:rsidRPr="003F217A">
          <w:rPr>
            <w:rStyle w:val="Hyperlink"/>
            <w:rFonts w:ascii="Calibri Light" w:hAnsi="Calibri Light" w:cs="Calibri Light"/>
            <w:lang w:val="ro-RO"/>
          </w:rPr>
          <w:t>cție</w:t>
        </w:r>
        <w:r w:rsidRPr="003F217A">
          <w:rPr>
            <w:rStyle w:val="Hyperlink"/>
            <w:rFonts w:ascii="Calibri Light" w:hAnsi="Calibri Light" w:cs="Calibri Light"/>
            <w:lang w:val="ro-RO"/>
          </w:rPr>
          <w:t xml:space="preserve"> și răspuns</w:t>
        </w:r>
      </w:hyperlink>
      <w:r>
        <w:rPr>
          <w:rFonts w:ascii="Calibri Light" w:hAnsi="Calibri Light" w:cs="Calibri Light"/>
          <w:lang w:val="ro-RO"/>
        </w:rPr>
        <w:t xml:space="preserve"> </w:t>
      </w:r>
      <w:r w:rsidR="00787D59" w:rsidRPr="003F217A">
        <w:rPr>
          <w:rFonts w:ascii="Calibri Light" w:hAnsi="Calibri Light" w:cs="Calibri Light"/>
          <w:lang w:val="ro-RO"/>
        </w:rPr>
        <w:t>implementa</w:t>
      </w:r>
      <w:r w:rsidR="007F1FF6" w:rsidRPr="003F217A">
        <w:rPr>
          <w:rFonts w:ascii="Calibri Light" w:hAnsi="Calibri Light" w:cs="Calibri Light"/>
          <w:lang w:val="ro-RO"/>
        </w:rPr>
        <w:t>te</w:t>
      </w:r>
      <w:r w:rsidR="00787D59" w:rsidRPr="003F217A">
        <w:rPr>
          <w:rFonts w:ascii="Calibri Light" w:hAnsi="Calibri Light" w:cs="Calibri Light"/>
          <w:lang w:val="ro-RO"/>
        </w:rPr>
        <w:t xml:space="preserve"> cu</w:t>
      </w:r>
      <w:r w:rsidR="007F1FF6">
        <w:rPr>
          <w:rFonts w:ascii="Calibri Light" w:hAnsi="Calibri Light" w:cs="Calibri Light"/>
          <w:lang w:val="ro-RO"/>
        </w:rPr>
        <w:t xml:space="preserve"> ajutorul </w:t>
      </w:r>
      <w:r w:rsidR="00E7221C">
        <w:rPr>
          <w:rFonts w:ascii="Calibri Light" w:hAnsi="Calibri Light" w:cs="Calibri Light"/>
          <w:lang w:val="ro-RO"/>
        </w:rPr>
        <w:t xml:space="preserve">echipelor operaționale care trebuie să dea dovadă de o serie de </w:t>
      </w:r>
      <w:r w:rsidR="007F1FF6">
        <w:rPr>
          <w:rFonts w:ascii="Calibri Light" w:hAnsi="Calibri Light" w:cs="Calibri Light"/>
          <w:lang w:val="ro-RO"/>
        </w:rPr>
        <w:t xml:space="preserve">abilități </w:t>
      </w:r>
      <w:r w:rsidR="00486D77" w:rsidRPr="003F217A">
        <w:rPr>
          <w:rFonts w:ascii="Calibri Light" w:hAnsi="Calibri Light" w:cs="Calibri Light"/>
          <w:lang w:val="ro-RO"/>
        </w:rPr>
        <w:t>speciale</w:t>
      </w:r>
      <w:r w:rsidR="00E7221C">
        <w:rPr>
          <w:rFonts w:ascii="Calibri Light" w:hAnsi="Calibri Light" w:cs="Calibri Light"/>
          <w:lang w:val="ro-RO"/>
        </w:rPr>
        <w:t xml:space="preserve"> în domeniu. T</w:t>
      </w:r>
      <w:r w:rsidR="00486D77" w:rsidRPr="003F217A">
        <w:rPr>
          <w:rFonts w:ascii="Calibri Light" w:hAnsi="Calibri Light" w:cs="Calibri Light"/>
          <w:lang w:val="ro-RO"/>
        </w:rPr>
        <w:t>ehnologii</w:t>
      </w:r>
      <w:r w:rsidR="00E7221C">
        <w:rPr>
          <w:rFonts w:ascii="Calibri Light" w:hAnsi="Calibri Light" w:cs="Calibri Light"/>
          <w:lang w:val="ro-RO"/>
        </w:rPr>
        <w:t>le</w:t>
      </w:r>
      <w:r w:rsidR="00486D77" w:rsidRPr="003F217A">
        <w:rPr>
          <w:rFonts w:ascii="Calibri Light" w:hAnsi="Calibri Light" w:cs="Calibri Light"/>
          <w:lang w:val="ro-RO"/>
        </w:rPr>
        <w:t xml:space="preserve"> </w:t>
      </w:r>
      <w:r w:rsidR="008B0355" w:rsidRPr="003F217A">
        <w:rPr>
          <w:rFonts w:ascii="Calibri Light" w:hAnsi="Calibri Light" w:cs="Calibri Light"/>
          <w:lang w:val="ro-RO"/>
        </w:rPr>
        <w:t>care pot sprijini procesele de</w:t>
      </w:r>
      <w:r w:rsidR="00486D77" w:rsidRPr="003F217A">
        <w:rPr>
          <w:rFonts w:ascii="Calibri Light" w:hAnsi="Calibri Light" w:cs="Calibri Light"/>
          <w:lang w:val="ro-RO"/>
        </w:rPr>
        <w:t xml:space="preserve"> detec</w:t>
      </w:r>
      <w:r w:rsidR="00E7221C">
        <w:rPr>
          <w:rFonts w:ascii="Calibri Light" w:hAnsi="Calibri Light" w:cs="Calibri Light"/>
          <w:lang w:val="ro-RO"/>
        </w:rPr>
        <w:t>ț</w:t>
      </w:r>
      <w:r w:rsidR="00486D77" w:rsidRPr="003F217A">
        <w:rPr>
          <w:rFonts w:ascii="Calibri Light" w:hAnsi="Calibri Light" w:cs="Calibri Light"/>
          <w:lang w:val="ro-RO"/>
        </w:rPr>
        <w:t xml:space="preserve">ie </w:t>
      </w:r>
      <w:r w:rsidR="00E7221C">
        <w:rPr>
          <w:rFonts w:ascii="Calibri Light" w:hAnsi="Calibri Light" w:cs="Calibri Light"/>
          <w:lang w:val="ro-RO"/>
        </w:rPr>
        <w:t>ș</w:t>
      </w:r>
      <w:r w:rsidR="00486D77" w:rsidRPr="003F217A">
        <w:rPr>
          <w:rFonts w:ascii="Calibri Light" w:hAnsi="Calibri Light" w:cs="Calibri Light"/>
          <w:lang w:val="ro-RO"/>
        </w:rPr>
        <w:t>i r</w:t>
      </w:r>
      <w:r w:rsidR="00E7221C">
        <w:rPr>
          <w:rFonts w:ascii="Calibri Light" w:hAnsi="Calibri Light" w:cs="Calibri Light"/>
          <w:lang w:val="ro-RO"/>
        </w:rPr>
        <w:t>ă</w:t>
      </w:r>
      <w:r w:rsidR="00486D77" w:rsidRPr="003F217A">
        <w:rPr>
          <w:rFonts w:ascii="Calibri Light" w:hAnsi="Calibri Light" w:cs="Calibri Light"/>
          <w:lang w:val="ro-RO"/>
        </w:rPr>
        <w:t>spuns</w:t>
      </w:r>
      <w:r w:rsidR="00E7221C">
        <w:rPr>
          <w:rFonts w:ascii="Calibri Light" w:hAnsi="Calibri Light" w:cs="Calibri Light"/>
          <w:lang w:val="ro-RO"/>
        </w:rPr>
        <w:t xml:space="preserve"> sunt soluții</w:t>
      </w:r>
      <w:r w:rsidR="008B0355" w:rsidRPr="007F1FF6">
        <w:rPr>
          <w:rFonts w:ascii="Calibri Light" w:hAnsi="Calibri Light" w:cs="Calibri Light"/>
          <w:lang w:val="ro-RO"/>
        </w:rPr>
        <w:t xml:space="preserve"> </w:t>
      </w:r>
      <w:r w:rsidRPr="007F1FF6">
        <w:rPr>
          <w:rFonts w:ascii="Calibri Light" w:hAnsi="Calibri Light" w:cs="Calibri Light"/>
          <w:lang w:val="ro-RO"/>
        </w:rPr>
        <w:t xml:space="preserve">cu care principalii jucătorii din sistemul bancar sunt cel mai probabil la zi, activând într-un sector </w:t>
      </w:r>
      <w:r w:rsidR="000E7E1F" w:rsidRPr="007F1FF6">
        <w:rPr>
          <w:rFonts w:ascii="Calibri Light" w:hAnsi="Calibri Light" w:cs="Calibri Light"/>
          <w:lang w:val="ro-RO"/>
        </w:rPr>
        <w:t xml:space="preserve">deja </w:t>
      </w:r>
      <w:r w:rsidRPr="007F1FF6">
        <w:rPr>
          <w:rFonts w:ascii="Calibri Light" w:hAnsi="Calibri Light" w:cs="Calibri Light"/>
          <w:lang w:val="ro-RO"/>
        </w:rPr>
        <w:t>puternic reglementat.</w:t>
      </w:r>
      <w:r w:rsidRPr="00470E08">
        <w:rPr>
          <w:rFonts w:ascii="Calibri Light" w:hAnsi="Calibri Light" w:cs="Calibri Light"/>
          <w:lang w:val="ro-RO"/>
        </w:rPr>
        <w:t xml:space="preserve"> </w:t>
      </w:r>
    </w:p>
    <w:p w14:paraId="08406500" w14:textId="2B771E51" w:rsidR="006F1878" w:rsidRDefault="007467E4" w:rsidP="007467E4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 w:rsidRPr="000E7E1F">
        <w:rPr>
          <w:rFonts w:ascii="Calibri Light" w:hAnsi="Calibri Light" w:cs="Calibri Light"/>
          <w:b/>
          <w:bCs/>
          <w:lang w:val="ro-RO"/>
        </w:rPr>
        <w:t>Testarea rezilienței operaționale</w:t>
      </w:r>
      <w:r>
        <w:rPr>
          <w:rFonts w:ascii="Calibri Light" w:hAnsi="Calibri Light" w:cs="Calibri Light"/>
          <w:lang w:val="ro-RO"/>
        </w:rPr>
        <w:t xml:space="preserve"> reprezintă </w:t>
      </w:r>
      <w:r w:rsidRPr="0022442D">
        <w:rPr>
          <w:rFonts w:ascii="Calibri Light" w:hAnsi="Calibri Light" w:cs="Calibri Light"/>
          <w:b/>
          <w:bCs/>
          <w:lang w:val="ro-RO"/>
        </w:rPr>
        <w:t>al treilea pilon</w:t>
      </w:r>
      <w:r>
        <w:rPr>
          <w:rFonts w:ascii="Calibri Light" w:hAnsi="Calibri Light" w:cs="Calibri Light"/>
          <w:lang w:val="ro-RO"/>
        </w:rPr>
        <w:t xml:space="preserve"> pe care DORA îl </w:t>
      </w:r>
      <w:r w:rsidR="000E7E1F">
        <w:rPr>
          <w:rFonts w:ascii="Calibri Light" w:hAnsi="Calibri Light" w:cs="Calibri Light"/>
          <w:lang w:val="ro-RO"/>
        </w:rPr>
        <w:t>reglementează</w:t>
      </w:r>
      <w:r w:rsidR="009A6C53">
        <w:rPr>
          <w:rFonts w:ascii="Calibri Light" w:hAnsi="Calibri Light" w:cs="Calibri Light"/>
          <w:lang w:val="ro-RO"/>
        </w:rPr>
        <w:t>,</w:t>
      </w:r>
      <w:r w:rsidR="00A305B0">
        <w:rPr>
          <w:rFonts w:ascii="Calibri Light" w:hAnsi="Calibri Light" w:cs="Calibri Light"/>
          <w:lang w:val="ro-RO"/>
        </w:rPr>
        <w:t xml:space="preserve"> </w:t>
      </w:r>
      <w:r w:rsidR="009A6C53">
        <w:rPr>
          <w:rFonts w:ascii="Calibri Light" w:hAnsi="Calibri Light" w:cs="Calibri Light"/>
          <w:lang w:val="ro-RO"/>
        </w:rPr>
        <w:t xml:space="preserve">stabilind </w:t>
      </w:r>
      <w:r w:rsidR="00A305B0">
        <w:rPr>
          <w:rFonts w:ascii="Calibri Light" w:hAnsi="Calibri Light" w:cs="Calibri Light"/>
          <w:lang w:val="ro-RO"/>
        </w:rPr>
        <w:t>s</w:t>
      </w:r>
      <w:r w:rsidR="00A305B0" w:rsidRPr="00A305B0">
        <w:rPr>
          <w:rFonts w:ascii="Calibri Light" w:hAnsi="Calibri Light" w:cs="Calibri Light"/>
          <w:lang w:val="ro-RO"/>
        </w:rPr>
        <w:t xml:space="preserve">tandarde la nivelul UE </w:t>
      </w:r>
      <w:r w:rsidR="00A305B0">
        <w:rPr>
          <w:rFonts w:ascii="Calibri Light" w:hAnsi="Calibri Light" w:cs="Calibri Light"/>
          <w:lang w:val="ro-RO"/>
        </w:rPr>
        <w:t xml:space="preserve">în vederea realizării acestor </w:t>
      </w:r>
      <w:r w:rsidR="00286079">
        <w:rPr>
          <w:rFonts w:ascii="Calibri Light" w:hAnsi="Calibri Light" w:cs="Calibri Light"/>
          <w:lang w:val="ro-RO"/>
        </w:rPr>
        <w:t>exerciții</w:t>
      </w:r>
      <w:r w:rsidR="00A305B0">
        <w:rPr>
          <w:rFonts w:ascii="Calibri Light" w:hAnsi="Calibri Light" w:cs="Calibri Light"/>
          <w:lang w:val="ro-RO"/>
        </w:rPr>
        <w:t>. Companiile care au depășit un anumit prag de</w:t>
      </w:r>
      <w:r w:rsidR="00A305B0" w:rsidRPr="00A305B0">
        <w:rPr>
          <w:rFonts w:ascii="Calibri Light" w:hAnsi="Calibri Light" w:cs="Calibri Light"/>
          <w:lang w:val="ro-RO"/>
        </w:rPr>
        <w:t xml:space="preserve"> maturitate</w:t>
      </w:r>
      <w:r w:rsidR="00286079">
        <w:rPr>
          <w:rFonts w:ascii="Calibri Light" w:hAnsi="Calibri Light" w:cs="Calibri Light"/>
          <w:lang w:val="ro-RO"/>
        </w:rPr>
        <w:t xml:space="preserve"> – prag care va</w:t>
      </w:r>
      <w:r w:rsidR="00A305B0" w:rsidRPr="00A305B0">
        <w:rPr>
          <w:rFonts w:ascii="Calibri Light" w:hAnsi="Calibri Light" w:cs="Calibri Light"/>
          <w:lang w:val="ro-RO"/>
        </w:rPr>
        <w:t xml:space="preserve"> fi specificat </w:t>
      </w:r>
      <w:r w:rsidR="00A305B0">
        <w:rPr>
          <w:rFonts w:ascii="Calibri Light" w:hAnsi="Calibri Light" w:cs="Calibri Light"/>
          <w:lang w:val="ro-RO"/>
        </w:rPr>
        <w:t xml:space="preserve">într-un </w:t>
      </w:r>
      <w:r w:rsidR="00A305B0" w:rsidRPr="00A305B0">
        <w:rPr>
          <w:rFonts w:ascii="Calibri Light" w:hAnsi="Calibri Light" w:cs="Calibri Light"/>
          <w:lang w:val="ro-RO"/>
        </w:rPr>
        <w:t xml:space="preserve">standard tehnic de reglementare </w:t>
      </w:r>
      <w:r w:rsidR="00A305B0">
        <w:rPr>
          <w:rFonts w:ascii="Calibri Light" w:hAnsi="Calibri Light" w:cs="Calibri Light"/>
          <w:lang w:val="ro-RO"/>
        </w:rPr>
        <w:t>ce nu a fost încă adoptat</w:t>
      </w:r>
      <w:r w:rsidR="00286079">
        <w:rPr>
          <w:rFonts w:ascii="Calibri Light" w:hAnsi="Calibri Light" w:cs="Calibri Light"/>
          <w:lang w:val="ro-RO"/>
        </w:rPr>
        <w:t xml:space="preserve"> - </w:t>
      </w:r>
      <w:r w:rsidR="000E7E1F">
        <w:rPr>
          <w:rFonts w:ascii="Calibri Light" w:hAnsi="Calibri Light" w:cs="Calibri Light"/>
          <w:lang w:val="ro-RO"/>
        </w:rPr>
        <w:t xml:space="preserve">trebuie </w:t>
      </w:r>
      <w:r w:rsidR="00A305B0" w:rsidRPr="00A305B0">
        <w:rPr>
          <w:rFonts w:ascii="Calibri Light" w:hAnsi="Calibri Light" w:cs="Calibri Light"/>
          <w:lang w:val="ro-RO"/>
        </w:rPr>
        <w:t xml:space="preserve">să efectueze </w:t>
      </w:r>
      <w:r w:rsidR="0028388D">
        <w:rPr>
          <w:rFonts w:ascii="Calibri Light" w:hAnsi="Calibri Light" w:cs="Calibri Light"/>
          <w:lang w:val="ro-RO"/>
        </w:rPr>
        <w:t xml:space="preserve">teste de securitate bazate </w:t>
      </w:r>
      <w:r w:rsidR="0028388D" w:rsidRPr="0028388D">
        <w:rPr>
          <w:rFonts w:ascii="Calibri Light" w:hAnsi="Calibri Light" w:cs="Calibri Light"/>
          <w:lang w:val="ro-RO"/>
        </w:rPr>
        <w:t>pe</w:t>
      </w:r>
      <w:r w:rsidR="005D1CF4">
        <w:rPr>
          <w:rFonts w:ascii="Calibri Light" w:hAnsi="Calibri Light" w:cs="Calibri Light"/>
          <w:lang w:val="ro-RO"/>
        </w:rPr>
        <w:t xml:space="preserve"> </w:t>
      </w:r>
      <w:r w:rsidR="0028388D" w:rsidRPr="0028388D">
        <w:rPr>
          <w:rFonts w:ascii="Calibri Light" w:hAnsi="Calibri Light" w:cs="Calibri Light"/>
          <w:lang w:val="ro-RO"/>
        </w:rPr>
        <w:t>informații despre amenințări</w:t>
      </w:r>
      <w:r w:rsidR="0028388D">
        <w:rPr>
          <w:rFonts w:ascii="Calibri Light" w:hAnsi="Calibri Light" w:cs="Calibri Light"/>
          <w:lang w:val="ro-RO"/>
        </w:rPr>
        <w:t xml:space="preserve"> cibernetice actuale</w:t>
      </w:r>
      <w:r w:rsidR="00A305B0" w:rsidRPr="00A305B0">
        <w:rPr>
          <w:rFonts w:ascii="Calibri Light" w:hAnsi="Calibri Light" w:cs="Calibri Light"/>
          <w:lang w:val="ro-RO"/>
        </w:rPr>
        <w:t xml:space="preserve"> (</w:t>
      </w:r>
      <w:proofErr w:type="spellStart"/>
      <w:r w:rsidR="00793726" w:rsidRPr="00793726">
        <w:rPr>
          <w:rFonts w:ascii="Calibri Light" w:hAnsi="Calibri Light" w:cs="Calibri Light"/>
          <w:i/>
          <w:iCs/>
          <w:lang w:val="ro-RO"/>
        </w:rPr>
        <w:t>Threat</w:t>
      </w:r>
      <w:proofErr w:type="spellEnd"/>
      <w:r w:rsidR="00793726" w:rsidRPr="00793726">
        <w:rPr>
          <w:rFonts w:ascii="Calibri Light" w:hAnsi="Calibri Light" w:cs="Calibri Light"/>
          <w:i/>
          <w:iCs/>
          <w:lang w:val="ro-RO"/>
        </w:rPr>
        <w:t xml:space="preserve">-Led </w:t>
      </w:r>
      <w:proofErr w:type="spellStart"/>
      <w:r w:rsidR="00793726" w:rsidRPr="00793726">
        <w:rPr>
          <w:rFonts w:ascii="Calibri Light" w:hAnsi="Calibri Light" w:cs="Calibri Light"/>
          <w:i/>
          <w:iCs/>
          <w:lang w:val="ro-RO"/>
        </w:rPr>
        <w:t>Penetration</w:t>
      </w:r>
      <w:proofErr w:type="spellEnd"/>
      <w:r w:rsidR="00793726" w:rsidRPr="0079372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="00793726" w:rsidRPr="00793726">
        <w:rPr>
          <w:rFonts w:ascii="Calibri Light" w:hAnsi="Calibri Light" w:cs="Calibri Light"/>
          <w:i/>
          <w:iCs/>
          <w:lang w:val="ro-RO"/>
        </w:rPr>
        <w:t>Testing</w:t>
      </w:r>
      <w:proofErr w:type="spellEnd"/>
      <w:r w:rsidR="00A305B0" w:rsidRPr="00A305B0">
        <w:rPr>
          <w:rFonts w:ascii="Calibri Light" w:hAnsi="Calibri Light" w:cs="Calibri Light"/>
          <w:lang w:val="ro-RO"/>
        </w:rPr>
        <w:t>) la fiecare trei ani</w:t>
      </w:r>
      <w:r w:rsidR="00793726">
        <w:rPr>
          <w:rFonts w:ascii="Calibri Light" w:hAnsi="Calibri Light" w:cs="Calibri Light"/>
          <w:lang w:val="ro-RO"/>
        </w:rPr>
        <w:t xml:space="preserve">, </w:t>
      </w:r>
      <w:r w:rsidR="00A305B0" w:rsidRPr="00A305B0">
        <w:rPr>
          <w:rFonts w:ascii="Calibri Light" w:hAnsi="Calibri Light" w:cs="Calibri Light"/>
          <w:lang w:val="ro-RO"/>
        </w:rPr>
        <w:t>excepți</w:t>
      </w:r>
      <w:r w:rsidR="00793726">
        <w:rPr>
          <w:rFonts w:ascii="Calibri Light" w:hAnsi="Calibri Light" w:cs="Calibri Light"/>
          <w:lang w:val="ro-RO"/>
        </w:rPr>
        <w:t xml:space="preserve">e făcând </w:t>
      </w:r>
      <w:r w:rsidR="00A305B0" w:rsidRPr="00A305B0">
        <w:rPr>
          <w:rFonts w:ascii="Calibri Light" w:hAnsi="Calibri Light" w:cs="Calibri Light"/>
          <w:lang w:val="ro-RO"/>
        </w:rPr>
        <w:t>cazu</w:t>
      </w:r>
      <w:r w:rsidR="00793726">
        <w:rPr>
          <w:rFonts w:ascii="Calibri Light" w:hAnsi="Calibri Light" w:cs="Calibri Light"/>
          <w:lang w:val="ro-RO"/>
        </w:rPr>
        <w:t>rile</w:t>
      </w:r>
      <w:r w:rsidR="00A305B0" w:rsidRPr="00A305B0">
        <w:rPr>
          <w:rFonts w:ascii="Calibri Light" w:hAnsi="Calibri Light" w:cs="Calibri Light"/>
          <w:lang w:val="ro-RO"/>
        </w:rPr>
        <w:t xml:space="preserve"> în care </w:t>
      </w:r>
      <w:r w:rsidR="00793726">
        <w:rPr>
          <w:rFonts w:ascii="Calibri Light" w:hAnsi="Calibri Light" w:cs="Calibri Light"/>
          <w:lang w:val="ro-RO"/>
        </w:rPr>
        <w:t xml:space="preserve">aceste dispoziții </w:t>
      </w:r>
      <w:r w:rsidR="00A305B0" w:rsidRPr="00A305B0">
        <w:rPr>
          <w:rFonts w:ascii="Calibri Light" w:hAnsi="Calibri Light" w:cs="Calibri Light"/>
          <w:lang w:val="ro-RO"/>
        </w:rPr>
        <w:t xml:space="preserve">sunt modificate de autoritățile naționale. </w:t>
      </w:r>
      <w:r w:rsidR="00793726">
        <w:rPr>
          <w:rFonts w:ascii="Calibri Light" w:hAnsi="Calibri Light" w:cs="Calibri Light"/>
          <w:lang w:val="ro-RO"/>
        </w:rPr>
        <w:t xml:space="preserve">În </w:t>
      </w:r>
      <w:r w:rsidR="00286079">
        <w:rPr>
          <w:rFonts w:ascii="Calibri Light" w:hAnsi="Calibri Light" w:cs="Calibri Light"/>
          <w:lang w:val="ro-RO"/>
        </w:rPr>
        <w:t xml:space="preserve">țara noastră, </w:t>
      </w:r>
      <w:r w:rsidR="0028388D" w:rsidRPr="00AD1255">
        <w:rPr>
          <w:rFonts w:ascii="Calibri Light" w:hAnsi="Calibri Light" w:cs="Calibri Light"/>
          <w:lang w:val="ro-RO"/>
        </w:rPr>
        <w:t>Banca Națională a României</w:t>
      </w:r>
      <w:r w:rsidR="0028388D">
        <w:rPr>
          <w:rFonts w:ascii="Calibri Light" w:hAnsi="Calibri Light" w:cs="Calibri Light"/>
          <w:lang w:val="ro-RO"/>
        </w:rPr>
        <w:t xml:space="preserve"> </w:t>
      </w:r>
      <w:r w:rsidR="00286079">
        <w:rPr>
          <w:rFonts w:ascii="Calibri Light" w:hAnsi="Calibri Light" w:cs="Calibri Light"/>
          <w:lang w:val="ro-RO"/>
        </w:rPr>
        <w:t xml:space="preserve">a adoptat </w:t>
      </w:r>
      <w:hyperlink r:id="rId12" w:history="1">
        <w:r w:rsidR="00286079">
          <w:rPr>
            <w:rStyle w:val="Hyperlink"/>
            <w:rFonts w:ascii="Calibri Light" w:hAnsi="Calibri Light" w:cs="Calibri Light"/>
            <w:lang w:val="ro-RO"/>
          </w:rPr>
          <w:t>cadrul TIBER-RO</w:t>
        </w:r>
      </w:hyperlink>
      <w:r w:rsidR="00286079">
        <w:rPr>
          <w:rStyle w:val="Hyperlink"/>
          <w:rFonts w:ascii="Calibri Light" w:hAnsi="Calibri Light" w:cs="Calibri Light"/>
          <w:lang w:val="ro-RO"/>
        </w:rPr>
        <w:t xml:space="preserve"> </w:t>
      </w:r>
      <w:r w:rsidR="00286079" w:rsidRPr="00D66F06">
        <w:rPr>
          <w:rFonts w:asciiTheme="majorHAnsi" w:hAnsiTheme="majorHAnsi" w:cstheme="majorHAnsi"/>
        </w:rPr>
        <w:t xml:space="preserve">în </w:t>
      </w:r>
      <w:r w:rsidR="00286079">
        <w:rPr>
          <w:rFonts w:ascii="Calibri Light" w:hAnsi="Calibri Light" w:cs="Calibri Light"/>
          <w:lang w:val="ro-RO"/>
        </w:rPr>
        <w:t xml:space="preserve">mai 2022, care se aplică </w:t>
      </w:r>
      <w:r w:rsidR="006F1878" w:rsidRPr="006F1878">
        <w:rPr>
          <w:rFonts w:ascii="Calibri Light" w:hAnsi="Calibri Light" w:cs="Calibri Light"/>
          <w:lang w:val="ro-RO"/>
        </w:rPr>
        <w:t xml:space="preserve">instituțiilor financiare </w:t>
      </w:r>
      <w:r w:rsidR="009A6C53">
        <w:rPr>
          <w:rFonts w:ascii="Calibri Light" w:hAnsi="Calibri Light" w:cs="Calibri Light"/>
          <w:lang w:val="ro-RO"/>
        </w:rPr>
        <w:t xml:space="preserve">pe care le </w:t>
      </w:r>
      <w:r w:rsidR="006F1878" w:rsidRPr="006F1878">
        <w:rPr>
          <w:rFonts w:ascii="Calibri Light" w:hAnsi="Calibri Light" w:cs="Calibri Light"/>
          <w:lang w:val="ro-RO"/>
        </w:rPr>
        <w:t>supraveghe</w:t>
      </w:r>
      <w:r w:rsidR="009A6C53">
        <w:rPr>
          <w:rFonts w:ascii="Calibri Light" w:hAnsi="Calibri Light" w:cs="Calibri Light"/>
          <w:lang w:val="ro-RO"/>
        </w:rPr>
        <w:t>ază</w:t>
      </w:r>
      <w:r w:rsidR="00AD1255">
        <w:rPr>
          <w:rFonts w:ascii="Calibri Light" w:hAnsi="Calibri Light" w:cs="Calibri Light"/>
          <w:lang w:val="ro-RO"/>
        </w:rPr>
        <w:t xml:space="preserve">. Acesta </w:t>
      </w:r>
      <w:r w:rsidR="000E7E1F">
        <w:rPr>
          <w:rFonts w:ascii="Calibri Light" w:hAnsi="Calibri Light" w:cs="Calibri Light"/>
          <w:lang w:val="ro-RO"/>
        </w:rPr>
        <w:t xml:space="preserve">presupune </w:t>
      </w:r>
      <w:r w:rsidR="006F1878" w:rsidRPr="006F1878">
        <w:rPr>
          <w:rFonts w:ascii="Calibri Light" w:hAnsi="Calibri Light" w:cs="Calibri Light"/>
          <w:lang w:val="ro-RO"/>
        </w:rPr>
        <w:t>test</w:t>
      </w:r>
      <w:r w:rsidR="000E7E1F">
        <w:rPr>
          <w:rFonts w:ascii="Calibri Light" w:hAnsi="Calibri Light" w:cs="Calibri Light"/>
          <w:lang w:val="ro-RO"/>
        </w:rPr>
        <w:t>area</w:t>
      </w:r>
      <w:r w:rsidR="006F1878" w:rsidRPr="006F1878">
        <w:rPr>
          <w:rFonts w:ascii="Calibri Light" w:hAnsi="Calibri Light" w:cs="Calibri Light"/>
          <w:lang w:val="ro-RO"/>
        </w:rPr>
        <w:t xml:space="preserve"> </w:t>
      </w:r>
      <w:r w:rsidR="0085563D" w:rsidRPr="006F1878">
        <w:rPr>
          <w:rFonts w:ascii="Calibri Light" w:hAnsi="Calibri Light" w:cs="Calibri Light"/>
          <w:lang w:val="ro-RO"/>
        </w:rPr>
        <w:t>r</w:t>
      </w:r>
      <w:r w:rsidR="0085563D">
        <w:rPr>
          <w:rFonts w:ascii="Calibri Light" w:hAnsi="Calibri Light" w:cs="Calibri Light"/>
          <w:lang w:val="ro-RO"/>
        </w:rPr>
        <w:t>ezilienței</w:t>
      </w:r>
      <w:r w:rsidR="0045260B">
        <w:rPr>
          <w:rFonts w:ascii="Calibri Light" w:hAnsi="Calibri Light" w:cs="Calibri Light"/>
          <w:lang w:val="ro-RO"/>
        </w:rPr>
        <w:t xml:space="preserve"> </w:t>
      </w:r>
      <w:r w:rsidR="006F1878" w:rsidRPr="006F1878">
        <w:rPr>
          <w:rFonts w:ascii="Calibri Light" w:hAnsi="Calibri Light" w:cs="Calibri Light"/>
          <w:lang w:val="ro-RO"/>
        </w:rPr>
        <w:lastRenderedPageBreak/>
        <w:t>cibernetic</w:t>
      </w:r>
      <w:r w:rsidR="000E7E1F">
        <w:rPr>
          <w:rFonts w:ascii="Calibri Light" w:hAnsi="Calibri Light" w:cs="Calibri Light"/>
          <w:lang w:val="ro-RO"/>
        </w:rPr>
        <w:t>e</w:t>
      </w:r>
      <w:r w:rsidR="006F1878" w:rsidRPr="006F1878">
        <w:rPr>
          <w:rFonts w:ascii="Calibri Light" w:hAnsi="Calibri Light" w:cs="Calibri Light"/>
          <w:lang w:val="ro-RO"/>
        </w:rPr>
        <w:t xml:space="preserve"> </w:t>
      </w:r>
      <w:r w:rsidR="000E7E1F">
        <w:rPr>
          <w:rFonts w:ascii="Calibri Light" w:hAnsi="Calibri Light" w:cs="Calibri Light"/>
          <w:lang w:val="ro-RO"/>
        </w:rPr>
        <w:t xml:space="preserve">a </w:t>
      </w:r>
      <w:r w:rsidR="00AD1255">
        <w:rPr>
          <w:rFonts w:ascii="Calibri Light" w:hAnsi="Calibri Light" w:cs="Calibri Light"/>
          <w:lang w:val="ro-RO"/>
        </w:rPr>
        <w:t>companiilor din sectorul financiar</w:t>
      </w:r>
      <w:r w:rsidR="000E7E1F">
        <w:rPr>
          <w:rFonts w:ascii="Calibri Light" w:hAnsi="Calibri Light" w:cs="Calibri Light"/>
          <w:lang w:val="ro-RO"/>
        </w:rPr>
        <w:t xml:space="preserve"> </w:t>
      </w:r>
      <w:r w:rsidR="006F1878" w:rsidRPr="006F1878">
        <w:rPr>
          <w:rFonts w:ascii="Calibri Light" w:hAnsi="Calibri Light" w:cs="Calibri Light"/>
          <w:lang w:val="ro-RO"/>
        </w:rPr>
        <w:t>la fiecare trei ani</w:t>
      </w:r>
      <w:r w:rsidR="00AD1255">
        <w:rPr>
          <w:rFonts w:ascii="Calibri Light" w:hAnsi="Calibri Light" w:cs="Calibri Light"/>
          <w:lang w:val="ro-RO"/>
        </w:rPr>
        <w:t xml:space="preserve">, </w:t>
      </w:r>
      <w:r w:rsidR="009A6C53">
        <w:rPr>
          <w:rFonts w:ascii="Calibri Light" w:hAnsi="Calibri Light" w:cs="Calibri Light"/>
          <w:lang w:val="ro-RO"/>
        </w:rPr>
        <w:t xml:space="preserve">iar </w:t>
      </w:r>
      <w:r w:rsidR="00F65F7E">
        <w:rPr>
          <w:rFonts w:ascii="Calibri Light" w:hAnsi="Calibri Light" w:cs="Calibri Light"/>
          <w:lang w:val="ro-RO"/>
        </w:rPr>
        <w:t xml:space="preserve">cele </w:t>
      </w:r>
      <w:r w:rsidR="006F1878" w:rsidRPr="006F1878">
        <w:rPr>
          <w:rFonts w:ascii="Calibri Light" w:hAnsi="Calibri Light" w:cs="Calibri Light"/>
          <w:lang w:val="ro-RO"/>
        </w:rPr>
        <w:t>care în prezent</w:t>
      </w:r>
      <w:r w:rsidR="006F1878">
        <w:rPr>
          <w:rFonts w:ascii="Calibri Light" w:hAnsi="Calibri Light" w:cs="Calibri Light"/>
          <w:lang w:val="ro-RO"/>
        </w:rPr>
        <w:t xml:space="preserve"> </w:t>
      </w:r>
      <w:r w:rsidR="006F1878" w:rsidRPr="006F1878">
        <w:rPr>
          <w:rFonts w:ascii="Calibri Light" w:hAnsi="Calibri Light" w:cs="Calibri Light"/>
          <w:lang w:val="ro-RO"/>
        </w:rPr>
        <w:t xml:space="preserve">se </w:t>
      </w:r>
      <w:r w:rsidR="00286079">
        <w:rPr>
          <w:rFonts w:ascii="Calibri Light" w:hAnsi="Calibri Light" w:cs="Calibri Light"/>
          <w:lang w:val="ro-RO"/>
        </w:rPr>
        <w:t xml:space="preserve">pregătesc pentru </w:t>
      </w:r>
      <w:r w:rsidR="00237F16">
        <w:rPr>
          <w:rFonts w:ascii="Calibri Light" w:hAnsi="Calibri Light" w:cs="Calibri Light"/>
          <w:lang w:val="ro-RO"/>
        </w:rPr>
        <w:t>implementarea</w:t>
      </w:r>
      <w:r w:rsidR="006F1878" w:rsidRPr="006F1878">
        <w:rPr>
          <w:rFonts w:ascii="Calibri Light" w:hAnsi="Calibri Light" w:cs="Calibri Light"/>
          <w:lang w:val="ro-RO"/>
        </w:rPr>
        <w:t xml:space="preserve"> </w:t>
      </w:r>
      <w:r w:rsidR="00237F16" w:rsidRPr="00237F16">
        <w:rPr>
          <w:rFonts w:ascii="Calibri Light" w:hAnsi="Calibri Light" w:cs="Calibri Light"/>
          <w:lang w:val="ro-RO"/>
        </w:rPr>
        <w:t>regulamentul</w:t>
      </w:r>
      <w:r w:rsidR="00237F16">
        <w:rPr>
          <w:rFonts w:ascii="Calibri Light" w:hAnsi="Calibri Light" w:cs="Calibri Light"/>
          <w:lang w:val="ro-RO"/>
        </w:rPr>
        <w:t>ui</w:t>
      </w:r>
      <w:r w:rsidR="00237F16" w:rsidRPr="00237F16">
        <w:rPr>
          <w:rFonts w:ascii="Calibri Light" w:hAnsi="Calibri Light" w:cs="Calibri Light"/>
          <w:lang w:val="ro-RO"/>
        </w:rPr>
        <w:t xml:space="preserve"> nr. 6/2022 privind cadrul de desfășurare a testelor de reziliență cibernetică TIBER-RO</w:t>
      </w:r>
      <w:r w:rsidR="00237F16" w:rsidRPr="00237F16" w:rsidDel="00237F16">
        <w:rPr>
          <w:rFonts w:ascii="Calibri Light" w:hAnsi="Calibri Light" w:cs="Calibri Light"/>
          <w:lang w:val="ro-RO"/>
        </w:rPr>
        <w:t xml:space="preserve"> </w:t>
      </w:r>
      <w:r w:rsidR="006F1878" w:rsidRPr="006F1878">
        <w:rPr>
          <w:rFonts w:ascii="Calibri Light" w:hAnsi="Calibri Light" w:cs="Calibri Light"/>
          <w:lang w:val="ro-RO"/>
        </w:rPr>
        <w:t xml:space="preserve">pot avea încredere că această activitate </w:t>
      </w:r>
      <w:r w:rsidR="009A6C53">
        <w:rPr>
          <w:rFonts w:ascii="Calibri Light" w:hAnsi="Calibri Light" w:cs="Calibri Light"/>
          <w:lang w:val="ro-RO"/>
        </w:rPr>
        <w:t>le va fi utilă</w:t>
      </w:r>
      <w:r w:rsidR="009A6C53" w:rsidRPr="006F1878">
        <w:rPr>
          <w:rFonts w:ascii="Calibri Light" w:hAnsi="Calibri Light" w:cs="Calibri Light"/>
          <w:lang w:val="ro-RO"/>
        </w:rPr>
        <w:t xml:space="preserve"> </w:t>
      </w:r>
      <w:r w:rsidR="006F1878">
        <w:rPr>
          <w:rFonts w:ascii="Calibri Light" w:hAnsi="Calibri Light" w:cs="Calibri Light"/>
          <w:lang w:val="ro-RO"/>
        </w:rPr>
        <w:t xml:space="preserve">în vederea respectării </w:t>
      </w:r>
      <w:r w:rsidR="006F1878" w:rsidRPr="006F1878">
        <w:rPr>
          <w:rFonts w:ascii="Calibri Light" w:hAnsi="Calibri Light" w:cs="Calibri Light"/>
          <w:lang w:val="ro-RO"/>
        </w:rPr>
        <w:t>cerințel</w:t>
      </w:r>
      <w:r w:rsidR="006F1878">
        <w:rPr>
          <w:rFonts w:ascii="Calibri Light" w:hAnsi="Calibri Light" w:cs="Calibri Light"/>
          <w:lang w:val="ro-RO"/>
        </w:rPr>
        <w:t>or</w:t>
      </w:r>
      <w:r w:rsidR="006F1878" w:rsidRPr="006F1878">
        <w:rPr>
          <w:rFonts w:ascii="Calibri Light" w:hAnsi="Calibri Light" w:cs="Calibri Light"/>
          <w:lang w:val="ro-RO"/>
        </w:rPr>
        <w:t xml:space="preserve"> avansate de testare </w:t>
      </w:r>
      <w:r w:rsidR="006F1878">
        <w:rPr>
          <w:rFonts w:ascii="Calibri Light" w:hAnsi="Calibri Light" w:cs="Calibri Light"/>
          <w:lang w:val="ro-RO"/>
        </w:rPr>
        <w:t>specifica</w:t>
      </w:r>
      <w:r w:rsidR="00AD3554">
        <w:rPr>
          <w:rFonts w:ascii="Calibri Light" w:hAnsi="Calibri Light" w:cs="Calibri Light"/>
          <w:lang w:val="ro-RO"/>
        </w:rPr>
        <w:t>te</w:t>
      </w:r>
      <w:r w:rsidR="006F1878">
        <w:rPr>
          <w:rFonts w:ascii="Calibri Light" w:hAnsi="Calibri Light" w:cs="Calibri Light"/>
          <w:lang w:val="ro-RO"/>
        </w:rPr>
        <w:t xml:space="preserve"> de</w:t>
      </w:r>
      <w:r w:rsidR="006F1878" w:rsidRPr="006F1878">
        <w:rPr>
          <w:rFonts w:ascii="Calibri Light" w:hAnsi="Calibri Light" w:cs="Calibri Light"/>
          <w:lang w:val="ro-RO"/>
        </w:rPr>
        <w:t xml:space="preserve"> DORA</w:t>
      </w:r>
      <w:r w:rsidR="006F1878">
        <w:rPr>
          <w:rFonts w:ascii="Calibri Light" w:hAnsi="Calibri Light" w:cs="Calibri Light"/>
          <w:lang w:val="ro-RO"/>
        </w:rPr>
        <w:t>.</w:t>
      </w:r>
    </w:p>
    <w:p w14:paraId="1C2399DF" w14:textId="0FC5962D" w:rsidR="009859F6" w:rsidRDefault="009859F6" w:rsidP="00DA45EE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 w:rsidRPr="009859F6">
        <w:rPr>
          <w:rFonts w:ascii="Calibri Light" w:hAnsi="Calibri Light" w:cs="Calibri Light"/>
          <w:lang w:val="ro-RO"/>
        </w:rPr>
        <w:t>În final,</w:t>
      </w:r>
      <w:r>
        <w:rPr>
          <w:rFonts w:ascii="Calibri Light" w:hAnsi="Calibri Light" w:cs="Calibri Light"/>
          <w:b/>
          <w:bCs/>
          <w:lang w:val="ro-RO"/>
        </w:rPr>
        <w:t xml:space="preserve"> a</w:t>
      </w:r>
      <w:r w:rsidR="00DA45EE">
        <w:rPr>
          <w:rFonts w:ascii="Calibri Light" w:hAnsi="Calibri Light" w:cs="Calibri Light"/>
          <w:b/>
          <w:bCs/>
          <w:lang w:val="ro-RO"/>
        </w:rPr>
        <w:t xml:space="preserve">l patrulea pilon </w:t>
      </w:r>
      <w:r w:rsidR="002B5678">
        <w:rPr>
          <w:rFonts w:ascii="Calibri Light" w:hAnsi="Calibri Light" w:cs="Calibri Light"/>
          <w:lang w:val="ro-RO"/>
        </w:rPr>
        <w:t>precizează</w:t>
      </w:r>
      <w:r>
        <w:rPr>
          <w:rFonts w:ascii="Calibri Light" w:hAnsi="Calibri Light" w:cs="Calibri Light"/>
          <w:lang w:val="ro-RO"/>
        </w:rPr>
        <w:t xml:space="preserve"> necesitatea adoptării unei strategii holistice în ceea ce privește gestionarea relației cu terții</w:t>
      </w:r>
      <w:r w:rsidR="002B5678">
        <w:rPr>
          <w:rFonts w:ascii="Calibri Light" w:hAnsi="Calibri Light" w:cs="Calibri Light"/>
          <w:lang w:val="ro-RO"/>
        </w:rPr>
        <w:t>,</w:t>
      </w:r>
      <w:r>
        <w:rPr>
          <w:rFonts w:ascii="Calibri Light" w:hAnsi="Calibri Light" w:cs="Calibri Light"/>
          <w:lang w:val="ro-RO"/>
        </w:rPr>
        <w:t xml:space="preserve"> </w:t>
      </w:r>
      <w:r w:rsidR="009A6C53">
        <w:rPr>
          <w:rFonts w:ascii="Calibri Light" w:hAnsi="Calibri Light" w:cs="Calibri Light"/>
          <w:lang w:val="ro-RO"/>
        </w:rPr>
        <w:t xml:space="preserve">care </w:t>
      </w:r>
      <w:r>
        <w:rPr>
          <w:rFonts w:ascii="Calibri Light" w:hAnsi="Calibri Light" w:cs="Calibri Light"/>
          <w:lang w:val="ro-RO"/>
        </w:rPr>
        <w:t xml:space="preserve">să permită o monitorizare completă din partea </w:t>
      </w:r>
      <w:r w:rsidR="002B5678">
        <w:rPr>
          <w:rFonts w:ascii="Calibri Light" w:hAnsi="Calibri Light" w:cs="Calibri Light"/>
          <w:lang w:val="ro-RO"/>
        </w:rPr>
        <w:t>companiei</w:t>
      </w:r>
      <w:r>
        <w:rPr>
          <w:rFonts w:ascii="Calibri Light" w:hAnsi="Calibri Light" w:cs="Calibri Light"/>
          <w:lang w:val="ro-RO"/>
        </w:rPr>
        <w:t xml:space="preserve">. </w:t>
      </w:r>
    </w:p>
    <w:p w14:paraId="72685432" w14:textId="77777777" w:rsidR="009859F6" w:rsidRDefault="009859F6" w:rsidP="00DA45EE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</w:p>
    <w:p w14:paraId="544C572D" w14:textId="08C0DD6F" w:rsidR="00DA45EE" w:rsidRDefault="00DA45EE" w:rsidP="00DA45EE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b/>
          <w:bCs/>
          <w:lang w:val="ro-RO"/>
        </w:rPr>
      </w:pPr>
      <w:r w:rsidRPr="00DA45EE">
        <w:rPr>
          <w:rFonts w:ascii="Calibri Light" w:hAnsi="Calibri Light" w:cs="Calibri Light"/>
          <w:b/>
          <w:bCs/>
          <w:lang w:val="ro-RO"/>
        </w:rPr>
        <w:t xml:space="preserve">Implicații pentru </w:t>
      </w:r>
      <w:r w:rsidR="00E16A4C">
        <w:rPr>
          <w:rFonts w:ascii="Calibri Light" w:hAnsi="Calibri Light" w:cs="Calibri Light"/>
          <w:b/>
          <w:bCs/>
          <w:lang w:val="ro-RO"/>
        </w:rPr>
        <w:t xml:space="preserve">echipele de </w:t>
      </w:r>
      <w:r w:rsidR="00286079">
        <w:rPr>
          <w:rFonts w:ascii="Calibri Light" w:hAnsi="Calibri Light" w:cs="Calibri Light"/>
          <w:b/>
          <w:bCs/>
          <w:lang w:val="ro-RO"/>
        </w:rPr>
        <w:t>conducere executivă</w:t>
      </w:r>
    </w:p>
    <w:p w14:paraId="25D6B4FE" w14:textId="751A5F59" w:rsidR="00DC7070" w:rsidRDefault="006B0C76" w:rsidP="00BA012B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 xml:space="preserve">Odată cu DORA, </w:t>
      </w:r>
      <w:r w:rsidRPr="00670024">
        <w:rPr>
          <w:rFonts w:ascii="Calibri Light" w:hAnsi="Calibri Light" w:cs="Calibri Light"/>
          <w:lang w:val="ro-RO"/>
        </w:rPr>
        <w:t>un cadru</w:t>
      </w:r>
      <w:r>
        <w:rPr>
          <w:rFonts w:ascii="Calibri Light" w:hAnsi="Calibri Light" w:cs="Calibri Light"/>
          <w:lang w:val="ro-RO"/>
        </w:rPr>
        <w:t xml:space="preserve"> de reglementare mult mai </w:t>
      </w:r>
      <w:r w:rsidR="009A6C53">
        <w:rPr>
          <w:rFonts w:ascii="Calibri Light" w:hAnsi="Calibri Light" w:cs="Calibri Light"/>
          <w:lang w:val="ro-RO"/>
        </w:rPr>
        <w:t xml:space="preserve">strict </w:t>
      </w:r>
      <w:r>
        <w:rPr>
          <w:rFonts w:ascii="Calibri Light" w:hAnsi="Calibri Light" w:cs="Calibri Light"/>
          <w:lang w:val="ro-RO"/>
        </w:rPr>
        <w:t xml:space="preserve">decât alte inițiative </w:t>
      </w:r>
      <w:r w:rsidR="005F1AE3">
        <w:rPr>
          <w:rFonts w:ascii="Calibri Light" w:hAnsi="Calibri Light" w:cs="Calibri Light"/>
          <w:lang w:val="ro-RO"/>
        </w:rPr>
        <w:t>similare din</w:t>
      </w:r>
      <w:r w:rsidR="00BA012B">
        <w:rPr>
          <w:rFonts w:ascii="Calibri Light" w:hAnsi="Calibri Light" w:cs="Calibri Light"/>
          <w:lang w:val="ro-RO"/>
        </w:rPr>
        <w:t xml:space="preserve"> zon</w:t>
      </w:r>
      <w:r w:rsidR="005F1AE3">
        <w:rPr>
          <w:rFonts w:ascii="Calibri Light" w:hAnsi="Calibri Light" w:cs="Calibri Light"/>
          <w:lang w:val="ro-RO"/>
        </w:rPr>
        <w:t>a</w:t>
      </w:r>
      <w:r w:rsidR="00BA012B">
        <w:rPr>
          <w:rFonts w:ascii="Calibri Light" w:hAnsi="Calibri Light" w:cs="Calibri Light"/>
          <w:lang w:val="ro-RO"/>
        </w:rPr>
        <w:t xml:space="preserve"> de securitate cibernetică </w:t>
      </w:r>
      <w:r w:rsidR="005F1AE3">
        <w:rPr>
          <w:rFonts w:ascii="Calibri Light" w:hAnsi="Calibri Light" w:cs="Calibri Light"/>
          <w:lang w:val="ro-RO"/>
        </w:rPr>
        <w:t>ș</w:t>
      </w:r>
      <w:r w:rsidRPr="00356E3D">
        <w:rPr>
          <w:rFonts w:ascii="Calibri Light" w:hAnsi="Calibri Light" w:cs="Calibri Light"/>
          <w:lang w:val="ro-RO"/>
        </w:rPr>
        <w:t xml:space="preserve">i </w:t>
      </w:r>
      <w:r>
        <w:rPr>
          <w:rFonts w:ascii="Calibri Light" w:hAnsi="Calibri Light" w:cs="Calibri Light"/>
          <w:lang w:val="ro-RO"/>
        </w:rPr>
        <w:t xml:space="preserve">care </w:t>
      </w:r>
      <w:r w:rsidR="001307A7" w:rsidRPr="00670024">
        <w:rPr>
          <w:rFonts w:ascii="Calibri Light" w:hAnsi="Calibri Light" w:cs="Calibri Light"/>
          <w:lang w:val="ro-RO"/>
        </w:rPr>
        <w:t xml:space="preserve">va </w:t>
      </w:r>
      <w:r w:rsidR="005F1AE3" w:rsidRPr="00670024">
        <w:rPr>
          <w:rFonts w:ascii="Calibri Light" w:hAnsi="Calibri Light" w:cs="Calibri Light"/>
          <w:lang w:val="ro-RO"/>
        </w:rPr>
        <w:t>beneficia</w:t>
      </w:r>
      <w:r w:rsidR="001307A7" w:rsidRPr="00670024">
        <w:rPr>
          <w:rFonts w:ascii="Calibri Light" w:hAnsi="Calibri Light" w:cs="Calibri Light"/>
          <w:lang w:val="ro-RO"/>
        </w:rPr>
        <w:t xml:space="preserve"> </w:t>
      </w:r>
      <w:r w:rsidR="005F1AE3" w:rsidRPr="00670024">
        <w:rPr>
          <w:rFonts w:ascii="Calibri Light" w:hAnsi="Calibri Light" w:cs="Calibri Light"/>
          <w:lang w:val="ro-RO"/>
        </w:rPr>
        <w:t>de o</w:t>
      </w:r>
      <w:r w:rsidRPr="00670024">
        <w:rPr>
          <w:rFonts w:ascii="Calibri Light" w:hAnsi="Calibri Light" w:cs="Calibri Light"/>
          <w:lang w:val="ro-RO"/>
        </w:rPr>
        <w:t xml:space="preserve"> vizibilitate</w:t>
      </w:r>
      <w:r w:rsidRPr="00356E3D">
        <w:rPr>
          <w:rFonts w:ascii="Calibri Light" w:hAnsi="Calibri Light" w:cs="Calibri Light"/>
          <w:lang w:val="ro-RO"/>
        </w:rPr>
        <w:t xml:space="preserve"> mai mare la nivel european</w:t>
      </w:r>
      <w:r>
        <w:rPr>
          <w:rFonts w:ascii="Calibri Light" w:hAnsi="Calibri Light" w:cs="Calibri Light"/>
          <w:lang w:val="ro-RO"/>
        </w:rPr>
        <w:t>, se observă o schimbare de paradigmă în ceea ce privește implementarea</w:t>
      </w:r>
      <w:r w:rsidR="005F1AE3">
        <w:rPr>
          <w:rFonts w:ascii="Calibri Light" w:hAnsi="Calibri Light" w:cs="Calibri Light"/>
          <w:lang w:val="ro-RO"/>
        </w:rPr>
        <w:t xml:space="preserve"> cerințelor</w:t>
      </w:r>
      <w:r w:rsidR="005F1AE3" w:rsidRPr="00670024">
        <w:rPr>
          <w:rFonts w:ascii="Calibri Light" w:hAnsi="Calibri Light" w:cs="Calibri Light"/>
          <w:lang w:val="ro-RO"/>
        </w:rPr>
        <w:t>,</w:t>
      </w:r>
      <w:r w:rsidRPr="00670024">
        <w:rPr>
          <w:rFonts w:ascii="Calibri Light" w:hAnsi="Calibri Light" w:cs="Calibri Light"/>
          <w:lang w:val="ro-RO"/>
        </w:rPr>
        <w:t xml:space="preserve"> membri</w:t>
      </w:r>
      <w:r w:rsidR="00670024" w:rsidRPr="00670024">
        <w:rPr>
          <w:rFonts w:ascii="Calibri Light" w:hAnsi="Calibri Light" w:cs="Calibri Light"/>
          <w:lang w:val="ro-RO"/>
        </w:rPr>
        <w:t>i</w:t>
      </w:r>
      <w:r w:rsidRPr="00670024">
        <w:rPr>
          <w:rFonts w:ascii="Calibri Light" w:hAnsi="Calibri Light" w:cs="Calibri Light"/>
          <w:lang w:val="ro-RO"/>
        </w:rPr>
        <w:t xml:space="preserve"> </w:t>
      </w:r>
      <w:r w:rsidR="009A6C53">
        <w:rPr>
          <w:rFonts w:ascii="Calibri Light" w:hAnsi="Calibri Light" w:cs="Calibri Light"/>
          <w:lang w:val="ro-RO"/>
        </w:rPr>
        <w:t xml:space="preserve">echipelor de </w:t>
      </w:r>
      <w:r w:rsidR="00286079">
        <w:rPr>
          <w:rFonts w:ascii="Calibri Light" w:hAnsi="Calibri Light" w:cs="Calibri Light"/>
          <w:lang w:val="ro-RO"/>
        </w:rPr>
        <w:t>conducere executivă</w:t>
      </w:r>
      <w:r w:rsidR="009A6C53">
        <w:rPr>
          <w:rFonts w:ascii="Calibri Light" w:hAnsi="Calibri Light" w:cs="Calibri Light"/>
          <w:lang w:val="ro-RO"/>
        </w:rPr>
        <w:t xml:space="preserve"> din </w:t>
      </w:r>
      <w:r>
        <w:rPr>
          <w:rFonts w:ascii="Calibri Light" w:hAnsi="Calibri Light" w:cs="Calibri Light"/>
          <w:lang w:val="ro-RO"/>
        </w:rPr>
        <w:t xml:space="preserve">sectorul financiar având </w:t>
      </w:r>
      <w:r w:rsidR="005F1AE3">
        <w:rPr>
          <w:rFonts w:ascii="Calibri Light" w:hAnsi="Calibri Light" w:cs="Calibri Light"/>
          <w:lang w:val="ro-RO"/>
        </w:rPr>
        <w:t>un rol mult mai specific</w:t>
      </w:r>
      <w:r>
        <w:rPr>
          <w:rFonts w:ascii="Calibri Light" w:hAnsi="Calibri Light" w:cs="Calibri Light"/>
          <w:lang w:val="ro-RO"/>
        </w:rPr>
        <w:t xml:space="preserve"> în acest sens. </w:t>
      </w:r>
      <w:r w:rsidR="006408F2">
        <w:rPr>
          <w:rFonts w:ascii="Calibri Light" w:hAnsi="Calibri Light" w:cs="Calibri Light"/>
          <w:lang w:val="ro-RO"/>
        </w:rPr>
        <w:t xml:space="preserve">Astfel, </w:t>
      </w:r>
      <w:r w:rsidR="00BA012B">
        <w:rPr>
          <w:rFonts w:ascii="Calibri Light" w:hAnsi="Calibri Light" w:cs="Calibri Light"/>
          <w:lang w:val="ro-RO"/>
        </w:rPr>
        <w:t>aceștia</w:t>
      </w:r>
      <w:r w:rsidR="006408F2" w:rsidRPr="006408F2">
        <w:rPr>
          <w:rFonts w:ascii="Calibri Light" w:hAnsi="Calibri Light" w:cs="Calibri Light"/>
          <w:lang w:val="ro-RO"/>
        </w:rPr>
        <w:t xml:space="preserve"> vor </w:t>
      </w:r>
      <w:r w:rsidR="005F1AE3">
        <w:rPr>
          <w:rFonts w:ascii="Calibri Light" w:hAnsi="Calibri Light" w:cs="Calibri Light"/>
          <w:lang w:val="ro-RO"/>
        </w:rPr>
        <w:t>f</w:t>
      </w:r>
      <w:r w:rsidR="00BA012B">
        <w:rPr>
          <w:rFonts w:ascii="Calibri Light" w:hAnsi="Calibri Light" w:cs="Calibri Light"/>
          <w:lang w:val="ro-RO"/>
        </w:rPr>
        <w:t xml:space="preserve">i nevoiți </w:t>
      </w:r>
      <w:r w:rsidR="006408F2" w:rsidRPr="006408F2">
        <w:rPr>
          <w:rFonts w:ascii="Calibri Light" w:hAnsi="Calibri Light" w:cs="Calibri Light"/>
          <w:lang w:val="ro-RO"/>
        </w:rPr>
        <w:t xml:space="preserve">să aprobe un set de planuri cheie, cum ar fi strategia de reziliență operațională digitală a </w:t>
      </w:r>
      <w:r w:rsidR="00BA012B">
        <w:rPr>
          <w:rFonts w:ascii="Calibri Light" w:hAnsi="Calibri Light" w:cs="Calibri Light"/>
          <w:lang w:val="ro-RO"/>
        </w:rPr>
        <w:t>companiei</w:t>
      </w:r>
      <w:r w:rsidR="006408F2" w:rsidRPr="006408F2">
        <w:rPr>
          <w:rFonts w:ascii="Calibri Light" w:hAnsi="Calibri Light" w:cs="Calibri Light"/>
          <w:lang w:val="ro-RO"/>
        </w:rPr>
        <w:t xml:space="preserve"> și politica acesteia privind terții</w:t>
      </w:r>
      <w:r w:rsidR="00BA012B">
        <w:rPr>
          <w:rFonts w:ascii="Calibri Light" w:hAnsi="Calibri Light" w:cs="Calibri Light"/>
          <w:lang w:val="ro-RO"/>
        </w:rPr>
        <w:t>.</w:t>
      </w:r>
    </w:p>
    <w:p w14:paraId="06858C93" w14:textId="534334AD" w:rsidR="00BA012B" w:rsidRDefault="00BA012B" w:rsidP="00BA012B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 xml:space="preserve">De asemenea, </w:t>
      </w:r>
      <w:r w:rsidR="009A6C53">
        <w:rPr>
          <w:rFonts w:ascii="Calibri Light" w:hAnsi="Calibri Light" w:cs="Calibri Light"/>
          <w:lang w:val="ro-RO"/>
        </w:rPr>
        <w:t xml:space="preserve">echipele de conducere </w:t>
      </w:r>
      <w:r>
        <w:rPr>
          <w:rFonts w:ascii="Calibri Light" w:hAnsi="Calibri Light" w:cs="Calibri Light"/>
          <w:lang w:val="ro-RO"/>
        </w:rPr>
        <w:t xml:space="preserve">trebuie </w:t>
      </w:r>
      <w:r w:rsidRPr="00670024">
        <w:rPr>
          <w:rFonts w:ascii="Calibri Light" w:hAnsi="Calibri Light" w:cs="Calibri Light"/>
          <w:lang w:val="ro-RO"/>
        </w:rPr>
        <w:t>să</w:t>
      </w:r>
      <w:r w:rsidR="00EC3B80" w:rsidRPr="00670024">
        <w:rPr>
          <w:rFonts w:ascii="Calibri Light" w:hAnsi="Calibri Light" w:cs="Calibri Light"/>
          <w:lang w:val="ro-RO"/>
        </w:rPr>
        <w:t xml:space="preserve"> fie </w:t>
      </w:r>
      <w:r w:rsidR="009A6C53" w:rsidRPr="00670024">
        <w:rPr>
          <w:rFonts w:ascii="Calibri Light" w:hAnsi="Calibri Light" w:cs="Calibri Light"/>
          <w:lang w:val="ro-RO"/>
        </w:rPr>
        <w:t>instrui</w:t>
      </w:r>
      <w:r w:rsidR="009A6C53">
        <w:rPr>
          <w:rFonts w:ascii="Calibri Light" w:hAnsi="Calibri Light" w:cs="Calibri Light"/>
          <w:lang w:val="ro-RO"/>
        </w:rPr>
        <w:t>te</w:t>
      </w:r>
      <w:r w:rsidR="009A6C53" w:rsidRPr="00670024">
        <w:rPr>
          <w:rFonts w:ascii="Calibri Light" w:hAnsi="Calibri Light" w:cs="Calibri Light"/>
          <w:lang w:val="ro-RO"/>
        </w:rPr>
        <w:t xml:space="preserve"> </w:t>
      </w:r>
      <w:r w:rsidR="00670024" w:rsidRPr="00670024">
        <w:rPr>
          <w:rFonts w:ascii="Calibri Light" w:hAnsi="Calibri Light" w:cs="Calibri Light"/>
          <w:lang w:val="ro-RO"/>
        </w:rPr>
        <w:t>ș</w:t>
      </w:r>
      <w:r w:rsidR="00E42B8D" w:rsidRPr="00670024">
        <w:rPr>
          <w:rFonts w:ascii="Calibri Light" w:hAnsi="Calibri Light" w:cs="Calibri Light"/>
          <w:lang w:val="ro-RO"/>
        </w:rPr>
        <w:t xml:space="preserve">i </w:t>
      </w:r>
      <w:r w:rsidR="009A6C53" w:rsidRPr="00670024">
        <w:rPr>
          <w:rFonts w:ascii="Calibri Light" w:hAnsi="Calibri Light" w:cs="Calibri Light"/>
          <w:lang w:val="ro-RO"/>
        </w:rPr>
        <w:t>pregăti</w:t>
      </w:r>
      <w:r w:rsidR="009A6C53">
        <w:rPr>
          <w:rFonts w:ascii="Calibri Light" w:hAnsi="Calibri Light" w:cs="Calibri Light"/>
          <w:lang w:val="ro-RO"/>
        </w:rPr>
        <w:t>te</w:t>
      </w:r>
      <w:r w:rsidR="00E42B8D" w:rsidRPr="00670024">
        <w:rPr>
          <w:rFonts w:ascii="Calibri Light" w:hAnsi="Calibri Light" w:cs="Calibri Light"/>
          <w:lang w:val="ro-RO"/>
        </w:rPr>
        <w:t xml:space="preserve"> astfel </w:t>
      </w:r>
      <w:r w:rsidR="0028388D" w:rsidRPr="00670024">
        <w:rPr>
          <w:rFonts w:ascii="Calibri Light" w:hAnsi="Calibri Light" w:cs="Calibri Light"/>
          <w:lang w:val="ro-RO"/>
        </w:rPr>
        <w:t>încât</w:t>
      </w:r>
      <w:r w:rsidRPr="00670024">
        <w:rPr>
          <w:rFonts w:ascii="Calibri Light" w:hAnsi="Calibri Light" w:cs="Calibri Light"/>
          <w:lang w:val="ro-RO"/>
        </w:rPr>
        <w:t xml:space="preserve"> </w:t>
      </w:r>
      <w:r w:rsidR="00670024" w:rsidRPr="00670024">
        <w:rPr>
          <w:rFonts w:ascii="Calibri Light" w:hAnsi="Calibri Light" w:cs="Calibri Light"/>
          <w:lang w:val="ro-RO"/>
        </w:rPr>
        <w:t xml:space="preserve">să </w:t>
      </w:r>
      <w:r w:rsidRPr="00670024">
        <w:rPr>
          <w:rFonts w:ascii="Calibri Light" w:hAnsi="Calibri Light" w:cs="Calibri Light"/>
          <w:lang w:val="ro-RO"/>
        </w:rPr>
        <w:t xml:space="preserve">înțeleagă gradul de </w:t>
      </w:r>
      <w:r w:rsidR="00E42B8D" w:rsidRPr="00670024">
        <w:rPr>
          <w:rFonts w:ascii="Calibri Light" w:hAnsi="Calibri Light" w:cs="Calibri Light"/>
          <w:lang w:val="ro-RO"/>
        </w:rPr>
        <w:t>maturitate</w:t>
      </w:r>
      <w:r w:rsidRPr="00670024">
        <w:rPr>
          <w:rFonts w:ascii="Calibri Light" w:hAnsi="Calibri Light" w:cs="Calibri Light"/>
          <w:lang w:val="ro-RO"/>
        </w:rPr>
        <w:t xml:space="preserve"> a organizației </w:t>
      </w:r>
      <w:r w:rsidR="00286079">
        <w:rPr>
          <w:rFonts w:ascii="Calibri Light" w:hAnsi="Calibri Light" w:cs="Calibri Light"/>
          <w:lang w:val="ro-RO"/>
        </w:rPr>
        <w:t>din perspectiva capacității de</w:t>
      </w:r>
      <w:r w:rsidR="00286079" w:rsidRPr="00670024">
        <w:rPr>
          <w:rFonts w:ascii="Calibri Light" w:hAnsi="Calibri Light" w:cs="Calibri Light"/>
          <w:lang w:val="ro-RO"/>
        </w:rPr>
        <w:t xml:space="preserve"> </w:t>
      </w:r>
      <w:r w:rsidRPr="00670024">
        <w:rPr>
          <w:rFonts w:ascii="Calibri Light" w:hAnsi="Calibri Light" w:cs="Calibri Light"/>
          <w:lang w:val="ro-RO"/>
        </w:rPr>
        <w:t xml:space="preserve">a face față potențialelor </w:t>
      </w:r>
      <w:r w:rsidR="000569A4" w:rsidRPr="00670024">
        <w:rPr>
          <w:rFonts w:ascii="Calibri Light" w:hAnsi="Calibri Light" w:cs="Calibri Light"/>
          <w:lang w:val="ro-RO"/>
        </w:rPr>
        <w:t xml:space="preserve">crize cibernetice </w:t>
      </w:r>
      <w:r w:rsidR="00670024">
        <w:rPr>
          <w:rFonts w:ascii="Calibri Light" w:hAnsi="Calibri Light" w:cs="Calibri Light"/>
          <w:lang w:val="ro-RO"/>
        </w:rPr>
        <w:t>ș</w:t>
      </w:r>
      <w:r w:rsidR="000569A4" w:rsidRPr="00670024">
        <w:rPr>
          <w:rFonts w:ascii="Calibri Light" w:hAnsi="Calibri Light" w:cs="Calibri Light"/>
          <w:lang w:val="ro-RO"/>
        </w:rPr>
        <w:t xml:space="preserve">i </w:t>
      </w:r>
      <w:r w:rsidR="0028388D" w:rsidRPr="00670024">
        <w:rPr>
          <w:rFonts w:ascii="Calibri Light" w:hAnsi="Calibri Light" w:cs="Calibri Light"/>
          <w:lang w:val="ro-RO"/>
        </w:rPr>
        <w:t>întreruperi</w:t>
      </w:r>
      <w:r w:rsidR="000569A4" w:rsidRPr="00670024">
        <w:rPr>
          <w:rFonts w:ascii="Calibri Light" w:hAnsi="Calibri Light" w:cs="Calibri Light"/>
          <w:lang w:val="ro-RO"/>
        </w:rPr>
        <w:t xml:space="preserve"> majore</w:t>
      </w:r>
      <w:r w:rsidRPr="00BA012B">
        <w:rPr>
          <w:rFonts w:ascii="Calibri Light" w:hAnsi="Calibri Light" w:cs="Calibri Light"/>
          <w:lang w:val="ro-RO"/>
        </w:rPr>
        <w:t xml:space="preserve"> </w:t>
      </w:r>
      <w:r>
        <w:rPr>
          <w:rFonts w:ascii="Calibri Light" w:hAnsi="Calibri Light" w:cs="Calibri Light"/>
          <w:lang w:val="ro-RO"/>
        </w:rPr>
        <w:t>care țin de tehnologia informației și comunicațiilor</w:t>
      </w:r>
      <w:r w:rsidR="00670024">
        <w:rPr>
          <w:rFonts w:ascii="Calibri Light" w:hAnsi="Calibri Light" w:cs="Calibri Light"/>
          <w:lang w:val="ro-RO"/>
        </w:rPr>
        <w:t xml:space="preserve">. </w:t>
      </w:r>
      <w:r w:rsidR="00894512">
        <w:rPr>
          <w:rFonts w:ascii="Calibri Light" w:hAnsi="Calibri Light" w:cs="Calibri Light"/>
          <w:lang w:val="ro-RO"/>
        </w:rPr>
        <w:t xml:space="preserve">Directorii executivi </w:t>
      </w:r>
      <w:r w:rsidR="009A6C53">
        <w:rPr>
          <w:rFonts w:ascii="Calibri Light" w:hAnsi="Calibri Light" w:cs="Calibri Light"/>
          <w:lang w:val="ro-RO"/>
        </w:rPr>
        <w:t xml:space="preserve">mai </w:t>
      </w:r>
      <w:r w:rsidR="00670024">
        <w:rPr>
          <w:rFonts w:ascii="Calibri Light" w:hAnsi="Calibri Light" w:cs="Calibri Light"/>
          <w:lang w:val="ro-RO"/>
        </w:rPr>
        <w:t xml:space="preserve">trebuie să </w:t>
      </w:r>
      <w:r w:rsidR="009A6C53">
        <w:rPr>
          <w:rFonts w:ascii="Calibri Light" w:hAnsi="Calibri Light" w:cs="Calibri Light"/>
          <w:lang w:val="ro-RO"/>
        </w:rPr>
        <w:t xml:space="preserve">știe și în ce măsură </w:t>
      </w:r>
      <w:r w:rsidR="00894512">
        <w:rPr>
          <w:rFonts w:ascii="Calibri Light" w:hAnsi="Calibri Light" w:cs="Calibri Light"/>
          <w:lang w:val="ro-RO"/>
        </w:rPr>
        <w:t xml:space="preserve">compania </w:t>
      </w:r>
      <w:r w:rsidR="009A6C53">
        <w:rPr>
          <w:rFonts w:ascii="Calibri Light" w:hAnsi="Calibri Light" w:cs="Calibri Light"/>
          <w:lang w:val="ro-RO"/>
        </w:rPr>
        <w:t xml:space="preserve">poate </w:t>
      </w:r>
      <w:r w:rsidR="007653DD" w:rsidRPr="00670024">
        <w:rPr>
          <w:rFonts w:ascii="Calibri Light" w:hAnsi="Calibri Light" w:cs="Calibri Light"/>
          <w:lang w:val="ro-RO"/>
        </w:rPr>
        <w:t xml:space="preserve">asigura </w:t>
      </w:r>
      <w:r w:rsidR="0028388D" w:rsidRPr="00670024">
        <w:rPr>
          <w:rFonts w:ascii="Calibri Light" w:hAnsi="Calibri Light" w:cs="Calibri Light"/>
          <w:lang w:val="ro-RO"/>
        </w:rPr>
        <w:t>continuit</w:t>
      </w:r>
      <w:r w:rsidR="009A6C53">
        <w:rPr>
          <w:rFonts w:ascii="Calibri Light" w:hAnsi="Calibri Light" w:cs="Calibri Light"/>
          <w:lang w:val="ro-RO"/>
        </w:rPr>
        <w:t>atea</w:t>
      </w:r>
      <w:r w:rsidRPr="00670024">
        <w:rPr>
          <w:rFonts w:ascii="Calibri Light" w:hAnsi="Calibri Light" w:cs="Calibri Light"/>
          <w:lang w:val="ro-RO"/>
        </w:rPr>
        <w:t xml:space="preserve"> serviciilor</w:t>
      </w:r>
      <w:r w:rsidR="007653DD" w:rsidRPr="00670024">
        <w:rPr>
          <w:rFonts w:ascii="Calibri Light" w:hAnsi="Calibri Light" w:cs="Calibri Light"/>
          <w:lang w:val="ro-RO"/>
        </w:rPr>
        <w:t xml:space="preserve"> critice </w:t>
      </w:r>
      <w:r w:rsidR="00670024" w:rsidRPr="00670024">
        <w:rPr>
          <w:rFonts w:ascii="Calibri Light" w:hAnsi="Calibri Light" w:cs="Calibri Light"/>
          <w:lang w:val="ro-RO"/>
        </w:rPr>
        <w:t>î</w:t>
      </w:r>
      <w:r w:rsidR="007653DD" w:rsidRPr="00670024">
        <w:rPr>
          <w:rFonts w:ascii="Calibri Light" w:hAnsi="Calibri Light" w:cs="Calibri Light"/>
          <w:lang w:val="ro-RO"/>
        </w:rPr>
        <w:t>n fa</w:t>
      </w:r>
      <w:r w:rsidR="00670024" w:rsidRPr="00670024">
        <w:rPr>
          <w:rFonts w:ascii="Calibri Light" w:hAnsi="Calibri Light" w:cs="Calibri Light"/>
          <w:lang w:val="ro-RO"/>
        </w:rPr>
        <w:t>ț</w:t>
      </w:r>
      <w:r w:rsidR="007653DD" w:rsidRPr="00670024">
        <w:rPr>
          <w:rFonts w:ascii="Calibri Light" w:hAnsi="Calibri Light" w:cs="Calibri Light"/>
          <w:lang w:val="ro-RO"/>
        </w:rPr>
        <w:t xml:space="preserve">a acestor </w:t>
      </w:r>
      <w:r w:rsidR="0028388D" w:rsidRPr="00670024">
        <w:rPr>
          <w:rFonts w:ascii="Calibri Light" w:hAnsi="Calibri Light" w:cs="Calibri Light"/>
          <w:lang w:val="ro-RO"/>
        </w:rPr>
        <w:t>provocări</w:t>
      </w:r>
      <w:r w:rsidRPr="00670024">
        <w:rPr>
          <w:rFonts w:ascii="Calibri Light" w:hAnsi="Calibri Light" w:cs="Calibri Light"/>
          <w:lang w:val="ro-RO"/>
        </w:rPr>
        <w:t>.</w:t>
      </w:r>
      <w:r>
        <w:rPr>
          <w:rFonts w:ascii="Calibri Light" w:hAnsi="Calibri Light" w:cs="Calibri Light"/>
          <w:lang w:val="ro-RO"/>
        </w:rPr>
        <w:t xml:space="preserve"> </w:t>
      </w:r>
      <w:r w:rsidR="005F1AE3">
        <w:rPr>
          <w:rFonts w:ascii="Calibri Light" w:hAnsi="Calibri Light" w:cs="Calibri Light"/>
          <w:lang w:val="ro-RO"/>
        </w:rPr>
        <w:t xml:space="preserve">În acest sens, </w:t>
      </w:r>
      <w:r w:rsidR="009A6C53">
        <w:rPr>
          <w:rFonts w:ascii="Calibri Light" w:hAnsi="Calibri Light" w:cs="Calibri Light"/>
          <w:lang w:val="ro-RO"/>
        </w:rPr>
        <w:t xml:space="preserve">companiile </w:t>
      </w:r>
      <w:r w:rsidR="005F1AE3">
        <w:rPr>
          <w:rFonts w:ascii="Calibri Light" w:hAnsi="Calibri Light" w:cs="Calibri Light"/>
          <w:lang w:val="ro-RO"/>
        </w:rPr>
        <w:t xml:space="preserve">pot opta pentru </w:t>
      </w:r>
      <w:r>
        <w:rPr>
          <w:rFonts w:ascii="Calibri Light" w:hAnsi="Calibri Light" w:cs="Calibri Light"/>
          <w:lang w:val="ro-RO"/>
        </w:rPr>
        <w:t xml:space="preserve">organizarea periodică a </w:t>
      </w:r>
      <w:hyperlink r:id="rId13" w:history="1">
        <w:r w:rsidRPr="008C20E5">
          <w:rPr>
            <w:rStyle w:val="Hyperlink"/>
            <w:rFonts w:ascii="Calibri Light" w:hAnsi="Calibri Light" w:cs="Calibri Light"/>
            <w:lang w:val="ro-RO"/>
          </w:rPr>
          <w:t xml:space="preserve">exercițiilor de simulare a unor potențiale atacuri </w:t>
        </w:r>
        <w:r w:rsidR="008C20E5">
          <w:rPr>
            <w:rStyle w:val="Hyperlink"/>
            <w:rFonts w:ascii="Calibri Light" w:hAnsi="Calibri Light" w:cs="Calibri Light"/>
            <w:lang w:val="ro-RO"/>
          </w:rPr>
          <w:t>cibernetice</w:t>
        </w:r>
      </w:hyperlink>
      <w:r w:rsidR="009A6C53">
        <w:rPr>
          <w:rStyle w:val="Hyperlink"/>
          <w:rFonts w:ascii="Calibri Light" w:hAnsi="Calibri Light" w:cs="Calibri Light"/>
          <w:lang w:val="ro-RO"/>
        </w:rPr>
        <w:t>,</w:t>
      </w:r>
      <w:r w:rsidR="008C20E5">
        <w:rPr>
          <w:rFonts w:ascii="Calibri Light" w:hAnsi="Calibri Light" w:cs="Calibri Light"/>
          <w:lang w:val="ro-RO"/>
        </w:rPr>
        <w:t xml:space="preserve"> care ajută la exersarea capacității de răspuns </w:t>
      </w:r>
      <w:r w:rsidR="00025303">
        <w:rPr>
          <w:rFonts w:ascii="Calibri Light" w:hAnsi="Calibri Light" w:cs="Calibri Light"/>
          <w:lang w:val="ro-RO"/>
        </w:rPr>
        <w:t>la criză</w:t>
      </w:r>
      <w:r w:rsidR="008C20E5">
        <w:rPr>
          <w:rFonts w:ascii="Calibri Light" w:hAnsi="Calibri Light" w:cs="Calibri Light"/>
          <w:lang w:val="ro-RO"/>
        </w:rPr>
        <w:t xml:space="preserve"> din perspectiva comunicării cu angajații, pres</w:t>
      </w:r>
      <w:r w:rsidR="00670024">
        <w:rPr>
          <w:rFonts w:ascii="Calibri Light" w:hAnsi="Calibri Light" w:cs="Calibri Light"/>
          <w:lang w:val="ro-RO"/>
        </w:rPr>
        <w:t>a,</w:t>
      </w:r>
      <w:r w:rsidR="008C20E5">
        <w:rPr>
          <w:rFonts w:ascii="Calibri Light" w:hAnsi="Calibri Light" w:cs="Calibri Light"/>
          <w:lang w:val="ro-RO"/>
        </w:rPr>
        <w:t xml:space="preserve"> autoritățil</w:t>
      </w:r>
      <w:r w:rsidR="00670024">
        <w:rPr>
          <w:rFonts w:ascii="Calibri Light" w:hAnsi="Calibri Light" w:cs="Calibri Light"/>
          <w:lang w:val="ro-RO"/>
        </w:rPr>
        <w:t>e</w:t>
      </w:r>
      <w:r w:rsidR="009A6C53">
        <w:rPr>
          <w:rFonts w:ascii="Calibri Light" w:hAnsi="Calibri Light" w:cs="Calibri Light"/>
          <w:lang w:val="ro-RO"/>
        </w:rPr>
        <w:t xml:space="preserve"> </w:t>
      </w:r>
      <w:r w:rsidR="008C20E5">
        <w:rPr>
          <w:rFonts w:ascii="Calibri Light" w:hAnsi="Calibri Light" w:cs="Calibri Light"/>
          <w:lang w:val="ro-RO"/>
        </w:rPr>
        <w:t>sau din cea juridică.</w:t>
      </w:r>
    </w:p>
    <w:p w14:paraId="7E49E364" w14:textId="3946C9BE" w:rsidR="00DA45EE" w:rsidRDefault="003B4188" w:rsidP="00DA45EE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 xml:space="preserve">Un alt aspect de care </w:t>
      </w:r>
      <w:r w:rsidR="009A6C53">
        <w:rPr>
          <w:rFonts w:ascii="Calibri Light" w:hAnsi="Calibri Light" w:cs="Calibri Light"/>
          <w:lang w:val="ro-RO"/>
        </w:rPr>
        <w:t>managementul unei companii</w:t>
      </w:r>
      <w:r>
        <w:rPr>
          <w:rFonts w:ascii="Calibri Light" w:hAnsi="Calibri Light" w:cs="Calibri Light"/>
          <w:lang w:val="ro-RO"/>
        </w:rPr>
        <w:t xml:space="preserve"> trebuie să țină cont este modalitatea în care DORA va </w:t>
      </w:r>
      <w:r w:rsidR="009A6C53">
        <w:rPr>
          <w:rFonts w:ascii="Calibri Light" w:hAnsi="Calibri Light" w:cs="Calibri Light"/>
          <w:lang w:val="ro-RO"/>
        </w:rPr>
        <w:t xml:space="preserve">afecta </w:t>
      </w:r>
      <w:r>
        <w:rPr>
          <w:rFonts w:ascii="Calibri Light" w:hAnsi="Calibri Light" w:cs="Calibri Light"/>
          <w:lang w:val="ro-RO"/>
        </w:rPr>
        <w:t>colabor</w:t>
      </w:r>
      <w:r w:rsidR="009A6C53">
        <w:rPr>
          <w:rFonts w:ascii="Calibri Light" w:hAnsi="Calibri Light" w:cs="Calibri Light"/>
          <w:lang w:val="ro-RO"/>
        </w:rPr>
        <w:t>area</w:t>
      </w:r>
      <w:r>
        <w:rPr>
          <w:rFonts w:ascii="Calibri Light" w:hAnsi="Calibri Light" w:cs="Calibri Light"/>
          <w:lang w:val="ro-RO"/>
        </w:rPr>
        <w:t xml:space="preserve"> cu terți</w:t>
      </w:r>
      <w:r w:rsidR="00894512">
        <w:rPr>
          <w:rFonts w:ascii="Calibri Light" w:hAnsi="Calibri Light" w:cs="Calibri Light"/>
          <w:lang w:val="ro-RO"/>
        </w:rPr>
        <w:t>i</w:t>
      </w:r>
      <w:r>
        <w:rPr>
          <w:rFonts w:ascii="Calibri Light" w:hAnsi="Calibri Light" w:cs="Calibri Light"/>
          <w:lang w:val="ro-RO"/>
        </w:rPr>
        <w:t>. Astfel, este probabil ca directorii executivi să</w:t>
      </w:r>
      <w:r w:rsidR="00025303">
        <w:rPr>
          <w:rFonts w:ascii="Calibri Light" w:hAnsi="Calibri Light" w:cs="Calibri Light"/>
          <w:lang w:val="ro-RO"/>
        </w:rPr>
        <w:t xml:space="preserve"> fie nevoiți să</w:t>
      </w:r>
      <w:r>
        <w:rPr>
          <w:rFonts w:ascii="Calibri Light" w:hAnsi="Calibri Light" w:cs="Calibri Light"/>
          <w:lang w:val="ro-RO"/>
        </w:rPr>
        <w:t xml:space="preserve"> regânde</w:t>
      </w:r>
      <w:r w:rsidR="00025303">
        <w:rPr>
          <w:rFonts w:ascii="Calibri Light" w:hAnsi="Calibri Light" w:cs="Calibri Light"/>
          <w:lang w:val="ro-RO"/>
        </w:rPr>
        <w:t>a</w:t>
      </w:r>
      <w:r>
        <w:rPr>
          <w:rFonts w:ascii="Calibri Light" w:hAnsi="Calibri Light" w:cs="Calibri Light"/>
          <w:lang w:val="ro-RO"/>
        </w:rPr>
        <w:t>sc</w:t>
      </w:r>
      <w:r w:rsidR="00025303">
        <w:rPr>
          <w:rFonts w:ascii="Calibri Light" w:hAnsi="Calibri Light" w:cs="Calibri Light"/>
          <w:lang w:val="ro-RO"/>
        </w:rPr>
        <w:t>ă</w:t>
      </w:r>
      <w:r>
        <w:rPr>
          <w:rFonts w:ascii="Calibri Light" w:hAnsi="Calibri Light" w:cs="Calibri Light"/>
          <w:lang w:val="ro-RO"/>
        </w:rPr>
        <w:t xml:space="preserve"> deciziile strategice în privința partenerilor </w:t>
      </w:r>
      <w:r w:rsidR="001940D7">
        <w:rPr>
          <w:rFonts w:ascii="Calibri Light" w:hAnsi="Calibri Light" w:cs="Calibri Light"/>
          <w:lang w:val="ro-RO"/>
        </w:rPr>
        <w:t>și să revizuiască rolul departamentel</w:t>
      </w:r>
      <w:r w:rsidR="003C0053">
        <w:rPr>
          <w:rFonts w:ascii="Calibri Light" w:hAnsi="Calibri Light" w:cs="Calibri Light"/>
          <w:lang w:val="ro-RO"/>
        </w:rPr>
        <w:t xml:space="preserve">or </w:t>
      </w:r>
      <w:r w:rsidR="001940D7">
        <w:rPr>
          <w:rFonts w:ascii="Calibri Light" w:hAnsi="Calibri Light" w:cs="Calibri Light"/>
          <w:lang w:val="ro-RO"/>
        </w:rPr>
        <w:t xml:space="preserve">de risc și achiziții. </w:t>
      </w:r>
    </w:p>
    <w:p w14:paraId="78E708D3" w14:textId="1B3A8B17" w:rsidR="00894512" w:rsidRDefault="00894512" w:rsidP="00474335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>Pe scurt</w:t>
      </w:r>
      <w:r w:rsidR="00FF3E4F">
        <w:rPr>
          <w:rFonts w:ascii="Calibri Light" w:hAnsi="Calibri Light" w:cs="Calibri Light"/>
          <w:lang w:val="ro-RO"/>
        </w:rPr>
        <w:t xml:space="preserve">, </w:t>
      </w:r>
      <w:r w:rsidR="00FF3E4F" w:rsidRPr="002842A1">
        <w:rPr>
          <w:rFonts w:ascii="Calibri Light" w:hAnsi="Calibri Light" w:cs="Calibri Light"/>
          <w:lang w:val="ro-RO"/>
        </w:rPr>
        <w:t xml:space="preserve">DORA va </w:t>
      </w:r>
      <w:r w:rsidR="009846F3" w:rsidRPr="002842A1">
        <w:rPr>
          <w:rFonts w:ascii="Calibri Light" w:hAnsi="Calibri Light" w:cs="Calibri Light"/>
          <w:lang w:val="ro-RO"/>
        </w:rPr>
        <w:t xml:space="preserve">obliga </w:t>
      </w:r>
      <w:r w:rsidR="00FF3E4F" w:rsidRPr="002842A1">
        <w:rPr>
          <w:rFonts w:ascii="Calibri Light" w:hAnsi="Calibri Light" w:cs="Calibri Light"/>
          <w:lang w:val="ro-RO"/>
        </w:rPr>
        <w:t>managementul</w:t>
      </w:r>
      <w:r w:rsidR="00FF3E4F" w:rsidRPr="00FF3E4F">
        <w:rPr>
          <w:rFonts w:ascii="Calibri Light" w:hAnsi="Calibri Light" w:cs="Calibri Light"/>
          <w:lang w:val="ro-RO"/>
        </w:rPr>
        <w:t xml:space="preserve"> să devină </w:t>
      </w:r>
      <w:r w:rsidR="00083119">
        <w:rPr>
          <w:rFonts w:ascii="Calibri Light" w:hAnsi="Calibri Light" w:cs="Calibri Light"/>
          <w:lang w:val="ro-RO"/>
        </w:rPr>
        <w:t xml:space="preserve">un </w:t>
      </w:r>
      <w:r w:rsidR="00FF3E4F">
        <w:rPr>
          <w:rFonts w:ascii="Calibri Light" w:hAnsi="Calibri Light" w:cs="Calibri Light"/>
          <w:lang w:val="ro-RO"/>
        </w:rPr>
        <w:t xml:space="preserve">actor activ în procesul </w:t>
      </w:r>
      <w:r w:rsidR="003C0053">
        <w:rPr>
          <w:rFonts w:ascii="Calibri Light" w:hAnsi="Calibri Light" w:cs="Calibri Light"/>
          <w:lang w:val="ro-RO"/>
        </w:rPr>
        <w:t>decizional</w:t>
      </w:r>
      <w:r w:rsidR="00C302AC">
        <w:rPr>
          <w:rFonts w:ascii="Calibri Light" w:hAnsi="Calibri Light" w:cs="Calibri Light"/>
          <w:lang w:val="ro-RO"/>
        </w:rPr>
        <w:t xml:space="preserve"> care asigură reziliența cibernetică a </w:t>
      </w:r>
      <w:r w:rsidR="00994172">
        <w:rPr>
          <w:rFonts w:ascii="Calibri Light" w:hAnsi="Calibri Light" w:cs="Calibri Light"/>
          <w:lang w:val="ro-RO"/>
        </w:rPr>
        <w:t xml:space="preserve">organizației. </w:t>
      </w:r>
    </w:p>
    <w:p w14:paraId="08FF7303" w14:textId="03731D25" w:rsidR="00474335" w:rsidRDefault="00474335" w:rsidP="00474335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 xml:space="preserve">Deși </w:t>
      </w:r>
      <w:r w:rsidR="00083119">
        <w:rPr>
          <w:rFonts w:ascii="Calibri Light" w:hAnsi="Calibri Light" w:cs="Calibri Light"/>
          <w:lang w:val="ro-RO"/>
        </w:rPr>
        <w:t xml:space="preserve">direcțiile și </w:t>
      </w:r>
      <w:r>
        <w:rPr>
          <w:rFonts w:ascii="Calibri Light" w:hAnsi="Calibri Light" w:cs="Calibri Light"/>
          <w:lang w:val="ro-RO"/>
        </w:rPr>
        <w:t xml:space="preserve">conceptele pe care DORA le </w:t>
      </w:r>
      <w:r w:rsidR="00083119">
        <w:rPr>
          <w:rFonts w:ascii="Calibri Light" w:hAnsi="Calibri Light" w:cs="Calibri Light"/>
          <w:lang w:val="ro-RO"/>
        </w:rPr>
        <w:t>propune</w:t>
      </w:r>
      <w:r>
        <w:rPr>
          <w:rFonts w:ascii="Calibri Light" w:hAnsi="Calibri Light" w:cs="Calibri Light"/>
          <w:lang w:val="ro-RO"/>
        </w:rPr>
        <w:t xml:space="preserve"> nu sunt noi, ele f</w:t>
      </w:r>
      <w:r w:rsidR="00083119">
        <w:rPr>
          <w:rFonts w:ascii="Calibri Light" w:hAnsi="Calibri Light" w:cs="Calibri Light"/>
          <w:lang w:val="ro-RO"/>
        </w:rPr>
        <w:t>iind</w:t>
      </w:r>
      <w:r>
        <w:rPr>
          <w:rFonts w:ascii="Calibri Light" w:hAnsi="Calibri Light" w:cs="Calibri Light"/>
          <w:lang w:val="ro-RO"/>
        </w:rPr>
        <w:t xml:space="preserve"> </w:t>
      </w:r>
      <w:r w:rsidR="009D71DF">
        <w:rPr>
          <w:rFonts w:ascii="Calibri Light" w:hAnsi="Calibri Light" w:cs="Calibri Light"/>
          <w:lang w:val="ro-RO"/>
        </w:rPr>
        <w:t>deja introduse în</w:t>
      </w:r>
      <w:r>
        <w:rPr>
          <w:rFonts w:ascii="Calibri Light" w:hAnsi="Calibri Light" w:cs="Calibri Light"/>
          <w:lang w:val="ro-RO"/>
        </w:rPr>
        <w:t xml:space="preserve"> unele directive </w:t>
      </w:r>
      <w:r w:rsidR="009D71DF">
        <w:rPr>
          <w:rFonts w:ascii="Calibri Light" w:hAnsi="Calibri Light" w:cs="Calibri Light"/>
          <w:lang w:val="ro-RO"/>
        </w:rPr>
        <w:t>ș</w:t>
      </w:r>
      <w:r>
        <w:rPr>
          <w:rFonts w:ascii="Calibri Light" w:hAnsi="Calibri Light" w:cs="Calibri Light"/>
          <w:lang w:val="ro-RO"/>
        </w:rPr>
        <w:t>i ghiduri de specialitate, implementarea cadrului va aduce în prim plan o serie de provocări pentru directorii executivi din sectorul financiar care</w:t>
      </w:r>
      <w:r w:rsidR="00286079">
        <w:rPr>
          <w:rFonts w:ascii="Calibri Light" w:hAnsi="Calibri Light" w:cs="Calibri Light"/>
          <w:lang w:val="ro-RO"/>
        </w:rPr>
        <w:t>,</w:t>
      </w:r>
      <w:r>
        <w:rPr>
          <w:rFonts w:ascii="Calibri Light" w:hAnsi="Calibri Light" w:cs="Calibri Light"/>
          <w:lang w:val="ro-RO"/>
        </w:rPr>
        <w:t xml:space="preserve"> până în acest moment</w:t>
      </w:r>
      <w:r w:rsidR="00286079">
        <w:rPr>
          <w:rFonts w:ascii="Calibri Light" w:hAnsi="Calibri Light" w:cs="Calibri Light"/>
          <w:lang w:val="ro-RO"/>
        </w:rPr>
        <w:t>,</w:t>
      </w:r>
      <w:r>
        <w:rPr>
          <w:rFonts w:ascii="Calibri Light" w:hAnsi="Calibri Light" w:cs="Calibri Light"/>
          <w:lang w:val="ro-RO"/>
        </w:rPr>
        <w:t xml:space="preserve"> </w:t>
      </w:r>
      <w:r w:rsidR="00083119">
        <w:rPr>
          <w:rFonts w:ascii="Calibri Light" w:hAnsi="Calibri Light" w:cs="Calibri Light"/>
          <w:lang w:val="ro-RO"/>
        </w:rPr>
        <w:t>se afla</w:t>
      </w:r>
      <w:r w:rsidR="009D71DF">
        <w:rPr>
          <w:rFonts w:ascii="Calibri Light" w:hAnsi="Calibri Light" w:cs="Calibri Light"/>
          <w:lang w:val="ro-RO"/>
        </w:rPr>
        <w:t>u</w:t>
      </w:r>
      <w:r w:rsidR="00083119">
        <w:rPr>
          <w:rFonts w:ascii="Calibri Light" w:hAnsi="Calibri Light" w:cs="Calibri Light"/>
          <w:lang w:val="ro-RO"/>
        </w:rPr>
        <w:t xml:space="preserve"> </w:t>
      </w:r>
      <w:r w:rsidR="009D71DF">
        <w:rPr>
          <w:rFonts w:ascii="Calibri Light" w:hAnsi="Calibri Light" w:cs="Calibri Light"/>
          <w:lang w:val="ro-RO"/>
        </w:rPr>
        <w:t>preponderent pe lista de priorități a</w:t>
      </w:r>
      <w:r>
        <w:rPr>
          <w:rFonts w:ascii="Calibri Light" w:hAnsi="Calibri Light" w:cs="Calibri Light"/>
          <w:lang w:val="ro-RO"/>
        </w:rPr>
        <w:t xml:space="preserve"> directorilor de securitate a informațiilor </w:t>
      </w:r>
      <w:r w:rsidRPr="006B0C76">
        <w:rPr>
          <w:rFonts w:ascii="Calibri Light" w:hAnsi="Calibri Light" w:cs="Calibri Light"/>
          <w:lang w:val="ro-RO"/>
        </w:rPr>
        <w:t>(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chief</w:t>
      </w:r>
      <w:proofErr w:type="spellEnd"/>
      <w:r w:rsidRPr="006B0C7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information</w:t>
      </w:r>
      <w:proofErr w:type="spellEnd"/>
      <w:r w:rsidRPr="006B0C7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security</w:t>
      </w:r>
      <w:proofErr w:type="spellEnd"/>
      <w:r w:rsidRPr="006B0C7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officer</w:t>
      </w:r>
      <w:proofErr w:type="spellEnd"/>
      <w:r w:rsidRPr="006B0C76">
        <w:rPr>
          <w:rFonts w:ascii="Calibri Light" w:hAnsi="Calibri Light" w:cs="Calibri Light"/>
          <w:lang w:val="ro-RO"/>
        </w:rPr>
        <w:t xml:space="preserve"> - CISO) </w:t>
      </w:r>
      <w:r>
        <w:rPr>
          <w:rFonts w:ascii="Calibri Light" w:hAnsi="Calibri Light" w:cs="Calibri Light"/>
          <w:lang w:val="ro-RO"/>
        </w:rPr>
        <w:t>sau a</w:t>
      </w:r>
      <w:r w:rsidRPr="006B0C76">
        <w:rPr>
          <w:rFonts w:ascii="Calibri Light" w:hAnsi="Calibri Light" w:cs="Calibri Light"/>
          <w:lang w:val="ro-RO"/>
        </w:rPr>
        <w:t xml:space="preserve"> directori</w:t>
      </w:r>
      <w:r w:rsidR="001E738F">
        <w:rPr>
          <w:rFonts w:ascii="Calibri Light" w:hAnsi="Calibri Light" w:cs="Calibri Light"/>
          <w:lang w:val="ro-RO"/>
        </w:rPr>
        <w:t>lor</w:t>
      </w:r>
      <w:r w:rsidRPr="006B0C76">
        <w:rPr>
          <w:rFonts w:ascii="Calibri Light" w:hAnsi="Calibri Light" w:cs="Calibri Light"/>
          <w:lang w:val="ro-RO"/>
        </w:rPr>
        <w:t xml:space="preserve"> de tehnologie (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chief</w:t>
      </w:r>
      <w:proofErr w:type="spellEnd"/>
      <w:r w:rsidRPr="006B0C7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technology</w:t>
      </w:r>
      <w:proofErr w:type="spellEnd"/>
      <w:r w:rsidRPr="006B0C76">
        <w:rPr>
          <w:rFonts w:ascii="Calibri Light" w:hAnsi="Calibri Light" w:cs="Calibri Light"/>
          <w:i/>
          <w:iCs/>
          <w:lang w:val="ro-RO"/>
        </w:rPr>
        <w:t xml:space="preserve"> </w:t>
      </w:r>
      <w:proofErr w:type="spellStart"/>
      <w:r w:rsidRPr="006B0C76">
        <w:rPr>
          <w:rFonts w:ascii="Calibri Light" w:hAnsi="Calibri Light" w:cs="Calibri Light"/>
          <w:i/>
          <w:iCs/>
          <w:lang w:val="ro-RO"/>
        </w:rPr>
        <w:t>officers</w:t>
      </w:r>
      <w:proofErr w:type="spellEnd"/>
      <w:r w:rsidRPr="006B0C76">
        <w:rPr>
          <w:rFonts w:ascii="Calibri Light" w:hAnsi="Calibri Light" w:cs="Calibri Light"/>
          <w:lang w:val="ro-RO"/>
        </w:rPr>
        <w:t xml:space="preserve"> - CTO)</w:t>
      </w:r>
      <w:r>
        <w:rPr>
          <w:rFonts w:ascii="Calibri Light" w:hAnsi="Calibri Light" w:cs="Calibri Light"/>
          <w:lang w:val="ro-RO"/>
        </w:rPr>
        <w:t xml:space="preserve">. </w:t>
      </w:r>
      <w:r w:rsidR="00894512">
        <w:rPr>
          <w:rFonts w:ascii="Calibri Light" w:hAnsi="Calibri Light" w:cs="Calibri Light"/>
          <w:lang w:val="ro-RO"/>
        </w:rPr>
        <w:t xml:space="preserve">Companiile </w:t>
      </w:r>
      <w:r w:rsidR="001E738F">
        <w:rPr>
          <w:rFonts w:ascii="Calibri Light" w:hAnsi="Calibri Light" w:cs="Calibri Light"/>
          <w:lang w:val="ro-RO"/>
        </w:rPr>
        <w:t xml:space="preserve">trebuie să </w:t>
      </w:r>
      <w:r w:rsidR="001E738F" w:rsidRPr="003F217A">
        <w:rPr>
          <w:rFonts w:ascii="Calibri Light" w:hAnsi="Calibri Light" w:cs="Calibri Light"/>
          <w:lang w:val="ro-RO"/>
        </w:rPr>
        <w:t>aplic</w:t>
      </w:r>
      <w:r w:rsidR="001E738F">
        <w:rPr>
          <w:rFonts w:ascii="Calibri Light" w:hAnsi="Calibri Light" w:cs="Calibri Light"/>
          <w:lang w:val="ro-RO"/>
        </w:rPr>
        <w:t xml:space="preserve">e prevederile DORA </w:t>
      </w:r>
      <w:r w:rsidR="001E738F" w:rsidRPr="003F217A">
        <w:rPr>
          <w:rFonts w:ascii="Calibri Light" w:hAnsi="Calibri Light" w:cs="Calibri Light"/>
          <w:lang w:val="ro-RO"/>
        </w:rPr>
        <w:t>din 17 ianuarie 2025</w:t>
      </w:r>
      <w:r w:rsidR="00286079">
        <w:rPr>
          <w:rFonts w:ascii="Calibri Light" w:hAnsi="Calibri Light" w:cs="Calibri Light"/>
          <w:lang w:val="ro-RO"/>
        </w:rPr>
        <w:t>, așadar</w:t>
      </w:r>
      <w:r w:rsidR="00286079" w:rsidRPr="00286079">
        <w:rPr>
          <w:rFonts w:ascii="Calibri Light" w:hAnsi="Calibri Light" w:cs="Calibri Light"/>
          <w:lang w:val="ro-RO"/>
        </w:rPr>
        <w:t xml:space="preserve"> </w:t>
      </w:r>
      <w:r w:rsidR="00286079">
        <w:rPr>
          <w:rFonts w:ascii="Calibri Light" w:hAnsi="Calibri Light" w:cs="Calibri Light"/>
          <w:lang w:val="ro-RO"/>
        </w:rPr>
        <w:t>au la dispoziție o perioadă generoasă pentru a se pregăti</w:t>
      </w:r>
      <w:r w:rsidR="00CA79C2">
        <w:rPr>
          <w:rFonts w:ascii="Calibri Light" w:hAnsi="Calibri Light" w:cs="Calibri Light"/>
          <w:lang w:val="ro-RO"/>
        </w:rPr>
        <w:t xml:space="preserve">, </w:t>
      </w:r>
      <w:r w:rsidR="00083119">
        <w:rPr>
          <w:rFonts w:ascii="Calibri Light" w:hAnsi="Calibri Light" w:cs="Calibri Light"/>
          <w:lang w:val="ro-RO"/>
        </w:rPr>
        <w:t xml:space="preserve">dar </w:t>
      </w:r>
      <w:r w:rsidR="00CA79C2">
        <w:rPr>
          <w:rFonts w:ascii="Calibri Light" w:hAnsi="Calibri Light" w:cs="Calibri Light"/>
          <w:lang w:val="ro-RO"/>
        </w:rPr>
        <w:t xml:space="preserve">este important </w:t>
      </w:r>
      <w:r w:rsidR="00083119">
        <w:rPr>
          <w:rFonts w:ascii="Calibri Light" w:hAnsi="Calibri Light" w:cs="Calibri Light"/>
          <w:lang w:val="ro-RO"/>
        </w:rPr>
        <w:t xml:space="preserve">să aibă în vedere că aceste cerințe </w:t>
      </w:r>
      <w:r w:rsidR="00CA79C2">
        <w:rPr>
          <w:rFonts w:ascii="Calibri Light" w:hAnsi="Calibri Light" w:cs="Calibri Light"/>
          <w:lang w:val="ro-RO"/>
        </w:rPr>
        <w:t xml:space="preserve">nu </w:t>
      </w:r>
      <w:r w:rsidR="00083119">
        <w:rPr>
          <w:rFonts w:ascii="Calibri Light" w:hAnsi="Calibri Light" w:cs="Calibri Light"/>
          <w:lang w:val="ro-RO"/>
        </w:rPr>
        <w:t>fac parte dintr-un</w:t>
      </w:r>
      <w:r w:rsidR="00CA79C2">
        <w:rPr>
          <w:rFonts w:ascii="Calibri Light" w:hAnsi="Calibri Light" w:cs="Calibri Light"/>
          <w:lang w:val="ro-RO"/>
        </w:rPr>
        <w:t xml:space="preserve"> exercițiu unic de </w:t>
      </w:r>
      <w:r w:rsidR="001E738F">
        <w:rPr>
          <w:rFonts w:ascii="Calibri Light" w:hAnsi="Calibri Light" w:cs="Calibri Light"/>
          <w:lang w:val="ro-RO"/>
        </w:rPr>
        <w:t>conformare</w:t>
      </w:r>
      <w:r w:rsidR="00CA79C2">
        <w:rPr>
          <w:rFonts w:ascii="Calibri Light" w:hAnsi="Calibri Light" w:cs="Calibri Light"/>
          <w:lang w:val="ro-RO"/>
        </w:rPr>
        <w:t xml:space="preserve">, ci </w:t>
      </w:r>
      <w:r w:rsidR="009D71DF">
        <w:rPr>
          <w:rFonts w:ascii="Calibri Light" w:hAnsi="Calibri Light" w:cs="Calibri Light"/>
          <w:lang w:val="ro-RO"/>
        </w:rPr>
        <w:t>din</w:t>
      </w:r>
      <w:r w:rsidR="001E738F">
        <w:rPr>
          <w:rFonts w:ascii="Calibri Light" w:hAnsi="Calibri Light" w:cs="Calibri Light"/>
          <w:lang w:val="ro-RO"/>
        </w:rPr>
        <w:t>tr-un proces</w:t>
      </w:r>
      <w:r w:rsidR="0091530F">
        <w:rPr>
          <w:rFonts w:ascii="Calibri Light" w:hAnsi="Calibri Light" w:cs="Calibri Light"/>
          <w:lang w:val="ro-RO"/>
        </w:rPr>
        <w:t xml:space="preserve"> </w:t>
      </w:r>
      <w:r w:rsidR="00CA79C2">
        <w:rPr>
          <w:rFonts w:ascii="Calibri Light" w:hAnsi="Calibri Light" w:cs="Calibri Light"/>
          <w:lang w:val="ro-RO"/>
        </w:rPr>
        <w:t>continuu</w:t>
      </w:r>
      <w:r w:rsidR="001E738F">
        <w:rPr>
          <w:rFonts w:ascii="Calibri Light" w:hAnsi="Calibri Light" w:cs="Calibri Light"/>
          <w:lang w:val="ro-RO"/>
        </w:rPr>
        <w:t>,</w:t>
      </w:r>
      <w:r w:rsidR="00CA79C2">
        <w:rPr>
          <w:rFonts w:ascii="Calibri Light" w:hAnsi="Calibri Light" w:cs="Calibri Light"/>
          <w:lang w:val="ro-RO"/>
        </w:rPr>
        <w:t xml:space="preserve"> care </w:t>
      </w:r>
      <w:r w:rsidR="00286079">
        <w:rPr>
          <w:rFonts w:ascii="Calibri Light" w:hAnsi="Calibri Light" w:cs="Calibri Light"/>
          <w:lang w:val="ro-RO"/>
        </w:rPr>
        <w:t xml:space="preserve">le </w:t>
      </w:r>
      <w:r w:rsidR="00CA79C2">
        <w:rPr>
          <w:rFonts w:ascii="Calibri Light" w:hAnsi="Calibri Light" w:cs="Calibri Light"/>
          <w:lang w:val="ro-RO"/>
        </w:rPr>
        <w:t xml:space="preserve">va </w:t>
      </w:r>
      <w:r w:rsidR="001E738F">
        <w:rPr>
          <w:rFonts w:ascii="Calibri Light" w:hAnsi="Calibri Light" w:cs="Calibri Light"/>
          <w:lang w:val="ro-RO"/>
        </w:rPr>
        <w:t xml:space="preserve">ajuta </w:t>
      </w:r>
      <w:r w:rsidR="00CA79C2">
        <w:rPr>
          <w:rFonts w:ascii="Calibri Light" w:hAnsi="Calibri Light" w:cs="Calibri Light"/>
          <w:lang w:val="ro-RO"/>
        </w:rPr>
        <w:t xml:space="preserve">să </w:t>
      </w:r>
      <w:r w:rsidR="00286079">
        <w:rPr>
          <w:rFonts w:ascii="Calibri Light" w:hAnsi="Calibri Light" w:cs="Calibri Light"/>
          <w:lang w:val="ro-RO"/>
        </w:rPr>
        <w:t>rămână în siguranță</w:t>
      </w:r>
      <w:r w:rsidR="001E738F">
        <w:rPr>
          <w:rFonts w:ascii="Calibri Light" w:hAnsi="Calibri Light" w:cs="Calibri Light"/>
          <w:lang w:val="ro-RO"/>
        </w:rPr>
        <w:t xml:space="preserve"> </w:t>
      </w:r>
      <w:r w:rsidR="00CA79C2">
        <w:rPr>
          <w:rFonts w:ascii="Calibri Light" w:hAnsi="Calibri Light" w:cs="Calibri Light"/>
          <w:lang w:val="ro-RO"/>
        </w:rPr>
        <w:t xml:space="preserve">într-un peisaj al amenințărilor </w:t>
      </w:r>
      <w:r w:rsidR="00286079">
        <w:rPr>
          <w:rFonts w:ascii="Calibri Light" w:hAnsi="Calibri Light" w:cs="Calibri Light"/>
          <w:lang w:val="ro-RO"/>
        </w:rPr>
        <w:t xml:space="preserve">cibernetice </w:t>
      </w:r>
      <w:r w:rsidR="00CA79C2">
        <w:rPr>
          <w:rFonts w:ascii="Calibri Light" w:hAnsi="Calibri Light" w:cs="Calibri Light"/>
          <w:lang w:val="ro-RO"/>
        </w:rPr>
        <w:t xml:space="preserve">aflat în plină evoluție. </w:t>
      </w:r>
    </w:p>
    <w:p w14:paraId="4DF6D260" w14:textId="77777777" w:rsidR="00F02CE3" w:rsidRPr="00356E3D" w:rsidRDefault="00F02CE3" w:rsidP="00356E3D">
      <w:pPr>
        <w:tabs>
          <w:tab w:val="left" w:pos="4860"/>
        </w:tabs>
        <w:spacing w:before="120" w:after="120" w:line="276" w:lineRule="auto"/>
        <w:jc w:val="both"/>
        <w:rPr>
          <w:rFonts w:ascii="Calibri Light" w:hAnsi="Calibri Light" w:cs="Calibri Light"/>
          <w:lang w:val="ro-RO"/>
        </w:rPr>
      </w:pPr>
    </w:p>
    <w:sectPr w:rsidR="00F02CE3" w:rsidRPr="00356E3D" w:rsidSect="00E8245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9108" w14:textId="77777777" w:rsidR="00361E05" w:rsidRDefault="00361E05" w:rsidP="000C7AD0">
      <w:pPr>
        <w:spacing w:after="0" w:line="240" w:lineRule="auto"/>
      </w:pPr>
      <w:r>
        <w:separator/>
      </w:r>
    </w:p>
  </w:endnote>
  <w:endnote w:type="continuationSeparator" w:id="0">
    <w:p w14:paraId="1DE19CCE" w14:textId="77777777" w:rsidR="00361E05" w:rsidRDefault="00361E05" w:rsidP="000C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4AFA" w14:textId="77777777" w:rsidR="00361E05" w:rsidRDefault="00361E05" w:rsidP="000C7AD0">
      <w:pPr>
        <w:spacing w:after="0" w:line="240" w:lineRule="auto"/>
      </w:pPr>
      <w:r>
        <w:separator/>
      </w:r>
    </w:p>
  </w:footnote>
  <w:footnote w:type="continuationSeparator" w:id="0">
    <w:p w14:paraId="6CFED2E4" w14:textId="77777777" w:rsidR="00361E05" w:rsidRDefault="00361E05" w:rsidP="000C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FDC" w14:textId="39002BC0" w:rsidR="00E82455" w:rsidRDefault="00E824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B39F1" wp14:editId="1C0AC0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6150" cy="901700"/>
          <wp:effectExtent l="0" t="0" r="0" b="0"/>
          <wp:wrapNone/>
          <wp:docPr id="319" name="Picture 319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824"/>
    <w:multiLevelType w:val="hybridMultilevel"/>
    <w:tmpl w:val="BEEAC7FE"/>
    <w:lvl w:ilvl="0" w:tplc="6150D10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78D1"/>
    <w:multiLevelType w:val="hybridMultilevel"/>
    <w:tmpl w:val="B0EE2AAE"/>
    <w:lvl w:ilvl="0" w:tplc="4376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97858">
    <w:abstractNumId w:val="0"/>
  </w:num>
  <w:num w:numId="2" w16cid:durableId="132520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61"/>
    <w:rsid w:val="00005084"/>
    <w:rsid w:val="00010744"/>
    <w:rsid w:val="000214A3"/>
    <w:rsid w:val="00025303"/>
    <w:rsid w:val="00035F90"/>
    <w:rsid w:val="000569A4"/>
    <w:rsid w:val="00083119"/>
    <w:rsid w:val="000A4FA5"/>
    <w:rsid w:val="000C51A9"/>
    <w:rsid w:val="000C7AD0"/>
    <w:rsid w:val="000E3270"/>
    <w:rsid w:val="000E7E1F"/>
    <w:rsid w:val="000F20D0"/>
    <w:rsid w:val="00124731"/>
    <w:rsid w:val="001307A7"/>
    <w:rsid w:val="0014202C"/>
    <w:rsid w:val="00160669"/>
    <w:rsid w:val="001912FB"/>
    <w:rsid w:val="001940D7"/>
    <w:rsid w:val="001A12CD"/>
    <w:rsid w:val="001A2C78"/>
    <w:rsid w:val="001B4502"/>
    <w:rsid w:val="001E012F"/>
    <w:rsid w:val="001E324B"/>
    <w:rsid w:val="001E738F"/>
    <w:rsid w:val="00220FC9"/>
    <w:rsid w:val="0022442D"/>
    <w:rsid w:val="0022714E"/>
    <w:rsid w:val="00234A99"/>
    <w:rsid w:val="00234E65"/>
    <w:rsid w:val="00237F16"/>
    <w:rsid w:val="00246116"/>
    <w:rsid w:val="0028388D"/>
    <w:rsid w:val="002842A1"/>
    <w:rsid w:val="00286079"/>
    <w:rsid w:val="002B5678"/>
    <w:rsid w:val="002D4706"/>
    <w:rsid w:val="00356E3D"/>
    <w:rsid w:val="00361E05"/>
    <w:rsid w:val="003B4188"/>
    <w:rsid w:val="003C0053"/>
    <w:rsid w:val="003C7BFD"/>
    <w:rsid w:val="003F176F"/>
    <w:rsid w:val="003F217A"/>
    <w:rsid w:val="004152B1"/>
    <w:rsid w:val="0045260B"/>
    <w:rsid w:val="004577C0"/>
    <w:rsid w:val="00466E50"/>
    <w:rsid w:val="00470E08"/>
    <w:rsid w:val="00474335"/>
    <w:rsid w:val="00486D77"/>
    <w:rsid w:val="00547412"/>
    <w:rsid w:val="005720D1"/>
    <w:rsid w:val="00581193"/>
    <w:rsid w:val="0058673E"/>
    <w:rsid w:val="005A58F4"/>
    <w:rsid w:val="005C2E5B"/>
    <w:rsid w:val="005D17C5"/>
    <w:rsid w:val="005D1CF4"/>
    <w:rsid w:val="005D212D"/>
    <w:rsid w:val="005D74A2"/>
    <w:rsid w:val="005F18A9"/>
    <w:rsid w:val="005F1AE3"/>
    <w:rsid w:val="00622577"/>
    <w:rsid w:val="006408F2"/>
    <w:rsid w:val="00644460"/>
    <w:rsid w:val="00670024"/>
    <w:rsid w:val="0069271B"/>
    <w:rsid w:val="006B0C76"/>
    <w:rsid w:val="006E2591"/>
    <w:rsid w:val="006E7098"/>
    <w:rsid w:val="006F1878"/>
    <w:rsid w:val="00723170"/>
    <w:rsid w:val="00731EF1"/>
    <w:rsid w:val="0074676D"/>
    <w:rsid w:val="007467E4"/>
    <w:rsid w:val="00746FDC"/>
    <w:rsid w:val="007653DD"/>
    <w:rsid w:val="00787D59"/>
    <w:rsid w:val="00793726"/>
    <w:rsid w:val="007F1FF6"/>
    <w:rsid w:val="0085563D"/>
    <w:rsid w:val="00894512"/>
    <w:rsid w:val="008B0355"/>
    <w:rsid w:val="008B583F"/>
    <w:rsid w:val="008C20E5"/>
    <w:rsid w:val="008C34AB"/>
    <w:rsid w:val="0091530F"/>
    <w:rsid w:val="009452B4"/>
    <w:rsid w:val="00946944"/>
    <w:rsid w:val="0095387C"/>
    <w:rsid w:val="009846F3"/>
    <w:rsid w:val="009859F6"/>
    <w:rsid w:val="00994172"/>
    <w:rsid w:val="009950CB"/>
    <w:rsid w:val="009A34E6"/>
    <w:rsid w:val="009A6C53"/>
    <w:rsid w:val="009B0BD7"/>
    <w:rsid w:val="009B76DF"/>
    <w:rsid w:val="009D4C32"/>
    <w:rsid w:val="009D71DF"/>
    <w:rsid w:val="009F3865"/>
    <w:rsid w:val="00A305B0"/>
    <w:rsid w:val="00A41CE7"/>
    <w:rsid w:val="00AA257E"/>
    <w:rsid w:val="00AA5DD0"/>
    <w:rsid w:val="00AD1255"/>
    <w:rsid w:val="00AD3554"/>
    <w:rsid w:val="00B47F40"/>
    <w:rsid w:val="00B5697E"/>
    <w:rsid w:val="00B6130D"/>
    <w:rsid w:val="00BA012B"/>
    <w:rsid w:val="00BF3DD8"/>
    <w:rsid w:val="00BF7772"/>
    <w:rsid w:val="00C11543"/>
    <w:rsid w:val="00C302AC"/>
    <w:rsid w:val="00C33171"/>
    <w:rsid w:val="00C40861"/>
    <w:rsid w:val="00C427FC"/>
    <w:rsid w:val="00C75190"/>
    <w:rsid w:val="00CA79C2"/>
    <w:rsid w:val="00CB494F"/>
    <w:rsid w:val="00CC31D8"/>
    <w:rsid w:val="00D66F06"/>
    <w:rsid w:val="00D80E00"/>
    <w:rsid w:val="00D96440"/>
    <w:rsid w:val="00D9644C"/>
    <w:rsid w:val="00DA45EE"/>
    <w:rsid w:val="00DA4829"/>
    <w:rsid w:val="00DB44B8"/>
    <w:rsid w:val="00DC7070"/>
    <w:rsid w:val="00DD215E"/>
    <w:rsid w:val="00DE3012"/>
    <w:rsid w:val="00E13319"/>
    <w:rsid w:val="00E16A4C"/>
    <w:rsid w:val="00E42B8D"/>
    <w:rsid w:val="00E7221C"/>
    <w:rsid w:val="00E82455"/>
    <w:rsid w:val="00E906A5"/>
    <w:rsid w:val="00E914B5"/>
    <w:rsid w:val="00E94D03"/>
    <w:rsid w:val="00EC3B80"/>
    <w:rsid w:val="00EC6146"/>
    <w:rsid w:val="00EF5F79"/>
    <w:rsid w:val="00F02CE3"/>
    <w:rsid w:val="00F170AE"/>
    <w:rsid w:val="00F34972"/>
    <w:rsid w:val="00F55DB7"/>
    <w:rsid w:val="00F60325"/>
    <w:rsid w:val="00F65F7E"/>
    <w:rsid w:val="00FC2FAB"/>
    <w:rsid w:val="00FD04CE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F516"/>
  <w15:chartTrackingRefBased/>
  <w15:docId w15:val="{8F5EDD44-04C5-4BCF-A4E8-796F153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03"/>
    <w:pPr>
      <w:ind w:left="720"/>
      <w:contextualSpacing/>
    </w:pPr>
  </w:style>
  <w:style w:type="paragraph" w:customStyle="1" w:styleId="pf0">
    <w:name w:val="pf0"/>
    <w:basedOn w:val="Normal"/>
    <w:rsid w:val="005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81193"/>
    <w:rPr>
      <w:rFonts w:ascii="Times New Roman" w:hAnsi="Times New Roman" w:cs="Times New Roman" w:hint="default"/>
      <w:sz w:val="24"/>
      <w:szCs w:val="24"/>
    </w:rPr>
  </w:style>
  <w:style w:type="character" w:customStyle="1" w:styleId="cf11">
    <w:name w:val="cf11"/>
    <w:basedOn w:val="DefaultParagraphFont"/>
    <w:rsid w:val="0058119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f21">
    <w:name w:val="cf21"/>
    <w:basedOn w:val="DefaultParagraphFont"/>
    <w:rsid w:val="00581193"/>
    <w:rPr>
      <w:rFonts w:ascii="Segoe UI" w:hAnsi="Segoe UI" w:cs="Segoe UI" w:hint="default"/>
    </w:rPr>
  </w:style>
  <w:style w:type="paragraph" w:styleId="Header">
    <w:name w:val="header"/>
    <w:basedOn w:val="Normal"/>
    <w:link w:val="HeaderChar"/>
    <w:uiPriority w:val="99"/>
    <w:unhideWhenUsed/>
    <w:rsid w:val="00B6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0D"/>
  </w:style>
  <w:style w:type="paragraph" w:styleId="Footer">
    <w:name w:val="footer"/>
    <w:basedOn w:val="Normal"/>
    <w:link w:val="FooterChar"/>
    <w:uiPriority w:val="99"/>
    <w:unhideWhenUsed/>
    <w:rsid w:val="00B6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0D"/>
  </w:style>
  <w:style w:type="character" w:styleId="CommentReference">
    <w:name w:val="annotation reference"/>
    <w:basedOn w:val="DefaultParagraphFont"/>
    <w:uiPriority w:val="99"/>
    <w:semiHidden/>
    <w:unhideWhenUsed/>
    <w:rsid w:val="0074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7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8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8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1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deloitte.com/ro/en/pages/technology/solutions/cyber-crisis-exercising.html?nc=42https://www2.deloitte.com/ro/en/pages/technology/solutions/cyber-crisis-exercising.html?nc=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deloitte.com/ro/en/pages/risk/solutions/tiber-ro-framework.html?nc=4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deloitte.com/ro/en/pages/risk/solutions/security-information-event-management-siem-technology.html?nc=4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2.deloitte.com/ro/en/pages/risk/solutions/implementing-eus-digital-operational-resilience-act-dora.html?nc=4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943e9-f0ba-47bf-b9dd-d949c24d53cd">
      <Terms xmlns="http://schemas.microsoft.com/office/infopath/2007/PartnerControls"/>
    </lcf76f155ced4ddcb4097134ff3c332f>
    <TaxCatchAll xmlns="b4a8a2cb-e3ce-4658-a142-bf1a7a30fc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404EABF28074C9A1453A3F12AA133" ma:contentTypeVersion="15" ma:contentTypeDescription="Create a new document." ma:contentTypeScope="" ma:versionID="1ad44d06bc3bd26b8df14ab1c8208086">
  <xsd:schema xmlns:xsd="http://www.w3.org/2001/XMLSchema" xmlns:xs="http://www.w3.org/2001/XMLSchema" xmlns:p="http://schemas.microsoft.com/office/2006/metadata/properties" xmlns:ns2="a38943e9-f0ba-47bf-b9dd-d949c24d53cd" xmlns:ns3="b4a8a2cb-e3ce-4658-a142-bf1a7a30fc85" targetNamespace="http://schemas.microsoft.com/office/2006/metadata/properties" ma:root="true" ma:fieldsID="523bd44c86a907a330831ed3e11c795e" ns2:_="" ns3:_="">
    <xsd:import namespace="a38943e9-f0ba-47bf-b9dd-d949c24d53cd"/>
    <xsd:import namespace="b4a8a2cb-e3ce-4658-a142-bf1a7a30f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43e9-f0ba-47bf-b9dd-d949c24d5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8a2cb-e3ce-4658-a142-bf1a7a30f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089822-93dd-469a-a6ae-f6955d878d3c}" ma:internalName="TaxCatchAll" ma:showField="CatchAllData" ma:web="b4a8a2cb-e3ce-4658-a142-bf1a7a30f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79FD9-57DA-464D-A8CE-EB10D68462D2}">
  <ds:schemaRefs>
    <ds:schemaRef ds:uri="http://schemas.microsoft.com/office/2006/metadata/properties"/>
    <ds:schemaRef ds:uri="http://schemas.microsoft.com/office/infopath/2007/PartnerControls"/>
    <ds:schemaRef ds:uri="a38943e9-f0ba-47bf-b9dd-d949c24d53cd"/>
    <ds:schemaRef ds:uri="b4a8a2cb-e3ce-4658-a142-bf1a7a30fc85"/>
  </ds:schemaRefs>
</ds:datastoreItem>
</file>

<file path=customXml/itemProps2.xml><?xml version="1.0" encoding="utf-8"?>
<ds:datastoreItem xmlns:ds="http://schemas.openxmlformats.org/officeDocument/2006/customXml" ds:itemID="{B4CE2758-4B97-415A-8035-CED190C41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C83F-93EC-4CD7-A964-95962CD3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43e9-f0ba-47bf-b9dd-d949c24d53cd"/>
    <ds:schemaRef ds:uri="b4a8a2cb-e3ce-4658-a142-bf1a7a30f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Marcu, Cristina</dc:creator>
  <cp:keywords/>
  <dc:description/>
  <cp:lastModifiedBy>Marcu, Cristina</cp:lastModifiedBy>
  <cp:revision>10</cp:revision>
  <dcterms:created xsi:type="dcterms:W3CDTF">2023-02-27T12:37:00Z</dcterms:created>
  <dcterms:modified xsi:type="dcterms:W3CDTF">2023-02-28T09:31:00Z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2023-02-16T07:56:54Z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d46e2b20-2b7a-440a-b70f-73ef6520e19a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0x010100C5B404EABF28074C9A1453A3F12AA133</vt:lpwstr>
  </property>
</Properties>
</file>