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8FB70" w14:textId="77777777" w:rsidR="00AA0EBE" w:rsidRPr="009F6BB0" w:rsidRDefault="00AA0EBE" w:rsidP="002C528F">
      <w:pPr>
        <w:spacing w:after="200" w:line="320" w:lineRule="exact"/>
        <w:jc w:val="center"/>
        <w:rPr>
          <w:rFonts w:ascii="Palatino Linotype" w:hAnsi="Palatino Linotype"/>
          <w:b/>
          <w:bCs/>
        </w:rPr>
      </w:pPr>
    </w:p>
    <w:p w14:paraId="58CE11BF" w14:textId="75714921" w:rsidR="00D856C2" w:rsidRPr="00BA408B" w:rsidRDefault="00BA408B" w:rsidP="002C528F">
      <w:pPr>
        <w:spacing w:after="200" w:line="320" w:lineRule="exact"/>
        <w:jc w:val="center"/>
        <w:rPr>
          <w:rFonts w:ascii="Palatino Linotype" w:hAnsi="Palatino Linotype"/>
          <w:b/>
          <w:bCs/>
          <w:lang w:val="ro-RO"/>
        </w:rPr>
      </w:pPr>
      <w:r w:rsidRPr="00BA408B">
        <w:rPr>
          <w:rFonts w:ascii="Palatino Linotype" w:hAnsi="Palatino Linotype"/>
          <w:b/>
          <w:bCs/>
          <w:lang w:val="ro-RO"/>
        </w:rPr>
        <w:t xml:space="preserve">Extinderea termenului pentru </w:t>
      </w:r>
      <w:r w:rsidR="007908ED">
        <w:rPr>
          <w:rFonts w:ascii="Palatino Linotype" w:hAnsi="Palatino Linotype"/>
          <w:b/>
          <w:bCs/>
          <w:lang w:val="ro-RO"/>
        </w:rPr>
        <w:t xml:space="preserve">depunerea </w:t>
      </w:r>
      <w:r w:rsidRPr="00BA408B">
        <w:rPr>
          <w:rFonts w:ascii="Palatino Linotype" w:hAnsi="Palatino Linotype"/>
          <w:b/>
          <w:bCs/>
          <w:lang w:val="ro-RO"/>
        </w:rPr>
        <w:t>garanți</w:t>
      </w:r>
      <w:r w:rsidR="007908ED">
        <w:rPr>
          <w:rFonts w:ascii="Palatino Linotype" w:hAnsi="Palatino Linotype"/>
          <w:b/>
          <w:bCs/>
          <w:lang w:val="ro-RO"/>
        </w:rPr>
        <w:t>ei</w:t>
      </w:r>
      <w:r w:rsidRPr="00BA408B">
        <w:rPr>
          <w:rFonts w:ascii="Palatino Linotype" w:hAnsi="Palatino Linotype"/>
          <w:b/>
          <w:bCs/>
          <w:lang w:val="ro-RO"/>
        </w:rPr>
        <w:t xml:space="preserve"> financiar</w:t>
      </w:r>
      <w:r w:rsidR="007908ED">
        <w:rPr>
          <w:rFonts w:ascii="Palatino Linotype" w:hAnsi="Palatino Linotype"/>
          <w:b/>
          <w:bCs/>
          <w:lang w:val="ro-RO"/>
        </w:rPr>
        <w:t>e</w:t>
      </w:r>
      <w:r w:rsidRPr="00BA408B">
        <w:rPr>
          <w:rFonts w:ascii="Palatino Linotype" w:hAnsi="Palatino Linotype"/>
          <w:b/>
          <w:bCs/>
          <w:lang w:val="ro-RO"/>
        </w:rPr>
        <w:t xml:space="preserve"> în procesul de racordare la rețea</w:t>
      </w:r>
      <w:r w:rsidR="00D856C2" w:rsidRPr="00BA408B">
        <w:rPr>
          <w:rFonts w:ascii="Palatino Linotype" w:hAnsi="Palatino Linotype"/>
          <w:b/>
          <w:bCs/>
          <w:lang w:val="ro-RO"/>
        </w:rPr>
        <w:t xml:space="preserve">: </w:t>
      </w:r>
    </w:p>
    <w:p w14:paraId="283AEED5" w14:textId="530D9F93" w:rsidR="006F7CA7" w:rsidRPr="00BA408B" w:rsidRDefault="00BA408B" w:rsidP="002C528F">
      <w:pPr>
        <w:spacing w:after="200" w:line="320" w:lineRule="exact"/>
        <w:jc w:val="center"/>
        <w:rPr>
          <w:rFonts w:ascii="Palatino Linotype" w:hAnsi="Palatino Linotype"/>
          <w:b/>
          <w:bCs/>
          <w:lang w:val="ro-RO"/>
        </w:rPr>
      </w:pPr>
      <w:r w:rsidRPr="00BA408B">
        <w:rPr>
          <w:rFonts w:ascii="Palatino Linotype" w:hAnsi="Palatino Linotype"/>
          <w:b/>
          <w:bCs/>
          <w:lang w:val="ro-RO"/>
        </w:rPr>
        <w:t>binecuvântare sau o sabie cu două tăișuri</w:t>
      </w:r>
      <w:r w:rsidR="00D856C2" w:rsidRPr="00BA408B">
        <w:rPr>
          <w:rFonts w:ascii="Palatino Linotype" w:hAnsi="Palatino Linotype"/>
          <w:b/>
          <w:bCs/>
          <w:lang w:val="ro-RO"/>
        </w:rPr>
        <w:t>?</w:t>
      </w:r>
    </w:p>
    <w:p w14:paraId="48443404" w14:textId="77777777" w:rsidR="006F7CA7" w:rsidRPr="00BA408B" w:rsidRDefault="006F7CA7" w:rsidP="008A65DD">
      <w:pPr>
        <w:spacing w:after="200" w:line="320" w:lineRule="exact"/>
        <w:jc w:val="both"/>
        <w:rPr>
          <w:rFonts w:ascii="Palatino Linotype" w:hAnsi="Palatino Linotype"/>
          <w:lang w:val="ro-RO"/>
        </w:rPr>
      </w:pPr>
    </w:p>
    <w:p w14:paraId="2DDDB82C" w14:textId="77777777" w:rsidR="009F6BB0" w:rsidRPr="00BA408B" w:rsidRDefault="009F6BB0" w:rsidP="008A65DD">
      <w:pPr>
        <w:spacing w:after="200" w:line="320" w:lineRule="exact"/>
        <w:jc w:val="both"/>
        <w:rPr>
          <w:rFonts w:ascii="Palatino Linotype" w:hAnsi="Palatino Linotype"/>
          <w:lang w:val="ro-RO"/>
        </w:rPr>
      </w:pPr>
    </w:p>
    <w:p w14:paraId="41F8EDA2" w14:textId="654BB7B8" w:rsidR="009F6BB0" w:rsidRPr="009F6BB0" w:rsidRDefault="009F6BB0" w:rsidP="009F6BB0">
      <w:pPr>
        <w:spacing w:after="200" w:line="320" w:lineRule="exact"/>
        <w:jc w:val="both"/>
        <w:rPr>
          <w:rFonts w:ascii="Palatino Linotype" w:hAnsi="Palatino Linotype"/>
          <w:lang w:val="ro-RO"/>
        </w:rPr>
      </w:pPr>
      <w:r w:rsidRPr="009F6BB0">
        <w:rPr>
          <w:rFonts w:ascii="Palatino Linotype" w:hAnsi="Palatino Linotype"/>
          <w:lang w:val="ro-RO"/>
        </w:rPr>
        <w:t xml:space="preserve">Autoritatea Naţională de Reglementare în </w:t>
      </w:r>
      <w:r w:rsidRPr="00BA408B">
        <w:rPr>
          <w:rFonts w:ascii="Palatino Linotype" w:hAnsi="Palatino Linotype"/>
          <w:lang w:val="ro-RO"/>
        </w:rPr>
        <w:t>D</w:t>
      </w:r>
      <w:r w:rsidRPr="009F6BB0">
        <w:rPr>
          <w:rFonts w:ascii="Palatino Linotype" w:hAnsi="Palatino Linotype"/>
          <w:lang w:val="ro-RO"/>
        </w:rPr>
        <w:t xml:space="preserve">omeniul Energiei (ANRE) a anunțat o modificare importantă </w:t>
      </w:r>
      <w:r w:rsidR="006A5752" w:rsidRPr="00BA408B">
        <w:rPr>
          <w:rFonts w:ascii="Palatino Linotype" w:hAnsi="Palatino Linotype"/>
          <w:lang w:val="ro-RO"/>
        </w:rPr>
        <w:t>privind regulile</w:t>
      </w:r>
      <w:r w:rsidRPr="009F6BB0">
        <w:rPr>
          <w:rFonts w:ascii="Palatino Linotype" w:hAnsi="Palatino Linotype"/>
          <w:lang w:val="ro-RO"/>
        </w:rPr>
        <w:t xml:space="preserve"> pentru conectarea noilor capacități de producere a energiei electrice la rețeaua de inter</w:t>
      </w:r>
      <w:r w:rsidR="00D82833">
        <w:rPr>
          <w:rFonts w:ascii="Palatino Linotype" w:hAnsi="Palatino Linotype"/>
          <w:lang w:val="ro-RO"/>
        </w:rPr>
        <w:t>e</w:t>
      </w:r>
      <w:r w:rsidRPr="009F6BB0">
        <w:rPr>
          <w:rFonts w:ascii="Palatino Linotype" w:hAnsi="Palatino Linotype"/>
          <w:lang w:val="ro-RO"/>
        </w:rPr>
        <w:t>s public: termenul limită pentru emiterea garanției financiare a fost extins de la 3 la 12 luni.</w:t>
      </w:r>
    </w:p>
    <w:p w14:paraId="05C12876" w14:textId="6E2AB543" w:rsidR="009F6BB0" w:rsidRPr="009F6BB0" w:rsidRDefault="009F6BB0" w:rsidP="009F6BB0">
      <w:pPr>
        <w:spacing w:after="200" w:line="320" w:lineRule="exact"/>
        <w:jc w:val="both"/>
        <w:rPr>
          <w:rFonts w:ascii="Palatino Linotype" w:hAnsi="Palatino Linotype"/>
          <w:lang w:val="ro-RO"/>
        </w:rPr>
      </w:pPr>
      <w:r w:rsidRPr="009F6BB0">
        <w:rPr>
          <w:rFonts w:ascii="Palatino Linotype" w:hAnsi="Palatino Linotype"/>
          <w:lang w:val="ro-RO"/>
        </w:rPr>
        <w:t xml:space="preserve">În </w:t>
      </w:r>
      <w:r w:rsidRPr="00BA408B">
        <w:rPr>
          <w:rFonts w:ascii="Palatino Linotype" w:hAnsi="Palatino Linotype"/>
          <w:lang w:val="ro-RO"/>
        </w:rPr>
        <w:t>prezent</w:t>
      </w:r>
      <w:r w:rsidRPr="009F6BB0">
        <w:rPr>
          <w:rFonts w:ascii="Palatino Linotype" w:hAnsi="Palatino Linotype"/>
          <w:lang w:val="ro-RO"/>
        </w:rPr>
        <w:t xml:space="preserve">, dacă avizul tehnic de racordare (ATR) condiționează conectarea la rețea de efectuarea lucrărilor de întărire, investitorul trebuie să </w:t>
      </w:r>
      <w:r w:rsidR="009F2843" w:rsidRPr="00BA408B">
        <w:rPr>
          <w:rFonts w:ascii="Palatino Linotype" w:hAnsi="Palatino Linotype"/>
          <w:lang w:val="ro-RO"/>
        </w:rPr>
        <w:t>constituie o garanție financiară î</w:t>
      </w:r>
      <w:r w:rsidRPr="009F6BB0">
        <w:rPr>
          <w:rFonts w:ascii="Palatino Linotype" w:hAnsi="Palatino Linotype"/>
          <w:lang w:val="ro-RO"/>
        </w:rPr>
        <w:t xml:space="preserve">n termen de 3 luni de la emiterea ATR-ului. Respectarea </w:t>
      </w:r>
      <w:r w:rsidR="009F2843" w:rsidRPr="00BA408B">
        <w:rPr>
          <w:rFonts w:ascii="Palatino Linotype" w:hAnsi="Palatino Linotype"/>
          <w:lang w:val="ro-RO"/>
        </w:rPr>
        <w:t>acestui termen</w:t>
      </w:r>
      <w:r w:rsidRPr="009F6BB0">
        <w:rPr>
          <w:rFonts w:ascii="Palatino Linotype" w:hAnsi="Palatino Linotype"/>
          <w:lang w:val="ro-RO"/>
        </w:rPr>
        <w:t xml:space="preserve"> este extrem de importantă, </w:t>
      </w:r>
      <w:r w:rsidR="009F2843" w:rsidRPr="00BA408B">
        <w:rPr>
          <w:rFonts w:ascii="Palatino Linotype" w:hAnsi="Palatino Linotype"/>
          <w:lang w:val="ro-RO"/>
        </w:rPr>
        <w:t xml:space="preserve">în caz contrar valabilitatea ATR-ului încetează automat. </w:t>
      </w:r>
    </w:p>
    <w:p w14:paraId="5E39EAB7" w14:textId="6604BC45" w:rsidR="009F6BB0" w:rsidRPr="009F6BB0" w:rsidRDefault="009F6BB0" w:rsidP="009F6BB0">
      <w:pPr>
        <w:spacing w:after="200" w:line="320" w:lineRule="exact"/>
        <w:jc w:val="both"/>
        <w:rPr>
          <w:rFonts w:ascii="Palatino Linotype" w:hAnsi="Palatino Linotype"/>
          <w:lang w:val="ro-RO"/>
        </w:rPr>
      </w:pPr>
      <w:r w:rsidRPr="009F6BB0">
        <w:rPr>
          <w:rFonts w:ascii="Palatino Linotype" w:hAnsi="Palatino Linotype"/>
          <w:lang w:val="ro-RO"/>
        </w:rPr>
        <w:t>Motivul pentru care s-a impus o astfel de obligație a fost</w:t>
      </w:r>
      <w:r w:rsidR="009F2843" w:rsidRPr="00BA408B">
        <w:rPr>
          <w:rFonts w:ascii="Palatino Linotype" w:hAnsi="Palatino Linotype"/>
          <w:lang w:val="ro-RO"/>
        </w:rPr>
        <w:t xml:space="preserve"> de </w:t>
      </w:r>
      <w:r w:rsidRPr="009F6BB0">
        <w:rPr>
          <w:rFonts w:ascii="Palatino Linotype" w:hAnsi="Palatino Linotype"/>
          <w:lang w:val="ro-RO"/>
        </w:rPr>
        <w:t xml:space="preserve">a elimina </w:t>
      </w:r>
      <w:r w:rsidR="009F2843" w:rsidRPr="00BA408B">
        <w:rPr>
          <w:rFonts w:ascii="Palatino Linotype" w:hAnsi="Palatino Linotype"/>
          <w:lang w:val="ro-RO"/>
        </w:rPr>
        <w:t xml:space="preserve">blocarea capacității rețelei de către </w:t>
      </w:r>
      <w:r w:rsidRPr="009F6BB0">
        <w:rPr>
          <w:rFonts w:ascii="Palatino Linotype" w:hAnsi="Palatino Linotype"/>
          <w:lang w:val="ro-RO"/>
        </w:rPr>
        <w:t xml:space="preserve">dezvoltatori </w:t>
      </w:r>
      <w:r w:rsidR="009F2843" w:rsidRPr="00BA408B">
        <w:rPr>
          <w:rFonts w:ascii="Palatino Linotype" w:hAnsi="Palatino Linotype"/>
          <w:lang w:val="ro-RO"/>
        </w:rPr>
        <w:t xml:space="preserve">care nu au capacitatea </w:t>
      </w:r>
      <w:r w:rsidRPr="009F6BB0">
        <w:rPr>
          <w:rFonts w:ascii="Palatino Linotype" w:hAnsi="Palatino Linotype"/>
          <w:lang w:val="ro-RO"/>
        </w:rPr>
        <w:t xml:space="preserve">financiară </w:t>
      </w:r>
      <w:r w:rsidR="009F2843" w:rsidRPr="00BA408B">
        <w:rPr>
          <w:rFonts w:ascii="Palatino Linotype" w:hAnsi="Palatino Linotype"/>
          <w:lang w:val="ro-RO"/>
        </w:rPr>
        <w:t xml:space="preserve">sau intenția fermă </w:t>
      </w:r>
      <w:r w:rsidRPr="009F6BB0">
        <w:rPr>
          <w:rFonts w:ascii="Palatino Linotype" w:hAnsi="Palatino Linotype"/>
          <w:lang w:val="ro-RO"/>
        </w:rPr>
        <w:t xml:space="preserve">de a </w:t>
      </w:r>
      <w:r w:rsidR="000F6A54" w:rsidRPr="00BA408B">
        <w:rPr>
          <w:rFonts w:ascii="Palatino Linotype" w:hAnsi="Palatino Linotype"/>
          <w:lang w:val="ro-RO"/>
        </w:rPr>
        <w:t>construi proiectul</w:t>
      </w:r>
      <w:r w:rsidRPr="009F6BB0">
        <w:rPr>
          <w:rFonts w:ascii="Palatino Linotype" w:hAnsi="Palatino Linotype"/>
          <w:lang w:val="ro-RO"/>
        </w:rPr>
        <w:t xml:space="preserve">. O astfel de soluție legislativă s-a bazat și pe experiența </w:t>
      </w:r>
      <w:r w:rsidR="000F6A54" w:rsidRPr="00BA408B">
        <w:rPr>
          <w:rFonts w:ascii="Palatino Linotype" w:hAnsi="Palatino Linotype"/>
          <w:lang w:val="ro-RO"/>
        </w:rPr>
        <w:t>“</w:t>
      </w:r>
      <w:r w:rsidRPr="009F6BB0">
        <w:rPr>
          <w:rFonts w:ascii="Palatino Linotype" w:hAnsi="Palatino Linotype"/>
          <w:lang w:val="ro-RO"/>
        </w:rPr>
        <w:t xml:space="preserve">primului val de </w:t>
      </w:r>
      <w:r w:rsidR="000F6A54" w:rsidRPr="00BA408B">
        <w:rPr>
          <w:rFonts w:ascii="Palatino Linotype" w:hAnsi="Palatino Linotype"/>
          <w:lang w:val="ro-RO"/>
        </w:rPr>
        <w:t>regenerabile”</w:t>
      </w:r>
      <w:r w:rsidRPr="009F6BB0">
        <w:rPr>
          <w:rFonts w:ascii="Palatino Linotype" w:hAnsi="Palatino Linotype"/>
          <w:lang w:val="ro-RO"/>
        </w:rPr>
        <w:t xml:space="preserve">, când, din aproape 30.000 MW </w:t>
      </w:r>
      <w:r w:rsidR="000F6A54" w:rsidRPr="00BA408B">
        <w:rPr>
          <w:rFonts w:ascii="Palatino Linotype" w:hAnsi="Palatino Linotype"/>
          <w:lang w:val="ro-RO"/>
        </w:rPr>
        <w:t xml:space="preserve">de </w:t>
      </w:r>
      <w:r w:rsidRPr="009F6BB0">
        <w:rPr>
          <w:rFonts w:ascii="Palatino Linotype" w:hAnsi="Palatino Linotype"/>
          <w:lang w:val="ro-RO"/>
        </w:rPr>
        <w:t>ATR-uri</w:t>
      </w:r>
      <w:r w:rsidR="000F6A54" w:rsidRPr="00BA408B">
        <w:rPr>
          <w:rFonts w:ascii="Palatino Linotype" w:hAnsi="Palatino Linotype"/>
          <w:lang w:val="ro-RO"/>
        </w:rPr>
        <w:t xml:space="preserve"> </w:t>
      </w:r>
      <w:r w:rsidRPr="009F6BB0">
        <w:rPr>
          <w:rFonts w:ascii="Palatino Linotype" w:hAnsi="Palatino Linotype"/>
          <w:lang w:val="ro-RO"/>
        </w:rPr>
        <w:t xml:space="preserve">emise, în jur de 3.000 MW au fost efectiv </w:t>
      </w:r>
      <w:r w:rsidR="000F6A54" w:rsidRPr="00BA408B">
        <w:rPr>
          <w:rFonts w:ascii="Palatino Linotype" w:hAnsi="Palatino Linotype"/>
          <w:lang w:val="ro-RO"/>
        </w:rPr>
        <w:t>construi</w:t>
      </w:r>
      <w:r w:rsidR="00AA2241" w:rsidRPr="00BA408B">
        <w:rPr>
          <w:rFonts w:ascii="Palatino Linotype" w:hAnsi="Palatino Linotype"/>
          <w:lang w:val="ro-RO"/>
        </w:rPr>
        <w:t>ți</w:t>
      </w:r>
      <w:r w:rsidRPr="009F6BB0">
        <w:rPr>
          <w:rFonts w:ascii="Palatino Linotype" w:hAnsi="Palatino Linotype"/>
          <w:lang w:val="ro-RO"/>
        </w:rPr>
        <w:t>.</w:t>
      </w:r>
    </w:p>
    <w:p w14:paraId="6EEE62FE" w14:textId="79FF9657" w:rsidR="009F6BB0" w:rsidRPr="009F6BB0" w:rsidRDefault="009F6BB0" w:rsidP="009F6BB0">
      <w:pPr>
        <w:spacing w:after="200" w:line="320" w:lineRule="exact"/>
        <w:jc w:val="both"/>
        <w:rPr>
          <w:rFonts w:ascii="Palatino Linotype" w:hAnsi="Palatino Linotype"/>
          <w:lang w:val="ro-RO"/>
        </w:rPr>
      </w:pPr>
      <w:r w:rsidRPr="009F6BB0">
        <w:rPr>
          <w:rFonts w:ascii="Palatino Linotype" w:hAnsi="Palatino Linotype"/>
          <w:lang w:val="ro-RO"/>
        </w:rPr>
        <w:t xml:space="preserve">Drept urmare, măsura are un impact pozitiv </w:t>
      </w:r>
      <w:r w:rsidR="00D82833">
        <w:rPr>
          <w:rFonts w:ascii="Palatino Linotype" w:hAnsi="Palatino Linotype"/>
          <w:lang w:val="ro-RO"/>
        </w:rPr>
        <w:t xml:space="preserve">asupra </w:t>
      </w:r>
      <w:r w:rsidR="00AA2241" w:rsidRPr="00BA408B">
        <w:rPr>
          <w:rFonts w:ascii="Palatino Linotype" w:hAnsi="Palatino Linotype"/>
          <w:lang w:val="ro-RO"/>
        </w:rPr>
        <w:t>conectării</w:t>
      </w:r>
      <w:r w:rsidRPr="009F6BB0">
        <w:rPr>
          <w:rFonts w:ascii="Palatino Linotype" w:hAnsi="Palatino Linotype"/>
          <w:lang w:val="ro-RO"/>
        </w:rPr>
        <w:t xml:space="preserve"> la rețea.</w:t>
      </w:r>
    </w:p>
    <w:p w14:paraId="4A58956C" w14:textId="5D31799E" w:rsidR="009F6BB0" w:rsidRPr="009F6BB0" w:rsidRDefault="009F6BB0" w:rsidP="009F6BB0">
      <w:pPr>
        <w:spacing w:after="200" w:line="320" w:lineRule="exact"/>
        <w:jc w:val="both"/>
        <w:rPr>
          <w:rFonts w:ascii="Palatino Linotype" w:hAnsi="Palatino Linotype"/>
          <w:lang w:val="ro-RO"/>
        </w:rPr>
      </w:pPr>
      <w:r w:rsidRPr="009F6BB0">
        <w:rPr>
          <w:rFonts w:ascii="Palatino Linotype" w:hAnsi="Palatino Linotype"/>
          <w:lang w:val="ro-RO"/>
        </w:rPr>
        <w:t xml:space="preserve">Cu toate acestea, în practică, respectarea termenului de 3 luni </w:t>
      </w:r>
      <w:r w:rsidR="00AA2241" w:rsidRPr="00BA408B">
        <w:rPr>
          <w:rFonts w:ascii="Palatino Linotype" w:hAnsi="Palatino Linotype"/>
          <w:lang w:val="ro-RO"/>
        </w:rPr>
        <w:t xml:space="preserve">s-a dovedit a fi o provocare </w:t>
      </w:r>
      <w:r w:rsidRPr="009F6BB0">
        <w:rPr>
          <w:rFonts w:ascii="Palatino Linotype" w:hAnsi="Palatino Linotype"/>
          <w:lang w:val="ro-RO"/>
        </w:rPr>
        <w:t>chiar și pentru investitori</w:t>
      </w:r>
      <w:r w:rsidR="00AA2241" w:rsidRPr="00BA408B">
        <w:rPr>
          <w:rFonts w:ascii="Palatino Linotype" w:hAnsi="Palatino Linotype"/>
          <w:lang w:val="ro-RO"/>
        </w:rPr>
        <w:t>i</w:t>
      </w:r>
      <w:r w:rsidRPr="009F6BB0">
        <w:rPr>
          <w:rFonts w:ascii="Palatino Linotype" w:hAnsi="Palatino Linotype"/>
          <w:lang w:val="ro-RO"/>
        </w:rPr>
        <w:t xml:space="preserve"> </w:t>
      </w:r>
      <w:r w:rsidR="009324F0" w:rsidRPr="00BA408B">
        <w:rPr>
          <w:rFonts w:ascii="Palatino Linotype" w:hAnsi="Palatino Linotype"/>
          <w:lang w:val="ro-RO"/>
        </w:rPr>
        <w:t xml:space="preserve">care au capacitatea financiară și sunt deciși să </w:t>
      </w:r>
      <w:r w:rsidRPr="009F6BB0">
        <w:rPr>
          <w:rFonts w:ascii="Palatino Linotype" w:hAnsi="Palatino Linotype"/>
          <w:lang w:val="ro-RO"/>
        </w:rPr>
        <w:t>implementeze proiectele.</w:t>
      </w:r>
    </w:p>
    <w:p w14:paraId="4369207C" w14:textId="3A05DCB6" w:rsidR="009F6BB0" w:rsidRPr="009F6BB0" w:rsidRDefault="009324F0" w:rsidP="009F6BB0">
      <w:pPr>
        <w:spacing w:after="200" w:line="320" w:lineRule="exact"/>
        <w:jc w:val="both"/>
        <w:rPr>
          <w:rFonts w:ascii="Palatino Linotype" w:hAnsi="Palatino Linotype"/>
          <w:lang w:val="ro-RO"/>
        </w:rPr>
      </w:pPr>
      <w:r w:rsidRPr="00BA408B">
        <w:rPr>
          <w:rFonts w:ascii="Palatino Linotype" w:hAnsi="Palatino Linotype"/>
          <w:lang w:val="ro-RO"/>
        </w:rPr>
        <w:t xml:space="preserve">Astfel, textul </w:t>
      </w:r>
      <w:r w:rsidR="009F6BB0" w:rsidRPr="009F6BB0">
        <w:rPr>
          <w:rFonts w:ascii="Palatino Linotype" w:hAnsi="Palatino Linotype"/>
          <w:lang w:val="ro-RO"/>
        </w:rPr>
        <w:t xml:space="preserve">garanției trebuie să fie </w:t>
      </w:r>
      <w:r w:rsidRPr="00BA408B">
        <w:rPr>
          <w:rFonts w:ascii="Palatino Linotype" w:hAnsi="Palatino Linotype"/>
          <w:lang w:val="ro-RO"/>
        </w:rPr>
        <w:t>agreat</w:t>
      </w:r>
      <w:r w:rsidR="009F6BB0" w:rsidRPr="009F6BB0">
        <w:rPr>
          <w:rFonts w:ascii="Palatino Linotype" w:hAnsi="Palatino Linotype"/>
          <w:lang w:val="ro-RO"/>
        </w:rPr>
        <w:t xml:space="preserve"> în prealabil atât cu banca emitentă, cât și cu operatorul de rețea, </w:t>
      </w:r>
      <w:r w:rsidR="001F121B" w:rsidRPr="00BA408B">
        <w:rPr>
          <w:rFonts w:ascii="Palatino Linotype" w:hAnsi="Palatino Linotype"/>
          <w:lang w:val="ro-RO"/>
        </w:rPr>
        <w:t xml:space="preserve">proces care </w:t>
      </w:r>
      <w:r w:rsidR="009F6BB0" w:rsidRPr="009F6BB0">
        <w:rPr>
          <w:rFonts w:ascii="Palatino Linotype" w:hAnsi="Palatino Linotype"/>
          <w:lang w:val="ro-RO"/>
        </w:rPr>
        <w:t xml:space="preserve">poate </w:t>
      </w:r>
      <w:r w:rsidR="00A43C2C" w:rsidRPr="00BA408B">
        <w:rPr>
          <w:rFonts w:ascii="Palatino Linotype" w:hAnsi="Palatino Linotype"/>
          <w:lang w:val="ro-RO"/>
        </w:rPr>
        <w:t>fi</w:t>
      </w:r>
      <w:r w:rsidR="009F6BB0" w:rsidRPr="009F6BB0">
        <w:rPr>
          <w:rFonts w:ascii="Palatino Linotype" w:hAnsi="Palatino Linotype"/>
          <w:lang w:val="ro-RO"/>
        </w:rPr>
        <w:t xml:space="preserve"> îndelungat. În unele cazuri, am primit puncte de vedere diferite de la </w:t>
      </w:r>
      <w:r w:rsidR="00617C16" w:rsidRPr="00BA408B">
        <w:rPr>
          <w:rFonts w:ascii="Palatino Linotype" w:hAnsi="Palatino Linotype"/>
          <w:lang w:val="ro-RO"/>
        </w:rPr>
        <w:t>diverse</w:t>
      </w:r>
      <w:r w:rsidR="009F6BB0" w:rsidRPr="009F6BB0">
        <w:rPr>
          <w:rFonts w:ascii="Palatino Linotype" w:hAnsi="Palatino Linotype"/>
          <w:lang w:val="ro-RO"/>
        </w:rPr>
        <w:t xml:space="preserve"> departamente ale aceluiași operator, </w:t>
      </w:r>
      <w:r w:rsidR="00617C16" w:rsidRPr="00BA408B">
        <w:rPr>
          <w:rFonts w:ascii="Palatino Linotype" w:hAnsi="Palatino Linotype"/>
          <w:lang w:val="ro-RO"/>
        </w:rPr>
        <w:t xml:space="preserve">fapt ce a întârziat </w:t>
      </w:r>
      <w:r w:rsidR="009F6BB0" w:rsidRPr="009F6BB0">
        <w:rPr>
          <w:rFonts w:ascii="Palatino Linotype" w:hAnsi="Palatino Linotype"/>
          <w:lang w:val="ro-RO"/>
        </w:rPr>
        <w:t xml:space="preserve">și mai mult procesul. De asemenea, în cazul în care garanția bancară este emisă de o bancă locală pe baza unei contragaranții </w:t>
      </w:r>
      <w:r w:rsidR="00617C16" w:rsidRPr="00BA408B">
        <w:rPr>
          <w:rFonts w:ascii="Palatino Linotype" w:hAnsi="Palatino Linotype"/>
          <w:lang w:val="ro-RO"/>
        </w:rPr>
        <w:t>emise de o bancă străină,</w:t>
      </w:r>
      <w:r w:rsidR="009F6BB0" w:rsidRPr="009F6BB0">
        <w:rPr>
          <w:rFonts w:ascii="Palatino Linotype" w:hAnsi="Palatino Linotype"/>
          <w:lang w:val="ro-RO"/>
        </w:rPr>
        <w:t xml:space="preserve"> un astfel de proces bancar intern </w:t>
      </w:r>
      <w:r w:rsidR="00617C16" w:rsidRPr="00BA408B">
        <w:rPr>
          <w:rFonts w:ascii="Palatino Linotype" w:hAnsi="Palatino Linotype"/>
          <w:lang w:val="ro-RO"/>
        </w:rPr>
        <w:t xml:space="preserve">cauzează </w:t>
      </w:r>
      <w:r w:rsidR="009F6BB0" w:rsidRPr="009F6BB0">
        <w:rPr>
          <w:rFonts w:ascii="Palatino Linotype" w:hAnsi="Palatino Linotype"/>
          <w:lang w:val="ro-RO"/>
        </w:rPr>
        <w:t>și mai multe întârzieri.</w:t>
      </w:r>
    </w:p>
    <w:p w14:paraId="330FFD21" w14:textId="14B490FB" w:rsidR="009F6BB0" w:rsidRPr="009F6BB0" w:rsidRDefault="009F6BB0" w:rsidP="009F6BB0">
      <w:pPr>
        <w:spacing w:after="200" w:line="320" w:lineRule="exact"/>
        <w:jc w:val="both"/>
        <w:rPr>
          <w:rFonts w:ascii="Palatino Linotype" w:hAnsi="Palatino Linotype"/>
          <w:lang w:val="ro-RO"/>
        </w:rPr>
      </w:pPr>
      <w:r w:rsidRPr="009F6BB0">
        <w:rPr>
          <w:rFonts w:ascii="Palatino Linotype" w:hAnsi="Palatino Linotype"/>
          <w:lang w:val="ro-RO"/>
        </w:rPr>
        <w:t xml:space="preserve">În alte cazuri, dacă prin ATR se estimează </w:t>
      </w:r>
      <w:r w:rsidR="00617C16" w:rsidRPr="00BA408B">
        <w:rPr>
          <w:rFonts w:ascii="Palatino Linotype" w:hAnsi="Palatino Linotype"/>
          <w:lang w:val="ro-RO"/>
        </w:rPr>
        <w:t>termene îndelungate</w:t>
      </w:r>
      <w:r w:rsidRPr="009F6BB0">
        <w:rPr>
          <w:rFonts w:ascii="Palatino Linotype" w:hAnsi="Palatino Linotype"/>
          <w:lang w:val="ro-RO"/>
        </w:rPr>
        <w:t xml:space="preserve"> de realizare a lucrărilor de întărire (cum este tot mai des cazul</w:t>
      </w:r>
      <w:r w:rsidR="00617C16" w:rsidRPr="00BA408B">
        <w:rPr>
          <w:rFonts w:ascii="Palatino Linotype" w:hAnsi="Palatino Linotype"/>
          <w:lang w:val="ro-RO"/>
        </w:rPr>
        <w:t xml:space="preserve"> în ultima perioadă</w:t>
      </w:r>
      <w:r w:rsidRPr="009F6BB0">
        <w:rPr>
          <w:rFonts w:ascii="Palatino Linotype" w:hAnsi="Palatino Linotype"/>
          <w:lang w:val="ro-RO"/>
        </w:rPr>
        <w:t xml:space="preserve">), investitorii preferă să aștepte încheierea contractului de racordare până spre sfârșitul perioadei maxime permise (12 luni de la emiterea ATR-ului), pentru a avea o predictibilitate mai mare în ceea ce privește termenele de </w:t>
      </w:r>
      <w:r w:rsidR="00617C16" w:rsidRPr="00BA408B">
        <w:rPr>
          <w:rFonts w:ascii="Palatino Linotype" w:hAnsi="Palatino Linotype"/>
          <w:lang w:val="ro-RO"/>
        </w:rPr>
        <w:t>întărire</w:t>
      </w:r>
      <w:r w:rsidRPr="009F6BB0">
        <w:rPr>
          <w:rFonts w:ascii="Palatino Linotype" w:hAnsi="Palatino Linotype"/>
          <w:lang w:val="ro-RO"/>
        </w:rPr>
        <w:t xml:space="preserve"> a rețelei </w:t>
      </w:r>
      <w:r w:rsidR="00312EC1" w:rsidRPr="00BA408B">
        <w:rPr>
          <w:rFonts w:ascii="Palatino Linotype" w:hAnsi="Palatino Linotype"/>
          <w:lang w:val="ro-RO"/>
        </w:rPr>
        <w:t xml:space="preserve">asumate </w:t>
      </w:r>
      <w:r w:rsidRPr="009F6BB0">
        <w:rPr>
          <w:rFonts w:ascii="Palatino Linotype" w:hAnsi="Palatino Linotype"/>
          <w:lang w:val="ro-RO"/>
        </w:rPr>
        <w:t>de către operatori.</w:t>
      </w:r>
      <w:r w:rsidRPr="009F6BB0">
        <w:rPr>
          <w:rFonts w:ascii="Palatino Linotype" w:hAnsi="Palatino Linotype"/>
          <w:b/>
          <w:bCs/>
          <w:lang w:val="ro-RO"/>
        </w:rPr>
        <w:t> </w:t>
      </w:r>
      <w:r w:rsidRPr="009F6BB0">
        <w:rPr>
          <w:rFonts w:ascii="Palatino Linotype" w:hAnsi="Palatino Linotype"/>
          <w:lang w:val="ro-RO"/>
        </w:rPr>
        <w:t xml:space="preserve">Or termenul limită de 3 luni </w:t>
      </w:r>
      <w:r w:rsidR="00312EC1" w:rsidRPr="00BA408B">
        <w:rPr>
          <w:rFonts w:ascii="Palatino Linotype" w:hAnsi="Palatino Linotype"/>
          <w:lang w:val="ro-RO"/>
        </w:rPr>
        <w:t xml:space="preserve">atrage necesitatea unui </w:t>
      </w:r>
      <w:r w:rsidRPr="009F6BB0">
        <w:rPr>
          <w:rFonts w:ascii="Palatino Linotype" w:hAnsi="Palatino Linotype"/>
          <w:lang w:val="ro-RO"/>
        </w:rPr>
        <w:t xml:space="preserve">angajament financiar mult mai devreme. </w:t>
      </w:r>
      <w:r w:rsidR="00312EC1" w:rsidRPr="00BA408B">
        <w:rPr>
          <w:rFonts w:ascii="Palatino Linotype" w:hAnsi="Palatino Linotype"/>
          <w:lang w:val="ro-RO"/>
        </w:rPr>
        <w:t>Acest angajament</w:t>
      </w:r>
      <w:r w:rsidRPr="009F6BB0">
        <w:rPr>
          <w:rFonts w:ascii="Palatino Linotype" w:hAnsi="Palatino Linotype"/>
          <w:lang w:val="ro-RO"/>
        </w:rPr>
        <w:t xml:space="preserve"> poate fi </w:t>
      </w:r>
      <w:r w:rsidR="00D82833" w:rsidRPr="009F6BB0">
        <w:rPr>
          <w:rFonts w:ascii="Palatino Linotype" w:hAnsi="Palatino Linotype"/>
          <w:lang w:val="ro-RO"/>
        </w:rPr>
        <w:t>s</w:t>
      </w:r>
      <w:r w:rsidR="00D82833">
        <w:rPr>
          <w:rFonts w:ascii="Palatino Linotype" w:hAnsi="Palatino Linotype"/>
          <w:lang w:val="ro-RO"/>
        </w:rPr>
        <w:softHyphen/>
      </w:r>
      <w:r w:rsidR="00D82833">
        <w:rPr>
          <w:rFonts w:ascii="Palatino Linotype" w:hAnsi="Palatino Linotype"/>
          <w:lang w:val="ro-RO"/>
        </w:rPr>
        <w:softHyphen/>
      </w:r>
      <w:r w:rsidR="00D82833" w:rsidRPr="009F6BB0">
        <w:rPr>
          <w:rFonts w:ascii="Palatino Linotype" w:hAnsi="Palatino Linotype"/>
          <w:lang w:val="ro-RO"/>
        </w:rPr>
        <w:t>ubstanțial</w:t>
      </w:r>
      <w:r w:rsidR="00312EC1" w:rsidRPr="00BA408B">
        <w:rPr>
          <w:rFonts w:ascii="Palatino Linotype" w:hAnsi="Palatino Linotype"/>
          <w:lang w:val="ro-RO"/>
        </w:rPr>
        <w:t>,</w:t>
      </w:r>
      <w:r w:rsidRPr="009F6BB0">
        <w:rPr>
          <w:rFonts w:ascii="Palatino Linotype" w:hAnsi="Palatino Linotype"/>
          <w:lang w:val="ro-RO"/>
        </w:rPr>
        <w:t xml:space="preserve"> având în vedere </w:t>
      </w:r>
      <w:r w:rsidRPr="009F6BB0">
        <w:rPr>
          <w:rFonts w:ascii="Palatino Linotype" w:hAnsi="Palatino Linotype"/>
          <w:lang w:val="ro-RO"/>
        </w:rPr>
        <w:lastRenderedPageBreak/>
        <w:t xml:space="preserve">că </w:t>
      </w:r>
      <w:r w:rsidR="00312EC1" w:rsidRPr="00BA408B">
        <w:rPr>
          <w:rFonts w:ascii="Palatino Linotype" w:hAnsi="Palatino Linotype"/>
          <w:lang w:val="ro-RO"/>
        </w:rPr>
        <w:t xml:space="preserve">valoarea garanției </w:t>
      </w:r>
      <w:r w:rsidRPr="009F6BB0">
        <w:rPr>
          <w:rFonts w:ascii="Palatino Linotype" w:hAnsi="Palatino Linotype"/>
          <w:lang w:val="ro-RO"/>
        </w:rPr>
        <w:t xml:space="preserve">poate ajunge până la 20% din valoarea tarifului de racordare (procentul exact </w:t>
      </w:r>
      <w:r w:rsidR="00312EC1" w:rsidRPr="00BA408B">
        <w:rPr>
          <w:rFonts w:ascii="Palatino Linotype" w:hAnsi="Palatino Linotype"/>
          <w:lang w:val="ro-RO"/>
        </w:rPr>
        <w:t>fiind</w:t>
      </w:r>
      <w:r w:rsidRPr="009F6BB0">
        <w:rPr>
          <w:rFonts w:ascii="Palatino Linotype" w:hAnsi="Palatino Linotype"/>
          <w:lang w:val="ro-RO"/>
        </w:rPr>
        <w:t xml:space="preserve"> decis de operator prin ATR).</w:t>
      </w:r>
    </w:p>
    <w:p w14:paraId="2B414C09" w14:textId="7F4057D6" w:rsidR="00BC6B20" w:rsidRPr="00BA408B" w:rsidRDefault="00BC6B20" w:rsidP="009F6BB0">
      <w:pPr>
        <w:spacing w:after="200" w:line="320" w:lineRule="exact"/>
        <w:jc w:val="both"/>
        <w:rPr>
          <w:rFonts w:ascii="Palatino Linotype" w:hAnsi="Palatino Linotype"/>
          <w:lang w:val="ro-RO"/>
        </w:rPr>
      </w:pPr>
      <w:r w:rsidRPr="00BA408B">
        <w:rPr>
          <w:rFonts w:ascii="Palatino Linotype" w:hAnsi="Palatino Linotype"/>
          <w:color w:val="242424"/>
          <w:shd w:val="clear" w:color="auto" w:fill="FFFFFF"/>
          <w:lang w:val="ro-RO"/>
        </w:rPr>
        <w:t xml:space="preserve">În altă ordine de idei, corelarea termenului limită de emitere a garanției financiare cu cel de încheiere a contractului de racordare elimină incertitudinile existente legate de punerea în executare a garanției: poate fi garanția executată doar dacă investitorul (i) nu depune la operator cererea/documentația pentru încheierea contractului de racordare (astfel cum este precizat în regulamentul de racordare) sau și (ii) dacă, ulterior depunerii documentației complete, investitorul nu semnează efectiv contractul de racordare (care este o etapă ulterioară, având loc după ce cuprinsului contractului de racordare este agreat cu </w:t>
      </w:r>
      <w:r w:rsidR="00BA408B" w:rsidRPr="00BA408B">
        <w:rPr>
          <w:rFonts w:ascii="Palatino Linotype" w:hAnsi="Palatino Linotype"/>
          <w:color w:val="242424"/>
          <w:shd w:val="clear" w:color="auto" w:fill="FFFFFF"/>
          <w:lang w:val="ro-RO"/>
        </w:rPr>
        <w:t>operatorul</w:t>
      </w:r>
      <w:r w:rsidRPr="00BA408B">
        <w:rPr>
          <w:rFonts w:ascii="Palatino Linotype" w:hAnsi="Palatino Linotype"/>
          <w:color w:val="242424"/>
          <w:shd w:val="clear" w:color="auto" w:fill="FFFFFF"/>
          <w:lang w:val="ro-RO"/>
        </w:rPr>
        <w:t>).</w:t>
      </w:r>
    </w:p>
    <w:p w14:paraId="076EAACA" w14:textId="7EB61B46" w:rsidR="009F6BB0" w:rsidRPr="009F6BB0" w:rsidRDefault="009F6BB0" w:rsidP="009F6BB0">
      <w:pPr>
        <w:spacing w:after="200" w:line="320" w:lineRule="exact"/>
        <w:jc w:val="both"/>
        <w:rPr>
          <w:rFonts w:ascii="Palatino Linotype" w:hAnsi="Palatino Linotype"/>
          <w:lang w:val="ro-RO"/>
        </w:rPr>
      </w:pPr>
      <w:r w:rsidRPr="009F6BB0">
        <w:rPr>
          <w:rFonts w:ascii="Palatino Linotype" w:hAnsi="Palatino Linotype"/>
          <w:lang w:val="ro-RO"/>
        </w:rPr>
        <w:t xml:space="preserve">Din perspectiva </w:t>
      </w:r>
      <w:r w:rsidR="00312EC1" w:rsidRPr="00BA408B">
        <w:rPr>
          <w:rFonts w:ascii="Palatino Linotype" w:hAnsi="Palatino Linotype"/>
          <w:lang w:val="ro-RO"/>
        </w:rPr>
        <w:t xml:space="preserve">celor </w:t>
      </w:r>
      <w:r w:rsidRPr="009F6BB0">
        <w:rPr>
          <w:rFonts w:ascii="Palatino Linotype" w:hAnsi="Palatino Linotype"/>
          <w:lang w:val="ro-RO"/>
        </w:rPr>
        <w:t xml:space="preserve">de mai sus, extinderea termenului este bine-venită. Pe de altă parte, un termen așa generos poate crea presiune </w:t>
      </w:r>
      <w:r w:rsidR="00312EC1" w:rsidRPr="00BA408B">
        <w:rPr>
          <w:rFonts w:ascii="Palatino Linotype" w:hAnsi="Palatino Linotype"/>
          <w:lang w:val="ro-RO"/>
        </w:rPr>
        <w:t xml:space="preserve">artificială </w:t>
      </w:r>
      <w:r w:rsidRPr="009F6BB0">
        <w:rPr>
          <w:rFonts w:ascii="Palatino Linotype" w:hAnsi="Palatino Linotype"/>
          <w:lang w:val="ro-RO"/>
        </w:rPr>
        <w:t>asupra capacității rețelei din cauza proiectelor care nu vor vedea niciodată lumina zilei. Acest lucru, la rândul său, v</w:t>
      </w:r>
      <w:r w:rsidR="00312EC1" w:rsidRPr="00BA408B">
        <w:rPr>
          <w:rFonts w:ascii="Palatino Linotype" w:hAnsi="Palatino Linotype"/>
          <w:lang w:val="ro-RO"/>
        </w:rPr>
        <w:t xml:space="preserve">a conduce la înăsprirea condițiilor și a costurilor </w:t>
      </w:r>
      <w:r w:rsidRPr="009F6BB0">
        <w:rPr>
          <w:rFonts w:ascii="Palatino Linotype" w:hAnsi="Palatino Linotype"/>
          <w:lang w:val="ro-RO"/>
        </w:rPr>
        <w:t xml:space="preserve">de întărire a rețelei în viitoarele ATR-uri. </w:t>
      </w:r>
      <w:r w:rsidR="00710185" w:rsidRPr="00BA408B">
        <w:rPr>
          <w:rFonts w:ascii="Palatino Linotype" w:hAnsi="Palatino Linotype"/>
          <w:lang w:val="ro-RO"/>
        </w:rPr>
        <w:t>Da fapt</w:t>
      </w:r>
      <w:r w:rsidRPr="009F6BB0">
        <w:rPr>
          <w:rFonts w:ascii="Palatino Linotype" w:hAnsi="Palatino Linotype"/>
          <w:lang w:val="ro-RO"/>
        </w:rPr>
        <w:t xml:space="preserve">, </w:t>
      </w:r>
      <w:r w:rsidR="00710185" w:rsidRPr="00BA408B">
        <w:rPr>
          <w:rFonts w:ascii="Palatino Linotype" w:hAnsi="Palatino Linotype"/>
          <w:lang w:val="ro-RO"/>
        </w:rPr>
        <w:t>acest</w:t>
      </w:r>
      <w:r w:rsidRPr="009F6BB0">
        <w:rPr>
          <w:rFonts w:ascii="Palatino Linotype" w:hAnsi="Palatino Linotype"/>
          <w:lang w:val="ro-RO"/>
        </w:rPr>
        <w:t xml:space="preserve"> blocaj al capacității rețelei este de ceva timp una dintre principalele </w:t>
      </w:r>
      <w:r w:rsidR="00C74054" w:rsidRPr="00BA408B">
        <w:rPr>
          <w:rFonts w:ascii="Palatino Linotype" w:hAnsi="Palatino Linotype"/>
          <w:lang w:val="ro-RO"/>
        </w:rPr>
        <w:t>probleme ridicate de jucătorii din industrie</w:t>
      </w:r>
      <w:r w:rsidRPr="009F6BB0">
        <w:rPr>
          <w:rFonts w:ascii="Palatino Linotype" w:hAnsi="Palatino Linotype"/>
          <w:lang w:val="ro-RO"/>
        </w:rPr>
        <w:t>.</w:t>
      </w:r>
    </w:p>
    <w:p w14:paraId="3B9ACC05" w14:textId="6E46E982" w:rsidR="009F6BB0" w:rsidRPr="009F6BB0" w:rsidRDefault="009F6BB0" w:rsidP="009F6BB0">
      <w:pPr>
        <w:spacing w:after="200" w:line="320" w:lineRule="exact"/>
        <w:jc w:val="both"/>
        <w:rPr>
          <w:rFonts w:ascii="Palatino Linotype" w:hAnsi="Palatino Linotype"/>
          <w:lang w:val="ro-RO"/>
        </w:rPr>
      </w:pPr>
      <w:r w:rsidRPr="009F6BB0">
        <w:rPr>
          <w:rFonts w:ascii="Palatino Linotype" w:hAnsi="Palatino Linotype"/>
          <w:lang w:val="ro-RO"/>
        </w:rPr>
        <w:t>În ceea ce privește momentul în care noile prevederi vor deveni aplicabile, ordinul ANRE va fi  publicat</w:t>
      </w:r>
      <w:r w:rsidR="00C74054" w:rsidRPr="00BA408B">
        <w:rPr>
          <w:rFonts w:ascii="Palatino Linotype" w:hAnsi="Palatino Linotype"/>
          <w:lang w:val="ro-RO"/>
        </w:rPr>
        <w:t xml:space="preserve"> în scurt timp</w:t>
      </w:r>
      <w:r w:rsidRPr="009F6BB0">
        <w:rPr>
          <w:rFonts w:ascii="Palatino Linotype" w:hAnsi="Palatino Linotype"/>
          <w:lang w:val="ro-RO"/>
        </w:rPr>
        <w:t xml:space="preserve"> în Monitorul Oficial și va intra în vigoare (cel mai probabil) de la </w:t>
      </w:r>
      <w:r w:rsidR="00C74054" w:rsidRPr="00BA408B">
        <w:rPr>
          <w:rFonts w:ascii="Palatino Linotype" w:hAnsi="Palatino Linotype"/>
          <w:lang w:val="ro-RO"/>
        </w:rPr>
        <w:t xml:space="preserve">data </w:t>
      </w:r>
      <w:r w:rsidRPr="009F6BB0">
        <w:rPr>
          <w:rFonts w:ascii="Palatino Linotype" w:hAnsi="Palatino Linotype"/>
          <w:lang w:val="ro-RO"/>
        </w:rPr>
        <w:t>public</w:t>
      </w:r>
      <w:r w:rsidR="00C74054" w:rsidRPr="00BA408B">
        <w:rPr>
          <w:rFonts w:ascii="Palatino Linotype" w:hAnsi="Palatino Linotype"/>
          <w:lang w:val="ro-RO"/>
        </w:rPr>
        <w:t>ării</w:t>
      </w:r>
      <w:r w:rsidRPr="009F6BB0">
        <w:rPr>
          <w:rFonts w:ascii="Palatino Linotype" w:hAnsi="Palatino Linotype"/>
          <w:lang w:val="ro-RO"/>
        </w:rPr>
        <w:t>.</w:t>
      </w:r>
    </w:p>
    <w:p w14:paraId="3C919DFB" w14:textId="2382A21D" w:rsidR="009F6BB0" w:rsidRPr="009F6BB0" w:rsidRDefault="009F6BB0" w:rsidP="009F6BB0">
      <w:pPr>
        <w:spacing w:after="200" w:line="320" w:lineRule="exact"/>
        <w:jc w:val="both"/>
        <w:rPr>
          <w:rFonts w:ascii="Palatino Linotype" w:hAnsi="Palatino Linotype"/>
          <w:lang w:val="ro-RO"/>
        </w:rPr>
      </w:pPr>
      <w:r w:rsidRPr="009F6BB0">
        <w:rPr>
          <w:rFonts w:ascii="Palatino Linotype" w:hAnsi="Palatino Linotype"/>
          <w:lang w:val="ro-RO"/>
        </w:rPr>
        <w:t>De asemenea, a</w:t>
      </w:r>
      <w:r w:rsidR="00C74054" w:rsidRPr="00BA408B">
        <w:rPr>
          <w:rFonts w:ascii="Palatino Linotype" w:hAnsi="Palatino Linotype"/>
          <w:lang w:val="ro-RO"/>
        </w:rPr>
        <w:t xml:space="preserve">șa </w:t>
      </w:r>
      <w:r w:rsidRPr="009F6BB0">
        <w:rPr>
          <w:rFonts w:ascii="Palatino Linotype" w:hAnsi="Palatino Linotype"/>
          <w:lang w:val="ro-RO"/>
        </w:rPr>
        <w:t xml:space="preserve">cum </w:t>
      </w:r>
      <w:r w:rsidR="00C74054" w:rsidRPr="00BA408B">
        <w:rPr>
          <w:rFonts w:ascii="Palatino Linotype" w:hAnsi="Palatino Linotype"/>
          <w:lang w:val="ro-RO"/>
        </w:rPr>
        <w:t xml:space="preserve">ne-a obișnuit </w:t>
      </w:r>
      <w:r w:rsidRPr="009F6BB0">
        <w:rPr>
          <w:rFonts w:ascii="Palatino Linotype" w:hAnsi="Palatino Linotype"/>
          <w:lang w:val="ro-RO"/>
        </w:rPr>
        <w:t xml:space="preserve">ANRE (spre deosebire de alte autorități </w:t>
      </w:r>
      <w:r w:rsidR="00226C60" w:rsidRPr="00BA408B">
        <w:rPr>
          <w:rFonts w:ascii="Palatino Linotype" w:hAnsi="Palatino Linotype"/>
          <w:lang w:val="ro-RO"/>
        </w:rPr>
        <w:t>cu puteri legislative</w:t>
      </w:r>
      <w:r w:rsidRPr="009F6BB0">
        <w:rPr>
          <w:rFonts w:ascii="Palatino Linotype" w:hAnsi="Palatino Linotype"/>
          <w:lang w:val="ro-RO"/>
        </w:rPr>
        <w:t xml:space="preserve">), în ordin vor fi inserate prevederi specifice care </w:t>
      </w:r>
      <w:r w:rsidR="00226C60" w:rsidRPr="00BA408B">
        <w:rPr>
          <w:rFonts w:ascii="Palatino Linotype" w:hAnsi="Palatino Linotype"/>
          <w:lang w:val="ro-RO"/>
        </w:rPr>
        <w:t>reglementează</w:t>
      </w:r>
      <w:r w:rsidRPr="009F6BB0">
        <w:rPr>
          <w:rFonts w:ascii="Palatino Linotype" w:hAnsi="Palatino Linotype"/>
          <w:lang w:val="ro-RO"/>
        </w:rPr>
        <w:t xml:space="preserve"> impactul noilor reguli asupra cererilor </w:t>
      </w:r>
      <w:r w:rsidR="00226C60" w:rsidRPr="00BA408B">
        <w:rPr>
          <w:rFonts w:ascii="Palatino Linotype" w:hAnsi="Palatino Linotype"/>
          <w:lang w:val="ro-RO"/>
        </w:rPr>
        <w:t xml:space="preserve">de racordare </w:t>
      </w:r>
      <w:r w:rsidRPr="009F6BB0">
        <w:rPr>
          <w:rFonts w:ascii="Palatino Linotype" w:hAnsi="Palatino Linotype"/>
          <w:lang w:val="ro-RO"/>
        </w:rPr>
        <w:t xml:space="preserve">în curs de soluționare. Prin urmare, </w:t>
      </w:r>
      <w:r w:rsidR="00226C60" w:rsidRPr="00BA408B">
        <w:rPr>
          <w:rFonts w:ascii="Palatino Linotype" w:hAnsi="Palatino Linotype"/>
          <w:lang w:val="ro-RO"/>
        </w:rPr>
        <w:t xml:space="preserve">extinderea de termen </w:t>
      </w:r>
      <w:r w:rsidRPr="009F6BB0">
        <w:rPr>
          <w:rFonts w:ascii="Palatino Linotype" w:hAnsi="Palatino Linotype"/>
          <w:lang w:val="ro-RO"/>
        </w:rPr>
        <w:t xml:space="preserve">se va aplica nu numai cererilor de racordare </w:t>
      </w:r>
      <w:r w:rsidR="00226C60" w:rsidRPr="00BA408B">
        <w:rPr>
          <w:rFonts w:ascii="Palatino Linotype" w:hAnsi="Palatino Linotype"/>
          <w:lang w:val="ro-RO"/>
        </w:rPr>
        <w:t>care vor fi depuse după intrarea în vigoare a ordinului</w:t>
      </w:r>
      <w:r w:rsidRPr="009F6BB0">
        <w:rPr>
          <w:rFonts w:ascii="Palatino Linotype" w:hAnsi="Palatino Linotype"/>
          <w:lang w:val="ro-RO"/>
        </w:rPr>
        <w:t xml:space="preserve">, ci și cererilor de racordare aflate în curs de </w:t>
      </w:r>
      <w:r w:rsidR="00226C60" w:rsidRPr="00BA408B">
        <w:rPr>
          <w:rFonts w:ascii="Palatino Linotype" w:hAnsi="Palatino Linotype"/>
          <w:lang w:val="ro-RO"/>
        </w:rPr>
        <w:t>soluționare</w:t>
      </w:r>
      <w:r w:rsidRPr="009F6BB0">
        <w:rPr>
          <w:rFonts w:ascii="Palatino Linotype" w:hAnsi="Palatino Linotype"/>
          <w:lang w:val="ro-RO"/>
        </w:rPr>
        <w:t xml:space="preserve">. Astfel de prevederi </w:t>
      </w:r>
      <w:r w:rsidR="00226C60" w:rsidRPr="00BA408B">
        <w:rPr>
          <w:rFonts w:ascii="Palatino Linotype" w:hAnsi="Palatino Linotype"/>
          <w:lang w:val="ro-RO"/>
        </w:rPr>
        <w:t>tranzitorii</w:t>
      </w:r>
      <w:r w:rsidRPr="009F6BB0">
        <w:rPr>
          <w:rFonts w:ascii="Palatino Linotype" w:hAnsi="Palatino Linotype"/>
          <w:lang w:val="ro-RO"/>
        </w:rPr>
        <w:t xml:space="preserve"> sunt extrem de </w:t>
      </w:r>
      <w:r w:rsidR="00226C60" w:rsidRPr="00BA408B">
        <w:rPr>
          <w:rFonts w:ascii="Palatino Linotype" w:hAnsi="Palatino Linotype"/>
          <w:lang w:val="ro-RO"/>
        </w:rPr>
        <w:t xml:space="preserve">utile, eliminând </w:t>
      </w:r>
      <w:r w:rsidRPr="009F6BB0">
        <w:rPr>
          <w:rFonts w:ascii="Palatino Linotype" w:hAnsi="Palatino Linotype"/>
          <w:lang w:val="ro-RO"/>
        </w:rPr>
        <w:t xml:space="preserve">orice </w:t>
      </w:r>
      <w:r w:rsidR="00226C60" w:rsidRPr="00BA408B">
        <w:rPr>
          <w:rFonts w:ascii="Palatino Linotype" w:hAnsi="Palatino Linotype"/>
          <w:lang w:val="ro-RO"/>
        </w:rPr>
        <w:t xml:space="preserve">divergențe de interpretare cu privire la sfera de aplicabilitate a noilor </w:t>
      </w:r>
      <w:r w:rsidR="00C5512E" w:rsidRPr="00BA408B">
        <w:rPr>
          <w:rFonts w:ascii="Palatino Linotype" w:hAnsi="Palatino Linotype"/>
          <w:lang w:val="ro-RO"/>
        </w:rPr>
        <w:t xml:space="preserve">principii. </w:t>
      </w:r>
    </w:p>
    <w:p w14:paraId="4C7D7D07" w14:textId="77777777" w:rsidR="009F6BB0" w:rsidRPr="00BA408B" w:rsidRDefault="009F6BB0" w:rsidP="008A65DD">
      <w:pPr>
        <w:spacing w:after="200" w:line="320" w:lineRule="exact"/>
        <w:jc w:val="both"/>
        <w:rPr>
          <w:rFonts w:ascii="Palatino Linotype" w:hAnsi="Palatino Linotype"/>
          <w:lang w:val="ro-RO"/>
        </w:rPr>
      </w:pPr>
    </w:p>
    <w:p w14:paraId="1B953D83" w14:textId="5E6911B4" w:rsidR="00745C8E" w:rsidRPr="00BA408B" w:rsidRDefault="00AA0EBE" w:rsidP="002067BC">
      <w:pPr>
        <w:spacing w:after="200" w:line="320" w:lineRule="exact"/>
        <w:jc w:val="both"/>
        <w:rPr>
          <w:rFonts w:ascii="Palatino Linotype" w:hAnsi="Palatino Linotype"/>
          <w:lang w:val="ro-RO"/>
        </w:rPr>
      </w:pPr>
      <w:r w:rsidRPr="00BA408B">
        <w:rPr>
          <w:rFonts w:ascii="Palatino Linotype" w:hAnsi="Palatino Linotype"/>
          <w:lang w:val="ro-RO"/>
        </w:rPr>
        <w:t xml:space="preserve">Mihaela Nyerges, </w:t>
      </w:r>
      <w:r w:rsidR="00C5512E" w:rsidRPr="00BA408B">
        <w:rPr>
          <w:rFonts w:ascii="Palatino Linotype" w:hAnsi="Palatino Linotype"/>
          <w:lang w:val="ro-RO"/>
        </w:rPr>
        <w:t>Managing Partner</w:t>
      </w:r>
    </w:p>
    <w:p w14:paraId="2417A7FA" w14:textId="7778C180" w:rsidR="00AA0EBE" w:rsidRPr="00BA408B" w:rsidRDefault="00AA0EBE" w:rsidP="002067BC">
      <w:pPr>
        <w:spacing w:after="200" w:line="320" w:lineRule="exact"/>
        <w:jc w:val="both"/>
        <w:rPr>
          <w:rFonts w:ascii="Palatino Linotype" w:hAnsi="Palatino Linotype"/>
          <w:lang w:val="ro-RO"/>
        </w:rPr>
      </w:pPr>
      <w:r w:rsidRPr="00BA408B">
        <w:rPr>
          <w:rFonts w:ascii="Palatino Linotype" w:hAnsi="Palatino Linotype"/>
          <w:lang w:val="ro-RO"/>
        </w:rPr>
        <w:t>Monica Cune-Ghițescu, Senior As</w:t>
      </w:r>
      <w:r w:rsidR="0065733F">
        <w:rPr>
          <w:rFonts w:ascii="Palatino Linotype" w:hAnsi="Palatino Linotype"/>
          <w:lang w:val="ro-RO"/>
        </w:rPr>
        <w:t>s</w:t>
      </w:r>
      <w:r w:rsidRPr="00BA408B">
        <w:rPr>
          <w:rFonts w:ascii="Palatino Linotype" w:hAnsi="Palatino Linotype"/>
          <w:lang w:val="ro-RO"/>
        </w:rPr>
        <w:t>ociate</w:t>
      </w:r>
    </w:p>
    <w:sectPr w:rsidR="00AA0EBE" w:rsidRPr="00BA408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B9C38" w14:textId="77777777" w:rsidR="00614EE2" w:rsidRDefault="00614EE2" w:rsidP="00AA0EBE">
      <w:pPr>
        <w:spacing w:after="0" w:line="240" w:lineRule="auto"/>
      </w:pPr>
      <w:r>
        <w:separator/>
      </w:r>
    </w:p>
  </w:endnote>
  <w:endnote w:type="continuationSeparator" w:id="0">
    <w:p w14:paraId="68A9ABFE" w14:textId="77777777" w:rsidR="00614EE2" w:rsidRDefault="00614EE2" w:rsidP="00AA0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F2CEB" w14:textId="77777777" w:rsidR="00614EE2" w:rsidRDefault="00614EE2" w:rsidP="00AA0EBE">
      <w:pPr>
        <w:spacing w:after="0" w:line="240" w:lineRule="auto"/>
      </w:pPr>
      <w:r>
        <w:separator/>
      </w:r>
    </w:p>
  </w:footnote>
  <w:footnote w:type="continuationSeparator" w:id="0">
    <w:p w14:paraId="14852727" w14:textId="77777777" w:rsidR="00614EE2" w:rsidRDefault="00614EE2" w:rsidP="00AA0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9E14" w14:textId="2F625AEC" w:rsidR="00DE4DEE" w:rsidRDefault="00AA0EBE">
    <w:pPr>
      <w:pStyle w:val="Header"/>
    </w:pPr>
    <w:r w:rsidRPr="00160236">
      <w:rPr>
        <w:noProof/>
      </w:rPr>
      <w:drawing>
        <wp:inline distT="0" distB="0" distL="0" distR="0" wp14:anchorId="09E874E8" wp14:editId="35D9AD4B">
          <wp:extent cx="1473924" cy="220435"/>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stretch>
                    <a:fillRect/>
                  </a:stretch>
                </pic:blipFill>
                <pic:spPr>
                  <a:xfrm>
                    <a:off x="0" y="0"/>
                    <a:ext cx="1551164" cy="2319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812EE"/>
    <w:multiLevelType w:val="multilevel"/>
    <w:tmpl w:val="BD668D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59620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AD8"/>
    <w:rsid w:val="00013C03"/>
    <w:rsid w:val="00016BDD"/>
    <w:rsid w:val="000317CD"/>
    <w:rsid w:val="00033E74"/>
    <w:rsid w:val="00056B45"/>
    <w:rsid w:val="000747AC"/>
    <w:rsid w:val="0009687D"/>
    <w:rsid w:val="000B4143"/>
    <w:rsid w:val="000E634E"/>
    <w:rsid w:val="000F1A46"/>
    <w:rsid w:val="000F6A54"/>
    <w:rsid w:val="00117A46"/>
    <w:rsid w:val="001247E0"/>
    <w:rsid w:val="00124F6C"/>
    <w:rsid w:val="00135FA9"/>
    <w:rsid w:val="00152705"/>
    <w:rsid w:val="0016401B"/>
    <w:rsid w:val="0017053A"/>
    <w:rsid w:val="0018561D"/>
    <w:rsid w:val="001930EA"/>
    <w:rsid w:val="00195CDD"/>
    <w:rsid w:val="001E0214"/>
    <w:rsid w:val="001F121B"/>
    <w:rsid w:val="002067BC"/>
    <w:rsid w:val="00223341"/>
    <w:rsid w:val="00226C60"/>
    <w:rsid w:val="0023020A"/>
    <w:rsid w:val="00236115"/>
    <w:rsid w:val="0024134D"/>
    <w:rsid w:val="00245E2F"/>
    <w:rsid w:val="002823EB"/>
    <w:rsid w:val="00292FF4"/>
    <w:rsid w:val="002943E8"/>
    <w:rsid w:val="002B14A0"/>
    <w:rsid w:val="002C528F"/>
    <w:rsid w:val="002D22CE"/>
    <w:rsid w:val="00301F4B"/>
    <w:rsid w:val="00312EC1"/>
    <w:rsid w:val="00323AD3"/>
    <w:rsid w:val="00333994"/>
    <w:rsid w:val="003717EB"/>
    <w:rsid w:val="003765DA"/>
    <w:rsid w:val="00397927"/>
    <w:rsid w:val="003A0ABD"/>
    <w:rsid w:val="003A2F15"/>
    <w:rsid w:val="003B4B86"/>
    <w:rsid w:val="003B7039"/>
    <w:rsid w:val="003B73F9"/>
    <w:rsid w:val="003C269B"/>
    <w:rsid w:val="00436486"/>
    <w:rsid w:val="0044119A"/>
    <w:rsid w:val="00472185"/>
    <w:rsid w:val="00475378"/>
    <w:rsid w:val="00485283"/>
    <w:rsid w:val="004B7611"/>
    <w:rsid w:val="004B7A1B"/>
    <w:rsid w:val="004C15B9"/>
    <w:rsid w:val="004C1C3E"/>
    <w:rsid w:val="004C357B"/>
    <w:rsid w:val="004D174E"/>
    <w:rsid w:val="004D17B2"/>
    <w:rsid w:val="004E12DE"/>
    <w:rsid w:val="004E298A"/>
    <w:rsid w:val="00501AFD"/>
    <w:rsid w:val="005416A0"/>
    <w:rsid w:val="00553ACB"/>
    <w:rsid w:val="00556FAB"/>
    <w:rsid w:val="005835E2"/>
    <w:rsid w:val="00590FD6"/>
    <w:rsid w:val="0059340B"/>
    <w:rsid w:val="005B7D39"/>
    <w:rsid w:val="005C517A"/>
    <w:rsid w:val="005F763A"/>
    <w:rsid w:val="00614EE2"/>
    <w:rsid w:val="00617C16"/>
    <w:rsid w:val="0062285D"/>
    <w:rsid w:val="00643531"/>
    <w:rsid w:val="00647855"/>
    <w:rsid w:val="0065733F"/>
    <w:rsid w:val="00664A5D"/>
    <w:rsid w:val="006713C4"/>
    <w:rsid w:val="0068255A"/>
    <w:rsid w:val="0068708C"/>
    <w:rsid w:val="006A5752"/>
    <w:rsid w:val="006F5740"/>
    <w:rsid w:val="006F7CA7"/>
    <w:rsid w:val="00710185"/>
    <w:rsid w:val="00745C8E"/>
    <w:rsid w:val="0075070E"/>
    <w:rsid w:val="00755CF1"/>
    <w:rsid w:val="007908ED"/>
    <w:rsid w:val="00797E68"/>
    <w:rsid w:val="007A55D3"/>
    <w:rsid w:val="007C2DEF"/>
    <w:rsid w:val="007D3AE1"/>
    <w:rsid w:val="007D41E4"/>
    <w:rsid w:val="007E7BD4"/>
    <w:rsid w:val="00807224"/>
    <w:rsid w:val="0081216D"/>
    <w:rsid w:val="00863A53"/>
    <w:rsid w:val="008759A1"/>
    <w:rsid w:val="0089284B"/>
    <w:rsid w:val="00894924"/>
    <w:rsid w:val="008A65DD"/>
    <w:rsid w:val="008C18B7"/>
    <w:rsid w:val="00917196"/>
    <w:rsid w:val="00924F4A"/>
    <w:rsid w:val="00931218"/>
    <w:rsid w:val="009324F0"/>
    <w:rsid w:val="00952C5D"/>
    <w:rsid w:val="00982C6A"/>
    <w:rsid w:val="0098631B"/>
    <w:rsid w:val="00994393"/>
    <w:rsid w:val="009B7B47"/>
    <w:rsid w:val="009D661F"/>
    <w:rsid w:val="009F2843"/>
    <w:rsid w:val="009F6BB0"/>
    <w:rsid w:val="00A05813"/>
    <w:rsid w:val="00A13BBD"/>
    <w:rsid w:val="00A35332"/>
    <w:rsid w:val="00A357C9"/>
    <w:rsid w:val="00A43C2C"/>
    <w:rsid w:val="00AA0EBE"/>
    <w:rsid w:val="00AA2241"/>
    <w:rsid w:val="00AA62F9"/>
    <w:rsid w:val="00AB01B0"/>
    <w:rsid w:val="00AB1824"/>
    <w:rsid w:val="00AF2999"/>
    <w:rsid w:val="00B23623"/>
    <w:rsid w:val="00B27509"/>
    <w:rsid w:val="00B46DD9"/>
    <w:rsid w:val="00B531CE"/>
    <w:rsid w:val="00B82564"/>
    <w:rsid w:val="00B94669"/>
    <w:rsid w:val="00BA408B"/>
    <w:rsid w:val="00BC6B20"/>
    <w:rsid w:val="00BD137E"/>
    <w:rsid w:val="00BF7AD8"/>
    <w:rsid w:val="00C31654"/>
    <w:rsid w:val="00C3574F"/>
    <w:rsid w:val="00C416A6"/>
    <w:rsid w:val="00C45702"/>
    <w:rsid w:val="00C5512E"/>
    <w:rsid w:val="00C64A3B"/>
    <w:rsid w:val="00C74054"/>
    <w:rsid w:val="00C8122E"/>
    <w:rsid w:val="00CA0251"/>
    <w:rsid w:val="00CC6C14"/>
    <w:rsid w:val="00CE309B"/>
    <w:rsid w:val="00CF6513"/>
    <w:rsid w:val="00D27D1B"/>
    <w:rsid w:val="00D46DDA"/>
    <w:rsid w:val="00D63970"/>
    <w:rsid w:val="00D75ED1"/>
    <w:rsid w:val="00D82833"/>
    <w:rsid w:val="00D856C2"/>
    <w:rsid w:val="00DD5079"/>
    <w:rsid w:val="00DD76AB"/>
    <w:rsid w:val="00DE16E9"/>
    <w:rsid w:val="00DE4DEE"/>
    <w:rsid w:val="00DE6CC1"/>
    <w:rsid w:val="00DF04D6"/>
    <w:rsid w:val="00DF075C"/>
    <w:rsid w:val="00DF42DB"/>
    <w:rsid w:val="00E169EA"/>
    <w:rsid w:val="00E2438F"/>
    <w:rsid w:val="00E41392"/>
    <w:rsid w:val="00E44E69"/>
    <w:rsid w:val="00E75988"/>
    <w:rsid w:val="00E8419D"/>
    <w:rsid w:val="00EC00C5"/>
    <w:rsid w:val="00EC359A"/>
    <w:rsid w:val="00ED2BBD"/>
    <w:rsid w:val="00ED6F62"/>
    <w:rsid w:val="00EE3A58"/>
    <w:rsid w:val="00F019A6"/>
    <w:rsid w:val="00F0230D"/>
    <w:rsid w:val="00F0454A"/>
    <w:rsid w:val="00F04DA8"/>
    <w:rsid w:val="00F30FB1"/>
    <w:rsid w:val="00F44272"/>
    <w:rsid w:val="00F8154C"/>
    <w:rsid w:val="00FA13C2"/>
    <w:rsid w:val="00FA1638"/>
    <w:rsid w:val="00FB22AC"/>
    <w:rsid w:val="00FB2740"/>
    <w:rsid w:val="00FF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6CF9"/>
  <w15:chartTrackingRefBased/>
  <w15:docId w15:val="{2834FE4B-B406-49AA-810F-62A5AFC6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702"/>
    <w:pPr>
      <w:ind w:left="720"/>
      <w:contextualSpacing/>
    </w:pPr>
  </w:style>
  <w:style w:type="paragraph" w:styleId="Header">
    <w:name w:val="header"/>
    <w:basedOn w:val="Normal"/>
    <w:link w:val="HeaderChar"/>
    <w:uiPriority w:val="99"/>
    <w:unhideWhenUsed/>
    <w:rsid w:val="00AA0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EBE"/>
  </w:style>
  <w:style w:type="paragraph" w:styleId="Footer">
    <w:name w:val="footer"/>
    <w:basedOn w:val="Normal"/>
    <w:link w:val="FooterChar"/>
    <w:uiPriority w:val="99"/>
    <w:unhideWhenUsed/>
    <w:rsid w:val="00AA0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EBE"/>
  </w:style>
  <w:style w:type="paragraph" w:styleId="Revision">
    <w:name w:val="Revision"/>
    <w:hidden/>
    <w:uiPriority w:val="99"/>
    <w:semiHidden/>
    <w:rsid w:val="00D828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419">
      <w:bodyDiv w:val="1"/>
      <w:marLeft w:val="0"/>
      <w:marRight w:val="0"/>
      <w:marTop w:val="0"/>
      <w:marBottom w:val="0"/>
      <w:divBdr>
        <w:top w:val="none" w:sz="0" w:space="0" w:color="auto"/>
        <w:left w:val="none" w:sz="0" w:space="0" w:color="auto"/>
        <w:bottom w:val="none" w:sz="0" w:space="0" w:color="auto"/>
        <w:right w:val="none" w:sz="0" w:space="0" w:color="auto"/>
      </w:divBdr>
    </w:div>
    <w:div w:id="93567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3949</Characters>
  <Application>Microsoft Office Word</Application>
  <DocSecurity>4</DocSecurity>
  <Lines>32</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Nyerges&amp;Partners</dc:creator>
  <cp:keywords/>
  <dc:description/>
  <cp:lastModifiedBy>Mihaela Mazilu</cp:lastModifiedBy>
  <cp:revision>2</cp:revision>
  <dcterms:created xsi:type="dcterms:W3CDTF">2023-02-02T16:04:00Z</dcterms:created>
  <dcterms:modified xsi:type="dcterms:W3CDTF">2023-02-02T16:04:00Z</dcterms:modified>
</cp:coreProperties>
</file>