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00E6" w14:textId="77777777" w:rsidR="00960CD7" w:rsidRDefault="00960CD7" w:rsidP="002846CA">
      <w:pPr>
        <w:jc w:val="both"/>
        <w:rPr>
          <w:rFonts w:asciiTheme="majorHAnsi" w:hAnsiTheme="majorHAnsi" w:cstheme="majorHAnsi"/>
          <w:b/>
          <w:bCs/>
        </w:rPr>
      </w:pPr>
    </w:p>
    <w:p w14:paraId="7B2FCC54" w14:textId="10B0B37F" w:rsidR="00BD6F5A" w:rsidRPr="00667678" w:rsidRDefault="00EF590B" w:rsidP="00960CD7">
      <w:pPr>
        <w:jc w:val="center"/>
        <w:rPr>
          <w:rFonts w:asciiTheme="majorHAnsi" w:hAnsiTheme="majorHAnsi" w:cstheme="majorHAnsi"/>
          <w:b/>
          <w:bCs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br/>
      </w:r>
      <w:r w:rsidR="00C07E8B" w:rsidRPr="00667678">
        <w:rPr>
          <w:rFonts w:asciiTheme="majorHAnsi" w:hAnsiTheme="majorHAnsi" w:cstheme="majorHAnsi"/>
          <w:b/>
          <w:bCs/>
          <w:lang w:val="ro-RO"/>
        </w:rPr>
        <w:t xml:space="preserve">Prevenirea fraudei: de la </w:t>
      </w:r>
      <w:r w:rsidR="001976AC">
        <w:rPr>
          <w:rFonts w:asciiTheme="majorHAnsi" w:hAnsiTheme="majorHAnsi" w:cstheme="majorHAnsi"/>
          <w:b/>
          <w:bCs/>
          <w:lang w:val="ro-RO"/>
        </w:rPr>
        <w:t>folosirea un</w:t>
      </w:r>
      <w:r w:rsidR="00970339">
        <w:rPr>
          <w:rFonts w:asciiTheme="majorHAnsi" w:hAnsiTheme="majorHAnsi" w:cstheme="majorHAnsi"/>
          <w:b/>
          <w:bCs/>
          <w:lang w:val="ro-RO"/>
        </w:rPr>
        <w:t xml:space="preserve">ei </w:t>
      </w:r>
      <w:r w:rsidR="007D05B8">
        <w:rPr>
          <w:rFonts w:asciiTheme="majorHAnsi" w:hAnsiTheme="majorHAnsi" w:cstheme="majorHAnsi"/>
          <w:b/>
          <w:bCs/>
          <w:lang w:val="ro-RO"/>
        </w:rPr>
        <w:t>atitudini potrivite</w:t>
      </w:r>
      <w:r w:rsidR="00177534" w:rsidRPr="00667678">
        <w:rPr>
          <w:rFonts w:asciiTheme="majorHAnsi" w:hAnsiTheme="majorHAnsi" w:cstheme="majorHAnsi"/>
          <w:b/>
          <w:bCs/>
          <w:lang w:val="ro-RO"/>
        </w:rPr>
        <w:t xml:space="preserve"> </w:t>
      </w:r>
      <w:r w:rsidR="001976AC">
        <w:rPr>
          <w:rFonts w:asciiTheme="majorHAnsi" w:hAnsiTheme="majorHAnsi" w:cstheme="majorHAnsi"/>
          <w:b/>
          <w:bCs/>
          <w:lang w:val="ro-RO"/>
        </w:rPr>
        <w:t>de către</w:t>
      </w:r>
      <w:r w:rsidR="00177534" w:rsidRPr="00667678">
        <w:rPr>
          <w:rFonts w:asciiTheme="majorHAnsi" w:hAnsiTheme="majorHAnsi" w:cstheme="majorHAnsi"/>
          <w:b/>
          <w:bCs/>
          <w:lang w:val="ro-RO"/>
        </w:rPr>
        <w:t xml:space="preserve"> management</w:t>
      </w:r>
      <w:r w:rsidR="001976AC">
        <w:rPr>
          <w:rFonts w:asciiTheme="majorHAnsi" w:hAnsiTheme="majorHAnsi" w:cstheme="majorHAnsi"/>
          <w:b/>
          <w:bCs/>
          <w:lang w:val="ro-RO"/>
        </w:rPr>
        <w:t xml:space="preserve"> până</w:t>
      </w:r>
      <w:r w:rsidR="00C07E8B" w:rsidRPr="00667678">
        <w:rPr>
          <w:rFonts w:asciiTheme="majorHAnsi" w:hAnsiTheme="majorHAnsi" w:cstheme="majorHAnsi"/>
          <w:b/>
          <w:bCs/>
          <w:lang w:val="ro-RO"/>
        </w:rPr>
        <w:t xml:space="preserve"> la implementarea unui</w:t>
      </w:r>
      <w:r w:rsidR="00D82CB5">
        <w:rPr>
          <w:rFonts w:asciiTheme="majorHAnsi" w:hAnsiTheme="majorHAnsi" w:cstheme="majorHAnsi"/>
          <w:b/>
          <w:bCs/>
          <w:lang w:val="ro-RO"/>
        </w:rPr>
        <w:t xml:space="preserve"> mecanism</w:t>
      </w:r>
      <w:r w:rsidR="00C07E8B" w:rsidRPr="00667678">
        <w:rPr>
          <w:rFonts w:asciiTheme="majorHAnsi" w:hAnsiTheme="majorHAnsi" w:cstheme="majorHAnsi"/>
          <w:b/>
          <w:bCs/>
          <w:lang w:val="ro-RO"/>
        </w:rPr>
        <w:t xml:space="preserve"> de control solid și instruirea angajaților</w:t>
      </w:r>
    </w:p>
    <w:p w14:paraId="6F2D2B4C" w14:textId="77777777" w:rsidR="00AE0FEF" w:rsidRDefault="00AE0FEF" w:rsidP="00AE0FEF">
      <w:pPr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</w:p>
    <w:p w14:paraId="38424DF0" w14:textId="2F2D128B" w:rsidR="00960CD7" w:rsidRPr="00960CD7" w:rsidRDefault="00960CD7" w:rsidP="00EF590B">
      <w:pPr>
        <w:rPr>
          <w:rFonts w:asciiTheme="majorHAnsi" w:hAnsiTheme="majorHAnsi" w:cstheme="majorHAnsi"/>
          <w:i/>
          <w:iCs/>
          <w:sz w:val="20"/>
          <w:szCs w:val="20"/>
          <w:lang w:val="ro-RO"/>
        </w:rPr>
      </w:pPr>
      <w:r w:rsidRPr="00960CD7">
        <w:rPr>
          <w:rFonts w:asciiTheme="majorHAnsi" w:hAnsiTheme="majorHAnsi" w:cstheme="majorHAnsi"/>
          <w:i/>
          <w:iCs/>
          <w:sz w:val="20"/>
          <w:szCs w:val="20"/>
          <w:lang w:val="ro-RO"/>
        </w:rPr>
        <w:t xml:space="preserve">Articol de opinie de Burcin Atakan, </w:t>
      </w:r>
      <w:r>
        <w:rPr>
          <w:rFonts w:asciiTheme="majorHAnsi" w:hAnsiTheme="majorHAnsi" w:cstheme="majorHAnsi"/>
          <w:i/>
          <w:iCs/>
          <w:sz w:val="20"/>
          <w:szCs w:val="20"/>
          <w:lang w:val="ro-RO"/>
        </w:rPr>
        <w:t>Partener, și Irina Chiriac, Director Adjunct, Consultanța Financiară, Deloitte România</w:t>
      </w:r>
    </w:p>
    <w:p w14:paraId="43880C56" w14:textId="77777777" w:rsidR="00AE0FEF" w:rsidRDefault="00AE0FEF" w:rsidP="002846CA">
      <w:pPr>
        <w:jc w:val="both"/>
        <w:rPr>
          <w:rFonts w:asciiTheme="majorHAnsi" w:hAnsiTheme="majorHAnsi" w:cstheme="majorHAnsi"/>
          <w:lang w:val="ro-RO"/>
        </w:rPr>
      </w:pPr>
    </w:p>
    <w:p w14:paraId="07D19AA2" w14:textId="7317DF0A" w:rsidR="00AA139B" w:rsidRPr="00EF590B" w:rsidRDefault="00C07E8B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Activitățile frauduloase </w:t>
      </w:r>
      <w:r w:rsidR="007D05B8" w:rsidRPr="00EF590B">
        <w:rPr>
          <w:rFonts w:asciiTheme="majorHAnsi" w:hAnsiTheme="majorHAnsi" w:cstheme="majorHAnsi"/>
          <w:sz w:val="20"/>
          <w:szCs w:val="20"/>
          <w:lang w:val="ro-RO"/>
        </w:rPr>
        <w:t>pot apărea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A139B" w:rsidRPr="00EF590B">
        <w:rPr>
          <w:rFonts w:asciiTheme="majorHAnsi" w:hAnsiTheme="majorHAnsi" w:cstheme="majorHAnsi"/>
          <w:sz w:val="20"/>
          <w:szCs w:val="20"/>
          <w:lang w:val="ro-RO"/>
        </w:rPr>
        <w:t>în orice moment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și, în contextul economic actual, riscurile de fraudă și de corupție a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r putea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cre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>ște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atât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ca urmare </w:t>
      </w:r>
      <w:r w:rsidR="008B6FDE" w:rsidRPr="00EF590B"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pres</w:t>
      </w:r>
      <w:r w:rsidR="00C23FA0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i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unilor financiare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pe care le pot resimți angajații și partenerii de afaceri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, cât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și din cauza unui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mediu de control </w:t>
      </w:r>
      <w:r w:rsidR="001976AC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deficitar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care ar putea crea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condițiile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>propice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pentru </w:t>
      </w:r>
      <w:r w:rsidR="00AA139B" w:rsidRPr="00EF590B">
        <w:rPr>
          <w:rFonts w:asciiTheme="majorHAnsi" w:hAnsiTheme="majorHAnsi" w:cstheme="majorHAnsi"/>
          <w:sz w:val="20"/>
          <w:szCs w:val="20"/>
          <w:lang w:val="ro-RO"/>
        </w:rPr>
        <w:t>abateri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. Astfel,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echipele de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management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ar trebui să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se gândească la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îmbunătăț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>irea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nivelul</w:t>
      </w:r>
      <w:r w:rsidR="007E05C2" w:rsidRPr="00EF590B">
        <w:rPr>
          <w:rFonts w:asciiTheme="majorHAnsi" w:hAnsiTheme="majorHAnsi" w:cstheme="majorHAnsi"/>
          <w:sz w:val="20"/>
          <w:szCs w:val="20"/>
          <w:lang w:val="ro-RO"/>
        </w:rPr>
        <w:t>ui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de conștientizare </w:t>
      </w:r>
      <w:r w:rsidR="007E05C2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privind comportamentul fraudulos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din cadrul organizației, astfel încât fiecare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>angajat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să poată fi mai vigilent și mai predispus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la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D7126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 raporta </w:t>
      </w:r>
      <w:r w:rsidR="007E05C2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atitudinile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>c</w:t>
      </w:r>
      <w:r w:rsidR="004D7126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are au potențialul de a fi 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>lips</w:t>
      </w:r>
      <w:r w:rsidR="004D7126" w:rsidRPr="00EF590B">
        <w:rPr>
          <w:rFonts w:asciiTheme="majorHAnsi" w:hAnsiTheme="majorHAnsi" w:cstheme="majorHAnsi"/>
          <w:sz w:val="20"/>
          <w:szCs w:val="20"/>
          <w:lang w:val="ro-RO"/>
        </w:rPr>
        <w:t>ite</w:t>
      </w:r>
      <w:r w:rsidR="001976A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de etică.</w:t>
      </w:r>
    </w:p>
    <w:p w14:paraId="4CF83F07" w14:textId="5C905EA5" w:rsidR="00C07E8B" w:rsidRPr="00EF590B" w:rsidRDefault="00177534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Identificarea fraudei în stadiile incipiente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>este posibilă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prin observarea </w:t>
      </w:r>
      <w:r w:rsidR="001D71A5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semnalelor de alarmă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AC4F62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cadrul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>mai multor zone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din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companie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>. De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exemplu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departamentul de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achiziții,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printre </w:t>
      </w:r>
      <w:r w:rsidR="007E05C2" w:rsidRPr="00EF590B">
        <w:rPr>
          <w:rFonts w:asciiTheme="majorHAnsi" w:hAnsiTheme="majorHAnsi" w:cstheme="majorHAnsi"/>
          <w:sz w:val="20"/>
          <w:szCs w:val="20"/>
          <w:lang w:val="ro-RO"/>
        </w:rPr>
        <w:t>indicatorii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de suspiciune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se pot număra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creșteri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>le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nejustificate ale prețurilor, o potențială relație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apropiată </w:t>
      </w:r>
      <w:r w:rsidR="007E05C2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cu un furnizor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și care nu este de natură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comercială, comunicarea cu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un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furnizor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prin intermediul unui singur angajat, împrumuturi nejustificate sau plăți în avans către un furnizor,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colaborarea cu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furnizori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care au </w:t>
      </w:r>
      <w:r w:rsidR="007D54AE" w:rsidRPr="00EF590B">
        <w:rPr>
          <w:rFonts w:asciiTheme="majorHAnsi" w:hAnsiTheme="majorHAnsi" w:cstheme="majorHAnsi"/>
          <w:sz w:val="20"/>
          <w:szCs w:val="20"/>
          <w:lang w:val="ro-RO"/>
        </w:rPr>
        <w:t>vizibilitate și experien</w:t>
      </w:r>
      <w:r w:rsidR="001508FA" w:rsidRPr="00EF590B">
        <w:rPr>
          <w:rFonts w:asciiTheme="majorHAnsi" w:hAnsiTheme="majorHAnsi" w:cstheme="majorHAnsi"/>
          <w:sz w:val="20"/>
          <w:szCs w:val="20"/>
          <w:lang w:val="ro-RO"/>
        </w:rPr>
        <w:t>ță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redus</w:t>
      </w:r>
      <w:r w:rsidR="007D54AE" w:rsidRPr="00EF590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D54AE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pe piață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sau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cu cei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care sunt dependenți de organizație, 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sau, desigur, </w:t>
      </w:r>
      <w:r w:rsidR="001508FA" w:rsidRPr="00EF590B">
        <w:rPr>
          <w:rFonts w:asciiTheme="majorHAnsi" w:hAnsiTheme="majorHAnsi" w:cstheme="majorHAnsi"/>
          <w:sz w:val="20"/>
          <w:szCs w:val="20"/>
          <w:lang w:val="ro-RO"/>
        </w:rPr>
        <w:t>informați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="001508FA" w:rsidRPr="00EF590B">
        <w:rPr>
          <w:rFonts w:asciiTheme="majorHAnsi" w:hAnsiTheme="majorHAnsi" w:cstheme="majorHAnsi"/>
          <w:sz w:val="20"/>
          <w:szCs w:val="20"/>
          <w:lang w:val="ro-RO"/>
        </w:rPr>
        <w:t>primit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1508FA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de la un angajat cu privire la potențiale </w:t>
      </w:r>
      <w:r w:rsidR="00C30F5F" w:rsidRPr="00EF590B">
        <w:rPr>
          <w:rFonts w:asciiTheme="majorHAnsi" w:hAnsiTheme="majorHAnsi" w:cstheme="majorHAnsi"/>
          <w:sz w:val="20"/>
          <w:szCs w:val="20"/>
          <w:lang w:val="ro-RO"/>
        </w:rPr>
        <w:t>nereguli</w:t>
      </w:r>
      <w:r w:rsidR="00E3040D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sesizate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004D3C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3040D" w:rsidRPr="00EF590B">
        <w:rPr>
          <w:rFonts w:asciiTheme="majorHAnsi" w:hAnsiTheme="majorHAnsi" w:cstheme="majorHAnsi"/>
          <w:sz w:val="20"/>
          <w:szCs w:val="20"/>
          <w:lang w:val="ro-RO"/>
        </w:rPr>
        <w:t>activitatea unui furnizor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. Coroborarea </w:t>
      </w:r>
      <w:r w:rsidR="00674D4B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semnalelor de alarmă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cu informațiile obținute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din discuții organizate în acest sens cu angajații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din </w:t>
      </w:r>
      <w:r w:rsidR="00A70CE1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verificarea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documentelor </w:t>
      </w:r>
      <w:r w:rsidR="00200F60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justificative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sau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din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analiza datelor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001A8" w:rsidRPr="00EF590B">
        <w:rPr>
          <w:rFonts w:asciiTheme="majorHAnsi" w:hAnsiTheme="majorHAnsi" w:cstheme="majorHAnsi"/>
          <w:sz w:val="20"/>
          <w:szCs w:val="20"/>
          <w:lang w:val="ro-RO"/>
        </w:rPr>
        <w:t>este esențială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001A8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descrierea </w:t>
      </w:r>
      <w:r w:rsidR="00EB5461" w:rsidRPr="00EF590B">
        <w:rPr>
          <w:rFonts w:asciiTheme="majorHAnsi" w:hAnsiTheme="majorHAnsi" w:cstheme="majorHAnsi"/>
          <w:sz w:val="20"/>
          <w:szCs w:val="20"/>
          <w:lang w:val="ro-RO"/>
        </w:rPr>
        <w:t>imaginii de ansamblu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a unei potențiale scheme frauduloase.</w:t>
      </w:r>
    </w:p>
    <w:p w14:paraId="6B7EBBE9" w14:textId="77777777" w:rsidR="007C6444" w:rsidRDefault="007C6444" w:rsidP="002846CA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3B3B4EC9" w14:textId="141101CC" w:rsidR="00177534" w:rsidRPr="00EF590B" w:rsidRDefault="00177534" w:rsidP="002846CA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Cum pot companiile să prevină frauda?</w:t>
      </w:r>
    </w:p>
    <w:p w14:paraId="4373393F" w14:textId="7DCFC8F5" w:rsidR="00177534" w:rsidRPr="00EF590B" w:rsidRDefault="00177534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Când vorbim despre prevenirea fraudei, este foarte important ca </w:t>
      </w:r>
      <w:r w:rsidR="00970339" w:rsidRPr="00EF590B">
        <w:rPr>
          <w:rFonts w:asciiTheme="majorHAnsi" w:hAnsiTheme="majorHAnsi" w:cstheme="majorHAnsi"/>
          <w:sz w:val="20"/>
          <w:szCs w:val="20"/>
          <w:lang w:val="ro-RO"/>
        </w:rPr>
        <w:t>organizațiile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să înțeleagă că </w:t>
      </w:r>
      <w:r w:rsidR="00970339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echipele de management trebuie să aibă o </w:t>
      </w:r>
      <w:r w:rsidR="00462C2B" w:rsidRPr="00EF590B">
        <w:rPr>
          <w:rFonts w:asciiTheme="majorHAnsi" w:hAnsiTheme="majorHAnsi" w:cstheme="majorHAnsi"/>
          <w:sz w:val="20"/>
          <w:szCs w:val="20"/>
          <w:lang w:val="ro-RO"/>
        </w:rPr>
        <w:t>atitudine</w:t>
      </w:r>
      <w:r w:rsidR="00970339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adecvată față de comportamentele frauduloase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. Concret, conducerea organizației ar trebui să aibă </w:t>
      </w:r>
      <w:r w:rsidR="00462C2B" w:rsidRPr="00EF590B">
        <w:rPr>
          <w:rFonts w:asciiTheme="majorHAnsi" w:hAnsiTheme="majorHAnsi" w:cstheme="majorHAnsi"/>
          <w:sz w:val="20"/>
          <w:szCs w:val="20"/>
          <w:lang w:val="ro-RO"/>
        </w:rPr>
        <w:t>un punct de vedere</w:t>
      </w:r>
      <w:r w:rsidR="00B8147D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ferm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B8147D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cu privire la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fraudă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și să comunice </w:t>
      </w:r>
      <w:r w:rsidR="00B8147D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clar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angajaților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că vor da dovadă de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toleranț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zero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față de fraudă în cadrul companiei.</w:t>
      </w:r>
    </w:p>
    <w:p w14:paraId="4C6C35BC" w14:textId="453C98DD" w:rsidR="00177534" w:rsidRPr="00EF590B" w:rsidRDefault="00177534" w:rsidP="002846CA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O altă măsură eficientă de descurajare a fraudei este aceea de a avea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un me</w:t>
      </w:r>
      <w:r w:rsidR="00462C2B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canism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de control </w:t>
      </w:r>
      <w:r w:rsidR="00462C2B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solid</w:t>
      </w:r>
      <w:r w:rsidR="007C6444">
        <w:rPr>
          <w:rFonts w:asciiTheme="majorHAnsi" w:hAnsiTheme="majorHAnsi" w:cstheme="majorHAnsi"/>
          <w:b/>
          <w:bCs/>
          <w:sz w:val="20"/>
          <w:szCs w:val="20"/>
          <w:lang w:val="ro-RO"/>
        </w:rPr>
        <w:t>,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prin implementarea unor politici și proceduri adecvate și a unor controale eficiente pentru prevenirea erorilor și a potențialei fraude în cadrul companiei. De asemenea, este important ca o companie să ia în considerare</w:t>
      </w:r>
      <w:r w:rsidR="00AA139B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adoptarea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un</w:t>
      </w:r>
      <w:r w:rsidR="00AA139B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ui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plan de </w:t>
      </w:r>
      <w:r w:rsidR="004C01A4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răspuns </w:t>
      </w:r>
      <w:r w:rsidR="005C7366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la </w:t>
      </w:r>
      <w:r w:rsidR="007C6444">
        <w:rPr>
          <w:rFonts w:asciiTheme="majorHAnsi" w:hAnsiTheme="majorHAnsi" w:cstheme="majorHAnsi"/>
          <w:b/>
          <w:bCs/>
          <w:sz w:val="20"/>
          <w:szCs w:val="20"/>
          <w:lang w:val="ro-RO"/>
        </w:rPr>
        <w:t>cazuri</w:t>
      </w:r>
      <w:r w:rsidR="007C6444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="005C7366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de</w:t>
      </w:r>
      <w:r w:rsidR="00D13F35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fraudă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în eventualitatea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în care astfel de eveniment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="00462C2B" w:rsidRPr="00EF590B">
        <w:rPr>
          <w:rFonts w:asciiTheme="majorHAnsi" w:hAnsiTheme="majorHAnsi" w:cstheme="majorHAnsi"/>
          <w:sz w:val="20"/>
          <w:szCs w:val="20"/>
          <w:lang w:val="ro-RO"/>
        </w:rPr>
        <w:t>u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loc, pentru a putea identifica ce s-a întâmplat, amploarea fraudei și pentru a lua măsuri suplimentare 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în vederea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recuper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>ării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pierderilor. În plus, acest plan va contribui la consolidarea 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politicii companiei de zero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toleranț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față de fraudă.</w:t>
      </w:r>
    </w:p>
    <w:p w14:paraId="6E564A95" w14:textId="19E0D78E" w:rsidR="00177534" w:rsidRPr="00EF590B" w:rsidRDefault="00177534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Un alt element 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>important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al 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>oricărui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program antifraudă 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din cadrul unei companii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este instruirea angajaților. Având în vedere că este de preferat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ca o organizație să 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>prev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ină 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>fraud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a,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și nu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să 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>gestion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eze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efectel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sale, un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sistem </w:t>
      </w:r>
      <w:r w:rsidR="00462C2B"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robust </w:t>
      </w:r>
      <w:r w:rsidRPr="00EF590B">
        <w:rPr>
          <w:rFonts w:asciiTheme="majorHAnsi" w:hAnsiTheme="majorHAnsi" w:cstheme="majorHAnsi"/>
          <w:b/>
          <w:bCs/>
          <w:sz w:val="20"/>
          <w:szCs w:val="20"/>
          <w:lang w:val="ro-RO"/>
        </w:rPr>
        <w:t>de instruire internă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AA139B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în domeniul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conștientiz</w:t>
      </w:r>
      <w:r w:rsidR="00AA139B" w:rsidRPr="00EF590B">
        <w:rPr>
          <w:rFonts w:asciiTheme="majorHAnsi" w:hAnsiTheme="majorHAnsi" w:cstheme="majorHAnsi"/>
          <w:sz w:val="20"/>
          <w:szCs w:val="20"/>
          <w:lang w:val="ro-RO"/>
        </w:rPr>
        <w:t>ării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acțiunilor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fraud</w:t>
      </w:r>
      <w:r w:rsidR="001E19CA" w:rsidRPr="00EF590B">
        <w:rPr>
          <w:rFonts w:asciiTheme="majorHAnsi" w:hAnsiTheme="majorHAnsi" w:cstheme="majorHAnsi"/>
          <w:sz w:val="20"/>
          <w:szCs w:val="20"/>
          <w:lang w:val="ro-RO"/>
        </w:rPr>
        <w:t>uloase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poate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duce la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>spor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irea 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>eficienț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ei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>în detectarea și prevenirea fraudei.</w:t>
      </w:r>
    </w:p>
    <w:p w14:paraId="61650659" w14:textId="5A1C7491" w:rsidR="00D82CB5" w:rsidRPr="00EF590B" w:rsidRDefault="00462C2B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>Luând în considerare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modul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de lucru </w:t>
      </w:r>
      <w:r w:rsidR="00D82CB5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dinamic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din ultimii ani,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care combină </w:t>
      </w:r>
      <w:r w:rsidR="00FF4AFE" w:rsidRPr="00EF590B">
        <w:rPr>
          <w:rFonts w:asciiTheme="majorHAnsi" w:hAnsiTheme="majorHAnsi" w:cstheme="majorHAnsi"/>
          <w:sz w:val="20"/>
          <w:szCs w:val="20"/>
          <w:lang w:val="ro-RO"/>
        </w:rPr>
        <w:t>munca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la distanță și</w:t>
      </w:r>
      <w:r w:rsidR="00FF4AFE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82CB5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cea </w:t>
      </w:r>
      <w:r w:rsidR="00FF4AFE" w:rsidRPr="00EF590B">
        <w:rPr>
          <w:rFonts w:asciiTheme="majorHAnsi" w:hAnsiTheme="majorHAnsi" w:cstheme="majorHAnsi"/>
          <w:sz w:val="20"/>
          <w:szCs w:val="20"/>
          <w:lang w:val="ro-RO"/>
        </w:rPr>
        <w:t>de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la birou, majoritatea companiilor </w:t>
      </w:r>
      <w:r w:rsidR="007C6444" w:rsidRPr="00EF590B">
        <w:rPr>
          <w:rFonts w:asciiTheme="majorHAnsi" w:hAnsiTheme="majorHAnsi" w:cstheme="majorHAnsi"/>
          <w:sz w:val="20"/>
          <w:szCs w:val="20"/>
          <w:lang w:val="ro-RO"/>
        </w:rPr>
        <w:t>p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ot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alege acum să aibă un program educațional combinat, folosind atât platforme de </w:t>
      </w:r>
      <w:proofErr w:type="spellStart"/>
      <w:r w:rsidR="00177534" w:rsidRPr="00EF590B">
        <w:rPr>
          <w:rFonts w:asciiTheme="majorHAnsi" w:hAnsiTheme="majorHAnsi" w:cstheme="majorHAnsi"/>
          <w:i/>
          <w:iCs/>
          <w:sz w:val="20"/>
          <w:szCs w:val="20"/>
          <w:lang w:val="ro-RO"/>
        </w:rPr>
        <w:lastRenderedPageBreak/>
        <w:t>eLearning</w:t>
      </w:r>
      <w:proofErr w:type="spellEnd"/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>, cât și sesiuni de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învățare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conduse de instructori.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Din momentul în care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angajații finaliz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>ează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programele educaționale antifraudă, probabilitatea organizației de a preveni, identifica sau raporta orice activitate potențial frauduloasă </w:t>
      </w:r>
      <w:r w:rsidR="007C6444">
        <w:rPr>
          <w:rFonts w:asciiTheme="majorHAnsi" w:hAnsiTheme="majorHAnsi" w:cstheme="majorHAnsi"/>
          <w:sz w:val="20"/>
          <w:szCs w:val="20"/>
          <w:lang w:val="ro-RO"/>
        </w:rPr>
        <w:t xml:space="preserve">este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sporită. Cu toate acestea, este important </w:t>
      </w:r>
      <w:r w:rsidR="00D82CB5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ca desfășurarea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>programel</w:t>
      </w:r>
      <w:r w:rsidR="00D82CB5" w:rsidRPr="00EF590B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de formare</w:t>
      </w:r>
      <w:r w:rsidR="00D82CB5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să aibă loc recurent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, deoarece un </w:t>
      </w:r>
      <w:r w:rsidR="00D82CB5" w:rsidRPr="00EF590B">
        <w:rPr>
          <w:rFonts w:asciiTheme="majorHAnsi" w:hAnsiTheme="majorHAnsi" w:cstheme="majorHAnsi"/>
          <w:sz w:val="20"/>
          <w:szCs w:val="20"/>
          <w:lang w:val="ro-RO"/>
        </w:rPr>
        <w:t>curs de instruire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unic se poate dovedi insuficient.</w:t>
      </w:r>
    </w:p>
    <w:p w14:paraId="7150DBE9" w14:textId="387AA37E" w:rsidR="00177534" w:rsidRPr="00EF590B" w:rsidRDefault="00D82CB5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EF590B">
        <w:rPr>
          <w:rFonts w:asciiTheme="majorHAnsi" w:hAnsiTheme="majorHAnsi" w:cstheme="majorHAnsi"/>
          <w:sz w:val="20"/>
          <w:szCs w:val="20"/>
          <w:lang w:val="ro-RO"/>
        </w:rPr>
        <w:t>În concluzie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o acțiune frauduloasă poate avea loc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>în orice moment și poate lua mai multe forme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în cadrul organizațiilor care nu au implementat un mecanism de control bine pus la punct.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62C2B" w:rsidRPr="00EF590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n cazul unor situații nefericite,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organizațiile ar trebui să ia în considerare solicitarea asistenței experților în investigarea și prevenirea fraudei pentru a le ghida în eforturile lor de </w:t>
      </w:r>
      <w:r w:rsidR="004740BB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asigurare a conformității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și de </w:t>
      </w:r>
      <w:r w:rsidR="004740BB"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reducere </w:t>
      </w:r>
      <w:r w:rsidR="00177534" w:rsidRPr="00EF590B">
        <w:rPr>
          <w:rFonts w:asciiTheme="majorHAnsi" w:hAnsiTheme="majorHAnsi" w:cstheme="majorHAnsi"/>
          <w:sz w:val="20"/>
          <w:szCs w:val="20"/>
          <w:lang w:val="ro-RO"/>
        </w:rPr>
        <w:t>a riscurilor.</w:t>
      </w:r>
      <w:r w:rsidRPr="00EF590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26657833" w14:textId="77777777" w:rsidR="00177534" w:rsidRPr="00EF590B" w:rsidRDefault="00177534" w:rsidP="002846CA">
      <w:pPr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sectPr w:rsidR="00177534" w:rsidRPr="00EF590B" w:rsidSect="00960C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D06D" w14:textId="77777777" w:rsidR="00A22E37" w:rsidRDefault="00A22E37" w:rsidP="00925E97">
      <w:pPr>
        <w:spacing w:after="0" w:line="240" w:lineRule="auto"/>
      </w:pPr>
      <w:r>
        <w:separator/>
      </w:r>
    </w:p>
  </w:endnote>
  <w:endnote w:type="continuationSeparator" w:id="0">
    <w:p w14:paraId="7DB23863" w14:textId="77777777" w:rsidR="00A22E37" w:rsidRDefault="00A22E37" w:rsidP="00925E97">
      <w:pPr>
        <w:spacing w:after="0" w:line="240" w:lineRule="auto"/>
      </w:pPr>
      <w:r>
        <w:continuationSeparator/>
      </w:r>
    </w:p>
  </w:endnote>
  <w:endnote w:type="continuationNotice" w:id="1">
    <w:p w14:paraId="1F00FE69" w14:textId="77777777" w:rsidR="00A22E37" w:rsidRDefault="00A22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1D97" w14:textId="77777777" w:rsidR="00A22E37" w:rsidRDefault="00A22E37" w:rsidP="00925E97">
      <w:pPr>
        <w:spacing w:after="0" w:line="240" w:lineRule="auto"/>
      </w:pPr>
      <w:r>
        <w:separator/>
      </w:r>
    </w:p>
  </w:footnote>
  <w:footnote w:type="continuationSeparator" w:id="0">
    <w:p w14:paraId="124886CC" w14:textId="77777777" w:rsidR="00A22E37" w:rsidRDefault="00A22E37" w:rsidP="00925E97">
      <w:pPr>
        <w:spacing w:after="0" w:line="240" w:lineRule="auto"/>
      </w:pPr>
      <w:r>
        <w:continuationSeparator/>
      </w:r>
    </w:p>
  </w:footnote>
  <w:footnote w:type="continuationNotice" w:id="1">
    <w:p w14:paraId="48CA12B4" w14:textId="77777777" w:rsidR="00A22E37" w:rsidRDefault="00A22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72F2" w14:textId="6D883A92" w:rsidR="00960CD7" w:rsidRDefault="00960C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BEFCC" wp14:editId="1397E770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16150" cy="901700"/>
          <wp:effectExtent l="0" t="0" r="0" b="0"/>
          <wp:wrapNone/>
          <wp:docPr id="319" name="Picture 319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8B"/>
    <w:rsid w:val="00004D3C"/>
    <w:rsid w:val="00034E75"/>
    <w:rsid w:val="000A10CB"/>
    <w:rsid w:val="00101F35"/>
    <w:rsid w:val="00120E7D"/>
    <w:rsid w:val="0014103B"/>
    <w:rsid w:val="001508FA"/>
    <w:rsid w:val="00177534"/>
    <w:rsid w:val="001976AC"/>
    <w:rsid w:val="001A5930"/>
    <w:rsid w:val="001C39C3"/>
    <w:rsid w:val="001D0067"/>
    <w:rsid w:val="001D71A5"/>
    <w:rsid w:val="001E19CA"/>
    <w:rsid w:val="00200F60"/>
    <w:rsid w:val="002308D6"/>
    <w:rsid w:val="002846CA"/>
    <w:rsid w:val="002B4E08"/>
    <w:rsid w:val="00335884"/>
    <w:rsid w:val="003E786A"/>
    <w:rsid w:val="00456BB6"/>
    <w:rsid w:val="00462C2B"/>
    <w:rsid w:val="004740BB"/>
    <w:rsid w:val="004A3F0A"/>
    <w:rsid w:val="004C01A4"/>
    <w:rsid w:val="004D7126"/>
    <w:rsid w:val="004F6208"/>
    <w:rsid w:val="005001A8"/>
    <w:rsid w:val="00523609"/>
    <w:rsid w:val="005C7366"/>
    <w:rsid w:val="0064233E"/>
    <w:rsid w:val="00656A5D"/>
    <w:rsid w:val="00667678"/>
    <w:rsid w:val="00674D4B"/>
    <w:rsid w:val="006D28A3"/>
    <w:rsid w:val="006D58E3"/>
    <w:rsid w:val="007C6444"/>
    <w:rsid w:val="007D05B8"/>
    <w:rsid w:val="007D54AE"/>
    <w:rsid w:val="007E05C2"/>
    <w:rsid w:val="008919B2"/>
    <w:rsid w:val="00893D32"/>
    <w:rsid w:val="008B6FDE"/>
    <w:rsid w:val="008C0026"/>
    <w:rsid w:val="008E4505"/>
    <w:rsid w:val="00925E97"/>
    <w:rsid w:val="0094144F"/>
    <w:rsid w:val="00960CD7"/>
    <w:rsid w:val="00970339"/>
    <w:rsid w:val="009C4402"/>
    <w:rsid w:val="009E5239"/>
    <w:rsid w:val="00A22E37"/>
    <w:rsid w:val="00A70CE1"/>
    <w:rsid w:val="00AA139B"/>
    <w:rsid w:val="00AC4F62"/>
    <w:rsid w:val="00AE0FEF"/>
    <w:rsid w:val="00B8147D"/>
    <w:rsid w:val="00BB3212"/>
    <w:rsid w:val="00BD2982"/>
    <w:rsid w:val="00C07E8B"/>
    <w:rsid w:val="00C23FA0"/>
    <w:rsid w:val="00C30F5F"/>
    <w:rsid w:val="00C37D92"/>
    <w:rsid w:val="00C47033"/>
    <w:rsid w:val="00D13F35"/>
    <w:rsid w:val="00D16BAF"/>
    <w:rsid w:val="00D21093"/>
    <w:rsid w:val="00D82CB5"/>
    <w:rsid w:val="00E3040D"/>
    <w:rsid w:val="00E313BC"/>
    <w:rsid w:val="00E408D6"/>
    <w:rsid w:val="00EB5461"/>
    <w:rsid w:val="00EC41DD"/>
    <w:rsid w:val="00EF590B"/>
    <w:rsid w:val="00F1541D"/>
    <w:rsid w:val="00F825AE"/>
    <w:rsid w:val="00FD0E75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F7E8D"/>
  <w15:chartTrackingRefBased/>
  <w15:docId w15:val="{DBAC4830-CFDB-41F1-9BE1-644A8851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0F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D6"/>
  </w:style>
  <w:style w:type="paragraph" w:styleId="Footer">
    <w:name w:val="footer"/>
    <w:basedOn w:val="Normal"/>
    <w:link w:val="FooterChar"/>
    <w:uiPriority w:val="99"/>
    <w:unhideWhenUsed/>
    <w:rsid w:val="0023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ECE18C61E124581D549C1B32CACFA" ma:contentTypeVersion="4" ma:contentTypeDescription="Create a new document." ma:contentTypeScope="" ma:versionID="72bf6046510aad098244360268c511b2">
  <xsd:schema xmlns:xsd="http://www.w3.org/2001/XMLSchema" xmlns:xs="http://www.w3.org/2001/XMLSchema" xmlns:p="http://schemas.microsoft.com/office/2006/metadata/properties" xmlns:ns2="7f60755f-ffb8-4694-81af-8651a559e4fa" xmlns:ns3="b2ee688c-07f3-4ba0-8729-a3ccd20b73ab" targetNamespace="http://schemas.microsoft.com/office/2006/metadata/properties" ma:root="true" ma:fieldsID="14d73a4bf35228b89b189102fb26f03f" ns2:_="" ns3:_="">
    <xsd:import namespace="7f60755f-ffb8-4694-81af-8651a559e4fa"/>
    <xsd:import namespace="b2ee688c-07f3-4ba0-8729-a3ccd20b7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755f-ffb8-4694-81af-8651a559e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688c-07f3-4ba0-8729-a3ccd20b7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38D1B-36C3-4E65-B1F7-E93B11A2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EBBF0-15EC-4E3A-98E4-DE9047303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BBC67-556F-4DA2-8570-E63B65253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755f-ffb8-4694-81af-8651a559e4fa"/>
    <ds:schemaRef ds:uri="b2ee688c-07f3-4ba0-8729-a3ccd20b7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Anghel, Oana</cp:lastModifiedBy>
  <cp:revision>2</cp:revision>
  <dcterms:created xsi:type="dcterms:W3CDTF">2023-01-23T08:46:00Z</dcterms:created>
  <dcterms:modified xsi:type="dcterms:W3CDTF">2023-01-23T08:46:00Z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2022-10-14T07:07:28Z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3cf3e37d-12f4-4d01-9d5a-7a72544fb352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0x0101000A4ECE18C61E124581D549C1B32CACFA</vt:lpwstr>
  </property>
</Properties>
</file>