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AA94" w14:textId="77777777" w:rsidR="00397F97" w:rsidRPr="00165A65" w:rsidRDefault="00397F97" w:rsidP="00B2718A">
      <w:pPr>
        <w:pStyle w:val="Head"/>
        <w:rPr>
          <w:lang w:val="ro-RO"/>
        </w:rPr>
      </w:pPr>
    </w:p>
    <w:p w14:paraId="0BCCB6BF" w14:textId="09A2C8F3" w:rsidR="00397F97" w:rsidRDefault="00397F97" w:rsidP="00397F97">
      <w:pPr>
        <w:pStyle w:val="Body"/>
        <w:rPr>
          <w:lang w:val="ro-RO"/>
        </w:rPr>
      </w:pPr>
    </w:p>
    <w:tbl>
      <w:tblPr>
        <w:tblpPr w:vertAnchor="page" w:horzAnchor="margin" w:tblpY="2836"/>
        <w:tblW w:w="8691" w:type="dxa"/>
        <w:tblLook w:val="01E0" w:firstRow="1" w:lastRow="1" w:firstColumn="1" w:lastColumn="1" w:noHBand="0" w:noVBand="0"/>
      </w:tblPr>
      <w:tblGrid>
        <w:gridCol w:w="1594"/>
        <w:gridCol w:w="7097"/>
      </w:tblGrid>
      <w:tr w:rsidR="00397F97" w:rsidRPr="00BF3CC1" w14:paraId="04D89683" w14:textId="77777777" w:rsidTr="00397F97">
        <w:trPr>
          <w:trHeight w:val="949"/>
        </w:trPr>
        <w:tc>
          <w:tcPr>
            <w:tcW w:w="8691" w:type="dxa"/>
            <w:gridSpan w:val="2"/>
            <w:tcMar>
              <w:top w:w="0" w:type="dxa"/>
              <w:left w:w="0" w:type="dxa"/>
              <w:bottom w:w="0" w:type="dxa"/>
              <w:right w:w="0" w:type="dxa"/>
            </w:tcMar>
            <w:hideMark/>
          </w:tcPr>
          <w:p w14:paraId="3ED17740" w14:textId="44DE0408" w:rsidR="00397F97" w:rsidRPr="00BF3CC1" w:rsidRDefault="00FC72FA" w:rsidP="008D601B">
            <w:pPr>
              <w:pStyle w:val="EYDocumenttitle"/>
              <w:rPr>
                <w:rFonts w:cs="Arial"/>
              </w:rPr>
            </w:pPr>
            <w:r>
              <w:rPr>
                <w:rFonts w:cs="Arial"/>
              </w:rPr>
              <w:t>Punct de vedere</w:t>
            </w:r>
          </w:p>
        </w:tc>
      </w:tr>
      <w:tr w:rsidR="00397F97" w:rsidRPr="00BF3CC1" w14:paraId="63F2856B" w14:textId="77777777" w:rsidTr="00397F97">
        <w:trPr>
          <w:trHeight w:val="392"/>
        </w:trPr>
        <w:tc>
          <w:tcPr>
            <w:tcW w:w="8691" w:type="dxa"/>
            <w:gridSpan w:val="2"/>
            <w:shd w:val="clear" w:color="auto" w:fill="auto"/>
            <w:tcMar>
              <w:top w:w="0" w:type="dxa"/>
              <w:left w:w="0" w:type="dxa"/>
              <w:bottom w:w="0" w:type="dxa"/>
              <w:right w:w="0" w:type="dxa"/>
            </w:tcMar>
            <w:hideMark/>
          </w:tcPr>
          <w:p w14:paraId="0412E547" w14:textId="6198CF4A" w:rsidR="00397F97" w:rsidRPr="00BF3CC1" w:rsidRDefault="00397F97" w:rsidP="008D601B">
            <w:pPr>
              <w:pStyle w:val="EYDocumentpromptsbold"/>
              <w:rPr>
                <w:rFonts w:ascii="Arial" w:hAnsi="Arial" w:cs="Arial"/>
                <w:highlight w:val="yellow"/>
              </w:rPr>
            </w:pPr>
            <w:r>
              <w:rPr>
                <w:rFonts w:ascii="Arial" w:hAnsi="Arial" w:cs="Arial"/>
              </w:rPr>
              <w:t xml:space="preserve"> </w:t>
            </w:r>
            <w:r w:rsidR="00E771A7">
              <w:rPr>
                <w:rFonts w:ascii="Arial" w:hAnsi="Arial" w:cs="Arial"/>
              </w:rPr>
              <w:t xml:space="preserve">25 </w:t>
            </w:r>
            <w:r w:rsidR="00F74C58">
              <w:rPr>
                <w:rFonts w:ascii="Arial" w:hAnsi="Arial" w:cs="Arial"/>
              </w:rPr>
              <w:t>ianuarie</w:t>
            </w:r>
            <w:r w:rsidR="00222675">
              <w:rPr>
                <w:rFonts w:ascii="Arial" w:hAnsi="Arial" w:cs="Arial"/>
              </w:rPr>
              <w:t xml:space="preserve"> </w:t>
            </w:r>
            <w:r>
              <w:rPr>
                <w:rFonts w:ascii="Arial" w:hAnsi="Arial" w:cs="Arial"/>
              </w:rPr>
              <w:t>202</w:t>
            </w:r>
            <w:r w:rsidR="00F74C58">
              <w:rPr>
                <w:rFonts w:ascii="Arial" w:hAnsi="Arial" w:cs="Arial"/>
              </w:rPr>
              <w:t>3</w:t>
            </w:r>
          </w:p>
        </w:tc>
      </w:tr>
      <w:tr w:rsidR="00397F97" w:rsidRPr="00BF3CC1" w14:paraId="53EAE53E" w14:textId="77777777" w:rsidTr="00397F97">
        <w:trPr>
          <w:trHeight w:val="21"/>
        </w:trPr>
        <w:tc>
          <w:tcPr>
            <w:tcW w:w="1594" w:type="dxa"/>
            <w:tcMar>
              <w:top w:w="0" w:type="dxa"/>
              <w:left w:w="0" w:type="dxa"/>
              <w:bottom w:w="0" w:type="dxa"/>
              <w:right w:w="0" w:type="dxa"/>
            </w:tcMar>
            <w:hideMark/>
          </w:tcPr>
          <w:p w14:paraId="69F555A7" w14:textId="77777777" w:rsidR="00397F97" w:rsidRPr="00BF3CC1" w:rsidRDefault="00397F97" w:rsidP="008D601B">
            <w:pPr>
              <w:pStyle w:val="EYDocumentprompts"/>
              <w:rPr>
                <w:rFonts w:cs="Arial"/>
                <w:lang w:val="ro-RO"/>
              </w:rPr>
            </w:pPr>
            <w:r w:rsidRPr="00BF3CC1">
              <w:rPr>
                <w:rFonts w:cs="Arial"/>
                <w:lang w:val="ro-RO"/>
              </w:rPr>
              <w:t>Contact:</w:t>
            </w:r>
          </w:p>
        </w:tc>
        <w:tc>
          <w:tcPr>
            <w:tcW w:w="7096" w:type="dxa"/>
            <w:tcMar>
              <w:top w:w="0" w:type="dxa"/>
              <w:left w:w="0" w:type="dxa"/>
              <w:bottom w:w="0" w:type="dxa"/>
              <w:right w:w="0" w:type="dxa"/>
            </w:tcMar>
            <w:hideMark/>
          </w:tcPr>
          <w:p w14:paraId="03E3C435" w14:textId="77777777" w:rsidR="00397F97" w:rsidRPr="00BF3CC1" w:rsidRDefault="00397F97" w:rsidP="008D601B">
            <w:pPr>
              <w:pStyle w:val="EYDocumentprompts"/>
              <w:rPr>
                <w:rFonts w:cs="Arial"/>
                <w:lang w:val="ro-RO"/>
              </w:rPr>
            </w:pPr>
            <w:r>
              <w:rPr>
                <w:rFonts w:cs="Arial"/>
                <w:lang w:val="ro-RO"/>
              </w:rPr>
              <w:t>Anda Huțanu</w:t>
            </w:r>
          </w:p>
        </w:tc>
      </w:tr>
      <w:tr w:rsidR="00397F97" w:rsidRPr="00BF3CC1" w14:paraId="7FFEE11C" w14:textId="77777777" w:rsidTr="00397F97">
        <w:trPr>
          <w:trHeight w:val="21"/>
        </w:trPr>
        <w:tc>
          <w:tcPr>
            <w:tcW w:w="1594" w:type="dxa"/>
            <w:tcMar>
              <w:top w:w="0" w:type="dxa"/>
              <w:left w:w="0" w:type="dxa"/>
              <w:bottom w:w="0" w:type="dxa"/>
              <w:right w:w="0" w:type="dxa"/>
            </w:tcMar>
            <w:hideMark/>
          </w:tcPr>
          <w:p w14:paraId="75695A01" w14:textId="77777777" w:rsidR="00397F97" w:rsidRPr="00BF3CC1" w:rsidRDefault="00397F97" w:rsidP="008D601B">
            <w:pPr>
              <w:pStyle w:val="EYDocumentprompts"/>
              <w:rPr>
                <w:rFonts w:cs="Arial"/>
                <w:lang w:val="ro-RO"/>
              </w:rPr>
            </w:pPr>
            <w:r w:rsidRPr="00BF3CC1">
              <w:rPr>
                <w:rFonts w:cs="Arial"/>
                <w:lang w:val="ro-RO"/>
              </w:rPr>
              <w:t>Companie:</w:t>
            </w:r>
          </w:p>
        </w:tc>
        <w:tc>
          <w:tcPr>
            <w:tcW w:w="7096" w:type="dxa"/>
            <w:tcMar>
              <w:top w:w="0" w:type="dxa"/>
              <w:left w:w="0" w:type="dxa"/>
              <w:bottom w:w="0" w:type="dxa"/>
              <w:right w:w="0" w:type="dxa"/>
            </w:tcMar>
            <w:hideMark/>
          </w:tcPr>
          <w:p w14:paraId="65AEDA70" w14:textId="77777777" w:rsidR="00397F97" w:rsidRPr="00BF3CC1" w:rsidRDefault="00397F97" w:rsidP="008D601B">
            <w:pPr>
              <w:pStyle w:val="EYDocumentprompts"/>
              <w:rPr>
                <w:rFonts w:cs="Arial"/>
                <w:lang w:val="ro-RO"/>
              </w:rPr>
            </w:pPr>
            <w:r>
              <w:rPr>
                <w:rFonts w:cs="Arial"/>
                <w:lang w:val="ro-RO"/>
              </w:rPr>
              <w:t>EY Româ</w:t>
            </w:r>
            <w:r w:rsidRPr="00BF3CC1">
              <w:rPr>
                <w:rFonts w:cs="Arial"/>
                <w:lang w:val="ro-RO"/>
              </w:rPr>
              <w:t>nia</w:t>
            </w:r>
          </w:p>
        </w:tc>
      </w:tr>
      <w:tr w:rsidR="00397F97" w:rsidRPr="00BF3CC1" w14:paraId="15903C1F" w14:textId="77777777" w:rsidTr="00397F97">
        <w:trPr>
          <w:trHeight w:val="21"/>
        </w:trPr>
        <w:tc>
          <w:tcPr>
            <w:tcW w:w="1594" w:type="dxa"/>
            <w:tcMar>
              <w:top w:w="0" w:type="dxa"/>
              <w:left w:w="0" w:type="dxa"/>
              <w:bottom w:w="0" w:type="dxa"/>
              <w:right w:w="0" w:type="dxa"/>
            </w:tcMar>
            <w:hideMark/>
          </w:tcPr>
          <w:p w14:paraId="700EFAFC" w14:textId="77777777" w:rsidR="00397F97" w:rsidRPr="00BF3CC1" w:rsidRDefault="00397F97" w:rsidP="008D601B">
            <w:pPr>
              <w:pStyle w:val="EYDocumentprompts"/>
              <w:rPr>
                <w:rFonts w:cs="Arial"/>
                <w:lang w:val="ro-RO"/>
              </w:rPr>
            </w:pPr>
            <w:r w:rsidRPr="00BF3CC1">
              <w:rPr>
                <w:rFonts w:cs="Arial"/>
                <w:lang w:val="ro-RO"/>
              </w:rPr>
              <w:t>Tel:</w:t>
            </w:r>
          </w:p>
        </w:tc>
        <w:tc>
          <w:tcPr>
            <w:tcW w:w="7096" w:type="dxa"/>
            <w:tcMar>
              <w:top w:w="0" w:type="dxa"/>
              <w:left w:w="0" w:type="dxa"/>
              <w:bottom w:w="0" w:type="dxa"/>
              <w:right w:w="0" w:type="dxa"/>
            </w:tcMar>
            <w:hideMark/>
          </w:tcPr>
          <w:p w14:paraId="09BF93A8" w14:textId="77777777" w:rsidR="00397F97" w:rsidRPr="00BF3CC1" w:rsidRDefault="00397F97" w:rsidP="008D601B">
            <w:pPr>
              <w:pStyle w:val="EYDocumentprompts"/>
              <w:rPr>
                <w:rFonts w:cs="Arial"/>
                <w:lang w:val="ro-RO"/>
              </w:rPr>
            </w:pPr>
            <w:r w:rsidRPr="00BF3CC1">
              <w:rPr>
                <w:rFonts w:cs="Arial"/>
                <w:lang w:val="ro-RO"/>
              </w:rPr>
              <w:t>+40 21 402 4000</w:t>
            </w:r>
          </w:p>
        </w:tc>
      </w:tr>
      <w:tr w:rsidR="00397F97" w:rsidRPr="002D6B2D" w14:paraId="0CB29252" w14:textId="77777777" w:rsidTr="00397F97">
        <w:trPr>
          <w:trHeight w:val="84"/>
        </w:trPr>
        <w:tc>
          <w:tcPr>
            <w:tcW w:w="1594" w:type="dxa"/>
            <w:tcMar>
              <w:top w:w="0" w:type="dxa"/>
              <w:left w:w="0" w:type="dxa"/>
              <w:bottom w:w="0" w:type="dxa"/>
              <w:right w:w="0" w:type="dxa"/>
            </w:tcMar>
            <w:hideMark/>
          </w:tcPr>
          <w:p w14:paraId="595F2B8E" w14:textId="77777777" w:rsidR="00397F97" w:rsidRPr="00BF3CC1" w:rsidRDefault="00397F97" w:rsidP="008D601B">
            <w:pPr>
              <w:pStyle w:val="EYDocumentprompts"/>
              <w:rPr>
                <w:rFonts w:cs="Arial"/>
                <w:lang w:val="ro-RO"/>
              </w:rPr>
            </w:pPr>
            <w:r w:rsidRPr="00BF3CC1">
              <w:rPr>
                <w:rFonts w:cs="Arial"/>
                <w:lang w:val="ro-RO"/>
              </w:rPr>
              <w:t>E-mail:</w:t>
            </w:r>
          </w:p>
        </w:tc>
        <w:tc>
          <w:tcPr>
            <w:tcW w:w="7096" w:type="dxa"/>
            <w:tcMar>
              <w:top w:w="0" w:type="dxa"/>
              <w:left w:w="0" w:type="dxa"/>
              <w:bottom w:w="0" w:type="dxa"/>
              <w:right w:w="0" w:type="dxa"/>
            </w:tcMar>
            <w:hideMark/>
          </w:tcPr>
          <w:p w14:paraId="3316CC91" w14:textId="77777777" w:rsidR="00397F97" w:rsidRPr="00BF3CC1" w:rsidRDefault="00000000" w:rsidP="008D601B">
            <w:pPr>
              <w:pStyle w:val="EYDocumentprompts"/>
              <w:rPr>
                <w:rFonts w:cs="Arial"/>
                <w:color w:val="0000FF"/>
                <w:u w:val="single"/>
                <w:lang w:val="ro-RO"/>
              </w:rPr>
            </w:pPr>
            <w:hyperlink r:id="rId8" w:history="1">
              <w:r w:rsidR="00397F97" w:rsidRPr="00D539DF">
                <w:rPr>
                  <w:rStyle w:val="Hyperlink"/>
                  <w:rFonts w:cs="Arial"/>
                  <w:lang w:val="ro-RO"/>
                </w:rPr>
                <w:t>anda.hutanu@ro.ey.com</w:t>
              </w:r>
            </w:hyperlink>
            <w:r w:rsidR="00397F97">
              <w:rPr>
                <w:rStyle w:val="Hyperlink"/>
                <w:rFonts w:cs="Arial"/>
                <w:lang w:val="ro-RO"/>
              </w:rPr>
              <w:t xml:space="preserve"> </w:t>
            </w:r>
          </w:p>
        </w:tc>
      </w:tr>
    </w:tbl>
    <w:p w14:paraId="453663B8" w14:textId="77777777" w:rsidR="00397F97" w:rsidRDefault="00397F97" w:rsidP="00397F97">
      <w:pPr>
        <w:pStyle w:val="Body"/>
        <w:rPr>
          <w:lang w:val="ro-RO"/>
        </w:rPr>
      </w:pPr>
    </w:p>
    <w:p w14:paraId="576C226E" w14:textId="77777777" w:rsidR="00397F97" w:rsidRDefault="00397F97" w:rsidP="00FC72FA">
      <w:pPr>
        <w:pStyle w:val="Body"/>
        <w:jc w:val="left"/>
        <w:rPr>
          <w:lang w:val="ro-RO"/>
        </w:rPr>
      </w:pPr>
    </w:p>
    <w:p w14:paraId="74D7EDE8" w14:textId="53A7E7C0" w:rsidR="00437A0C" w:rsidRPr="002D6B2D" w:rsidRDefault="00437A0C" w:rsidP="002D6B2D">
      <w:pPr>
        <w:pStyle w:val="Body"/>
        <w:spacing w:line="240" w:lineRule="auto"/>
        <w:jc w:val="left"/>
        <w:rPr>
          <w:rFonts w:ascii="Calibri" w:hAnsi="Calibri"/>
          <w:szCs w:val="22"/>
          <w:lang w:val="pt-PT"/>
        </w:rPr>
      </w:pPr>
      <w:r w:rsidRPr="002D6B2D">
        <w:rPr>
          <w:rFonts w:cs="Arial"/>
          <w:b/>
          <w:bCs/>
          <w:kern w:val="28"/>
          <w:sz w:val="28"/>
          <w:szCs w:val="28"/>
          <w:lang w:val="ro-RO"/>
        </w:rPr>
        <w:t xml:space="preserve">Reformarea offsetului - imboldul pentru dezvoltarea industriei </w:t>
      </w:r>
      <w:r>
        <w:rPr>
          <w:rFonts w:cs="Arial"/>
          <w:b/>
          <w:bCs/>
          <w:kern w:val="28"/>
          <w:sz w:val="28"/>
          <w:szCs w:val="28"/>
          <w:lang w:val="ro-RO"/>
        </w:rPr>
        <w:t>românești</w:t>
      </w:r>
      <w:r w:rsidRPr="002D6B2D">
        <w:rPr>
          <w:rFonts w:cs="Arial"/>
          <w:b/>
          <w:bCs/>
          <w:kern w:val="28"/>
          <w:sz w:val="28"/>
          <w:szCs w:val="28"/>
          <w:lang w:val="ro-RO"/>
        </w:rPr>
        <w:t xml:space="preserve"> de ap</w:t>
      </w:r>
      <w:r>
        <w:rPr>
          <w:rFonts w:cs="Arial"/>
          <w:b/>
          <w:bCs/>
          <w:kern w:val="28"/>
          <w:sz w:val="28"/>
          <w:szCs w:val="28"/>
          <w:lang w:val="ro-RO"/>
        </w:rPr>
        <w:t>ă</w:t>
      </w:r>
      <w:r w:rsidRPr="002D6B2D">
        <w:rPr>
          <w:rFonts w:cs="Arial"/>
          <w:b/>
          <w:bCs/>
          <w:kern w:val="28"/>
          <w:sz w:val="28"/>
          <w:szCs w:val="28"/>
          <w:lang w:val="ro-RO"/>
        </w:rPr>
        <w:t>rare</w:t>
      </w:r>
    </w:p>
    <w:p w14:paraId="3A0E3F4B" w14:textId="420D6638" w:rsidR="00B21295" w:rsidRDefault="00B21295" w:rsidP="00FC72FA">
      <w:pPr>
        <w:pStyle w:val="Body"/>
        <w:spacing w:line="240" w:lineRule="auto"/>
        <w:jc w:val="left"/>
        <w:rPr>
          <w:rFonts w:cs="Arial"/>
          <w:b/>
          <w:bCs/>
          <w:kern w:val="28"/>
          <w:sz w:val="28"/>
          <w:szCs w:val="28"/>
          <w:lang w:val="ro-RO"/>
        </w:rPr>
      </w:pPr>
    </w:p>
    <w:p w14:paraId="5006D926" w14:textId="114D2A59" w:rsidR="00160D0F" w:rsidRPr="004145F5" w:rsidRDefault="00397F97" w:rsidP="00160D0F">
      <w:pPr>
        <w:pStyle w:val="Body"/>
        <w:rPr>
          <w:rFonts w:cs="Arial"/>
          <w:i/>
          <w:iCs/>
          <w:sz w:val="22"/>
          <w:szCs w:val="22"/>
          <w:lang w:val="en-US"/>
        </w:rPr>
      </w:pPr>
      <w:r w:rsidRPr="004145F5">
        <w:rPr>
          <w:rFonts w:cs="Arial"/>
          <w:i/>
          <w:iCs/>
          <w:sz w:val="22"/>
          <w:szCs w:val="22"/>
          <w:lang w:val="en-US"/>
        </w:rPr>
        <w:t>Autor:</w:t>
      </w:r>
      <w:r w:rsidR="00770DAB" w:rsidRPr="004145F5">
        <w:rPr>
          <w:rFonts w:cs="Arial"/>
          <w:i/>
          <w:iCs/>
          <w:sz w:val="22"/>
          <w:szCs w:val="22"/>
          <w:lang w:val="en-US"/>
        </w:rPr>
        <w:t xml:space="preserve"> </w:t>
      </w:r>
      <w:bookmarkStart w:id="0" w:name="_Hlk125530718"/>
      <w:proofErr w:type="spellStart"/>
      <w:r w:rsidR="00632B44" w:rsidRPr="004145F5">
        <w:rPr>
          <w:rFonts w:cs="Arial"/>
          <w:i/>
          <w:iCs/>
          <w:sz w:val="22"/>
          <w:szCs w:val="22"/>
          <w:lang w:val="en-US"/>
        </w:rPr>
        <w:t>Bujor</w:t>
      </w:r>
      <w:proofErr w:type="spellEnd"/>
      <w:r w:rsidR="00632B44" w:rsidRPr="004145F5">
        <w:rPr>
          <w:rFonts w:cs="Arial"/>
          <w:i/>
          <w:iCs/>
          <w:sz w:val="22"/>
          <w:szCs w:val="22"/>
          <w:lang w:val="en-US"/>
        </w:rPr>
        <w:t xml:space="preserve"> Octavian </w:t>
      </w:r>
      <w:proofErr w:type="spellStart"/>
      <w:r w:rsidR="00632B44" w:rsidRPr="004145F5">
        <w:rPr>
          <w:rFonts w:cs="Arial"/>
          <w:i/>
          <w:iCs/>
          <w:sz w:val="22"/>
          <w:szCs w:val="22"/>
          <w:lang w:val="en-US"/>
        </w:rPr>
        <w:t>Raclaru</w:t>
      </w:r>
      <w:proofErr w:type="spellEnd"/>
      <w:r w:rsidR="00632B44" w:rsidRPr="004145F5">
        <w:rPr>
          <w:rFonts w:cs="Arial"/>
          <w:i/>
          <w:iCs/>
          <w:sz w:val="22"/>
          <w:szCs w:val="22"/>
          <w:lang w:val="en-US"/>
        </w:rPr>
        <w:t>, Avocat, Of Counsel</w:t>
      </w:r>
      <w:r w:rsidR="00160D0F" w:rsidRPr="004145F5">
        <w:rPr>
          <w:rFonts w:cs="Arial"/>
          <w:i/>
          <w:iCs/>
          <w:sz w:val="22"/>
          <w:szCs w:val="22"/>
          <w:lang w:val="en-US"/>
        </w:rPr>
        <w:t>,</w:t>
      </w:r>
      <w:r w:rsidR="00632B44" w:rsidRPr="004145F5">
        <w:rPr>
          <w:rFonts w:cs="Arial"/>
          <w:i/>
          <w:iCs/>
          <w:sz w:val="22"/>
          <w:szCs w:val="22"/>
          <w:lang w:val="en-US"/>
        </w:rPr>
        <w:t xml:space="preserve"> Head of Defense Practice</w:t>
      </w:r>
      <w:r w:rsidR="00160D0F" w:rsidRPr="004145F5">
        <w:rPr>
          <w:rFonts w:cs="Arial"/>
          <w:i/>
          <w:iCs/>
          <w:sz w:val="22"/>
          <w:szCs w:val="22"/>
          <w:lang w:val="en-US"/>
        </w:rPr>
        <w:t xml:space="preserve">, </w:t>
      </w:r>
      <w:proofErr w:type="spellStart"/>
      <w:r w:rsidR="00632B44" w:rsidRPr="004145F5">
        <w:rPr>
          <w:rFonts w:cs="Arial"/>
          <w:i/>
          <w:iCs/>
          <w:sz w:val="22"/>
          <w:szCs w:val="22"/>
          <w:lang w:val="en-US"/>
        </w:rPr>
        <w:t>B</w:t>
      </w:r>
      <w:r w:rsidR="00E06E44">
        <w:rPr>
          <w:rFonts w:cs="Arial"/>
          <w:i/>
          <w:iCs/>
          <w:sz w:val="22"/>
          <w:szCs w:val="22"/>
          <w:lang w:val="en-US"/>
        </w:rPr>
        <w:t>ă</w:t>
      </w:r>
      <w:r w:rsidR="00632B44" w:rsidRPr="004145F5">
        <w:rPr>
          <w:rFonts w:cs="Arial"/>
          <w:i/>
          <w:iCs/>
          <w:sz w:val="22"/>
          <w:szCs w:val="22"/>
          <w:lang w:val="en-US"/>
        </w:rPr>
        <w:t>ncil</w:t>
      </w:r>
      <w:r w:rsidR="00E06E44">
        <w:rPr>
          <w:rFonts w:cs="Arial"/>
          <w:i/>
          <w:iCs/>
          <w:sz w:val="22"/>
          <w:szCs w:val="22"/>
          <w:lang w:val="en-US"/>
        </w:rPr>
        <w:t>ă</w:t>
      </w:r>
      <w:proofErr w:type="spellEnd"/>
      <w:r w:rsidR="00632B44" w:rsidRPr="004145F5">
        <w:rPr>
          <w:rFonts w:cs="Arial"/>
          <w:i/>
          <w:iCs/>
          <w:sz w:val="22"/>
          <w:szCs w:val="22"/>
          <w:lang w:val="en-US"/>
        </w:rPr>
        <w:t xml:space="preserve">, Diaconu </w:t>
      </w:r>
      <w:proofErr w:type="spellStart"/>
      <w:r w:rsidR="00E06E44">
        <w:rPr>
          <w:rFonts w:cs="Arial"/>
          <w:i/>
          <w:iCs/>
          <w:sz w:val="22"/>
          <w:szCs w:val="22"/>
          <w:lang w:val="en-US"/>
        </w:rPr>
        <w:t>ș</w:t>
      </w:r>
      <w:r w:rsidR="00632B44" w:rsidRPr="004145F5">
        <w:rPr>
          <w:rFonts w:cs="Arial"/>
          <w:i/>
          <w:iCs/>
          <w:sz w:val="22"/>
          <w:szCs w:val="22"/>
          <w:lang w:val="en-US"/>
        </w:rPr>
        <w:t>i</w:t>
      </w:r>
      <w:proofErr w:type="spellEnd"/>
      <w:r w:rsidR="00632B44" w:rsidRPr="004145F5">
        <w:rPr>
          <w:rFonts w:cs="Arial"/>
          <w:i/>
          <w:iCs/>
          <w:sz w:val="22"/>
          <w:szCs w:val="22"/>
          <w:lang w:val="en-US"/>
        </w:rPr>
        <w:t xml:space="preserve"> </w:t>
      </w:r>
      <w:proofErr w:type="spellStart"/>
      <w:r w:rsidR="00632B44" w:rsidRPr="004145F5">
        <w:rPr>
          <w:rFonts w:cs="Arial"/>
          <w:i/>
          <w:iCs/>
          <w:sz w:val="22"/>
          <w:szCs w:val="22"/>
          <w:lang w:val="en-US"/>
        </w:rPr>
        <w:t>Asocia</w:t>
      </w:r>
      <w:r w:rsidR="00E06E44">
        <w:rPr>
          <w:rFonts w:cs="Arial"/>
          <w:i/>
          <w:iCs/>
          <w:sz w:val="22"/>
          <w:szCs w:val="22"/>
          <w:lang w:val="en-US"/>
        </w:rPr>
        <w:t>ț</w:t>
      </w:r>
      <w:r w:rsidR="00632B44" w:rsidRPr="004145F5">
        <w:rPr>
          <w:rFonts w:cs="Arial"/>
          <w:i/>
          <w:iCs/>
          <w:sz w:val="22"/>
          <w:szCs w:val="22"/>
          <w:lang w:val="en-US"/>
        </w:rPr>
        <w:t>ii</w:t>
      </w:r>
      <w:proofErr w:type="spellEnd"/>
      <w:r w:rsidR="00632B44" w:rsidRPr="004145F5">
        <w:rPr>
          <w:rFonts w:cs="Arial"/>
          <w:i/>
          <w:iCs/>
          <w:sz w:val="22"/>
          <w:szCs w:val="22"/>
          <w:lang w:val="en-US"/>
        </w:rPr>
        <w:t xml:space="preserve"> </w:t>
      </w:r>
      <w:bookmarkEnd w:id="0"/>
      <w:r w:rsidR="00632B44" w:rsidRPr="004145F5">
        <w:rPr>
          <w:rFonts w:cs="Arial"/>
          <w:i/>
          <w:iCs/>
          <w:sz w:val="22"/>
          <w:szCs w:val="22"/>
          <w:lang w:val="en-US"/>
        </w:rPr>
        <w:t>SPRL</w:t>
      </w:r>
    </w:p>
    <w:p w14:paraId="0D0FF914" w14:textId="33FFE83A" w:rsidR="00814A16" w:rsidRDefault="00814A16" w:rsidP="007C14D8">
      <w:pPr>
        <w:rPr>
          <w:rFonts w:cs="Arial"/>
          <w:color w:val="000000"/>
          <w:sz w:val="22"/>
          <w:szCs w:val="22"/>
          <w:lang w:val="ro-RO"/>
        </w:rPr>
      </w:pPr>
      <w:r w:rsidRPr="00814A16">
        <w:rPr>
          <w:rFonts w:cs="Arial"/>
          <w:color w:val="000000"/>
          <w:sz w:val="22"/>
          <w:szCs w:val="22"/>
          <w:lang w:val="ro-RO"/>
        </w:rPr>
        <w:t>Eficien</w:t>
      </w:r>
      <w:r w:rsidR="007C14D8">
        <w:rPr>
          <w:rFonts w:cs="Arial"/>
          <w:color w:val="000000"/>
          <w:sz w:val="22"/>
          <w:szCs w:val="22"/>
          <w:lang w:val="ro-RO"/>
        </w:rPr>
        <w:t>ţ</w:t>
      </w:r>
      <w:r w:rsidRPr="00814A16">
        <w:rPr>
          <w:rFonts w:cs="Arial"/>
          <w:color w:val="000000"/>
          <w:sz w:val="22"/>
          <w:szCs w:val="22"/>
          <w:lang w:val="ro-RO"/>
        </w:rPr>
        <w:t>a Ordonanței de urgen</w:t>
      </w:r>
      <w:r w:rsidR="007C14D8">
        <w:rPr>
          <w:rFonts w:cs="Arial"/>
          <w:color w:val="000000"/>
          <w:sz w:val="22"/>
          <w:szCs w:val="22"/>
          <w:lang w:val="ro-RO"/>
        </w:rPr>
        <w:t>ţă</w:t>
      </w:r>
      <w:r w:rsidRPr="00814A16">
        <w:rPr>
          <w:rFonts w:cs="Arial"/>
          <w:color w:val="000000"/>
          <w:sz w:val="22"/>
          <w:szCs w:val="22"/>
          <w:lang w:val="ro-RO"/>
        </w:rPr>
        <w:t xml:space="preserve"> nr.189/2002 privind </w:t>
      </w:r>
      <w:r w:rsidRPr="00814A16">
        <w:rPr>
          <w:rFonts w:cs="Arial"/>
          <w:i/>
          <w:iCs/>
          <w:color w:val="000000"/>
          <w:sz w:val="22"/>
          <w:szCs w:val="22"/>
          <w:lang w:val="ro-RO"/>
        </w:rPr>
        <w:t>operațiunile compensatorii referitoare la contractele de achiziții pentru nevoi de apărare, ordine publică și siguranță națională</w:t>
      </w:r>
      <w:r w:rsidRPr="00814A16">
        <w:rPr>
          <w:rFonts w:cs="Arial"/>
          <w:color w:val="000000"/>
          <w:sz w:val="22"/>
          <w:szCs w:val="22"/>
          <w:lang w:val="ro-RO"/>
        </w:rPr>
        <w:t>, deja</w:t>
      </w:r>
      <w:r w:rsidR="007C14D8">
        <w:rPr>
          <w:rFonts w:cs="Arial"/>
          <w:color w:val="000000"/>
          <w:sz w:val="22"/>
          <w:szCs w:val="22"/>
          <w:lang w:val="ro-RO"/>
        </w:rPr>
        <w:t xml:space="preserve"> </w:t>
      </w:r>
      <w:r w:rsidRPr="00814A16">
        <w:rPr>
          <w:rFonts w:cs="Arial"/>
          <w:color w:val="000000"/>
          <w:sz w:val="22"/>
          <w:szCs w:val="22"/>
          <w:lang w:val="ro-RO"/>
        </w:rPr>
        <w:t>dep</w:t>
      </w:r>
      <w:r w:rsidR="007C14D8">
        <w:rPr>
          <w:rFonts w:cs="Arial"/>
          <w:color w:val="000000"/>
          <w:sz w:val="22"/>
          <w:szCs w:val="22"/>
          <w:lang w:val="ro-RO"/>
        </w:rPr>
        <w:t>ăş</w:t>
      </w:r>
      <w:r w:rsidRPr="00814A16">
        <w:rPr>
          <w:rFonts w:cs="Arial"/>
          <w:color w:val="000000"/>
          <w:sz w:val="22"/>
          <w:szCs w:val="22"/>
          <w:lang w:val="ro-RO"/>
        </w:rPr>
        <w:t>ită la aderarea României la NATO și UE</w:t>
      </w:r>
      <w:r w:rsidR="00E771A7">
        <w:rPr>
          <w:rFonts w:cs="Arial"/>
          <w:color w:val="000000"/>
          <w:sz w:val="22"/>
          <w:szCs w:val="22"/>
          <w:lang w:val="ro-RO"/>
        </w:rPr>
        <w:t>,</w:t>
      </w:r>
      <w:r w:rsidRPr="00814A16">
        <w:rPr>
          <w:rFonts w:cs="Arial"/>
          <w:color w:val="000000"/>
          <w:sz w:val="22"/>
          <w:szCs w:val="22"/>
          <w:lang w:val="ro-RO"/>
        </w:rPr>
        <w:t xml:space="preserve"> ulterior intrării ei </w:t>
      </w:r>
      <w:r w:rsidR="007C14D8">
        <w:rPr>
          <w:rFonts w:cs="Arial"/>
          <w:color w:val="000000"/>
          <w:sz w:val="22"/>
          <w:szCs w:val="22"/>
          <w:lang w:val="ro-RO"/>
        </w:rPr>
        <w:t>î</w:t>
      </w:r>
      <w:r w:rsidRPr="00814A16">
        <w:rPr>
          <w:rFonts w:cs="Arial"/>
          <w:color w:val="000000"/>
          <w:sz w:val="22"/>
          <w:szCs w:val="22"/>
          <w:lang w:val="ro-RO"/>
        </w:rPr>
        <w:t xml:space="preserve">n vigoare la 21 februarie 2003, a fost gradual </w:t>
      </w:r>
      <w:bookmarkStart w:id="1" w:name="_Hlk125381720"/>
      <w:r w:rsidRPr="00814A16">
        <w:rPr>
          <w:rFonts w:cs="Arial"/>
          <w:color w:val="000000"/>
          <w:sz w:val="22"/>
          <w:szCs w:val="22"/>
          <w:lang w:val="ro-RO"/>
        </w:rPr>
        <w:t>ș</w:t>
      </w:r>
      <w:bookmarkEnd w:id="1"/>
      <w:r w:rsidRPr="00814A16">
        <w:rPr>
          <w:rFonts w:cs="Arial"/>
          <w:color w:val="000000"/>
          <w:sz w:val="22"/>
          <w:szCs w:val="22"/>
          <w:lang w:val="ro-RO"/>
        </w:rPr>
        <w:t xml:space="preserve">ubrezită prin amendamentele adoptate </w:t>
      </w:r>
      <w:r w:rsidR="007C14D8">
        <w:rPr>
          <w:rFonts w:cs="Arial"/>
          <w:color w:val="000000"/>
          <w:sz w:val="22"/>
          <w:szCs w:val="22"/>
          <w:lang w:val="ro-RO"/>
        </w:rPr>
        <w:t>î</w:t>
      </w:r>
      <w:r w:rsidRPr="00814A16">
        <w:rPr>
          <w:rFonts w:cs="Arial"/>
          <w:color w:val="000000"/>
          <w:sz w:val="22"/>
          <w:szCs w:val="22"/>
          <w:lang w:val="ro-RO"/>
        </w:rPr>
        <w:t xml:space="preserve">n anii 2005, 2010 </w:t>
      </w:r>
      <w:r w:rsidR="007C14D8">
        <w:rPr>
          <w:rFonts w:cs="Arial"/>
          <w:color w:val="000000"/>
          <w:sz w:val="22"/>
          <w:szCs w:val="22"/>
          <w:lang w:val="ro-RO"/>
        </w:rPr>
        <w:t>ş</w:t>
      </w:r>
      <w:r w:rsidRPr="00814A16">
        <w:rPr>
          <w:rFonts w:cs="Arial"/>
          <w:color w:val="000000"/>
          <w:sz w:val="22"/>
          <w:szCs w:val="22"/>
          <w:lang w:val="ro-RO"/>
        </w:rPr>
        <w:t xml:space="preserve">i 2015. </w:t>
      </w:r>
    </w:p>
    <w:p w14:paraId="4BEDFEEA" w14:textId="77777777" w:rsidR="00814A16" w:rsidRPr="00814A16" w:rsidRDefault="00814A16" w:rsidP="007C14D8">
      <w:pPr>
        <w:rPr>
          <w:rFonts w:cs="Arial"/>
          <w:color w:val="000000"/>
          <w:sz w:val="22"/>
          <w:szCs w:val="22"/>
          <w:lang w:val="ro-RO"/>
        </w:rPr>
      </w:pPr>
    </w:p>
    <w:p w14:paraId="38D33DC5" w14:textId="05A51A0A" w:rsidR="00814A16" w:rsidRDefault="00814A16" w:rsidP="007C14D8">
      <w:pPr>
        <w:rPr>
          <w:rFonts w:cs="Arial"/>
          <w:color w:val="000000"/>
          <w:sz w:val="22"/>
          <w:szCs w:val="22"/>
          <w:lang w:val="ro-RO"/>
        </w:rPr>
      </w:pPr>
      <w:r w:rsidRPr="00814A16">
        <w:rPr>
          <w:rFonts w:cs="Arial"/>
          <w:color w:val="000000"/>
          <w:sz w:val="22"/>
          <w:szCs w:val="22"/>
          <w:lang w:val="ro-RO"/>
        </w:rPr>
        <w:t xml:space="preserve">Lăsând deoparte celelalte critici ale sistemului de offset aplicabil achizițiilor pentru nevoi de apărare </w:t>
      </w:r>
      <w:r w:rsidR="007C14D8">
        <w:rPr>
          <w:rFonts w:cs="Arial"/>
          <w:color w:val="000000"/>
          <w:sz w:val="22"/>
          <w:szCs w:val="22"/>
          <w:lang w:val="ro-RO"/>
        </w:rPr>
        <w:t>î</w:t>
      </w:r>
      <w:r w:rsidRPr="00814A16">
        <w:rPr>
          <w:rFonts w:cs="Arial"/>
          <w:color w:val="000000"/>
          <w:sz w:val="22"/>
          <w:szCs w:val="22"/>
          <w:lang w:val="ro-RO"/>
        </w:rPr>
        <w:t xml:space="preserve">n România (exceptarea de la aplicabilitatea offsetului asupra achizițiilor tip Government-to-Government - G2G, permiterea offsetului indirect, procentul mai redus de offset – 80% sau modul de stabilire a multiplicatorilor specifici), </w:t>
      </w:r>
      <w:r w:rsidR="00E771A7">
        <w:rPr>
          <w:rFonts w:cs="Arial"/>
          <w:color w:val="000000"/>
          <w:sz w:val="22"/>
          <w:szCs w:val="22"/>
          <w:lang w:val="ro-RO"/>
        </w:rPr>
        <w:t xml:space="preserve">sunt de avut în vedere </w:t>
      </w:r>
      <w:r w:rsidRPr="00814A16">
        <w:rPr>
          <w:rFonts w:cs="Arial"/>
          <w:color w:val="000000"/>
          <w:sz w:val="22"/>
          <w:szCs w:val="22"/>
          <w:lang w:val="ro-RO"/>
        </w:rPr>
        <w:t>două probleme a căror rezolvare a constituit unul dintre obiectivele centrale ale reformei sistemului polonez de offset în domeniul achizițiilor militare.</w:t>
      </w:r>
    </w:p>
    <w:p w14:paraId="34AC0A32" w14:textId="77777777" w:rsidR="00814A16" w:rsidRPr="00814A16" w:rsidRDefault="00814A16" w:rsidP="007C14D8">
      <w:pPr>
        <w:rPr>
          <w:rFonts w:cs="Arial"/>
          <w:color w:val="000000"/>
          <w:sz w:val="22"/>
          <w:szCs w:val="22"/>
          <w:lang w:val="ro-RO"/>
        </w:rPr>
      </w:pPr>
    </w:p>
    <w:p w14:paraId="1AF58FAD" w14:textId="4E6300EF" w:rsidR="00814A16" w:rsidRDefault="00814A16" w:rsidP="007C14D8">
      <w:pPr>
        <w:rPr>
          <w:rFonts w:cs="Arial"/>
          <w:color w:val="000000"/>
          <w:sz w:val="22"/>
          <w:szCs w:val="22"/>
          <w:lang w:val="ro-RO"/>
        </w:rPr>
      </w:pPr>
      <w:r w:rsidRPr="00814A16">
        <w:rPr>
          <w:rFonts w:cs="Arial"/>
          <w:b/>
          <w:bCs/>
          <w:color w:val="000000"/>
          <w:sz w:val="22"/>
          <w:szCs w:val="22"/>
          <w:lang w:val="ro-RO"/>
        </w:rPr>
        <w:t>Automatismul operațiunilor de offset la atingerea unui prag valoric mic, fără vreo analiz</w:t>
      </w:r>
      <w:r w:rsidR="00165A65">
        <w:rPr>
          <w:rFonts w:cs="Arial"/>
          <w:b/>
          <w:bCs/>
          <w:color w:val="000000"/>
          <w:sz w:val="22"/>
          <w:szCs w:val="22"/>
          <w:lang w:val="ro-RO"/>
        </w:rPr>
        <w:t>ă</w:t>
      </w:r>
      <w:r w:rsidRPr="00814A16">
        <w:rPr>
          <w:rFonts w:cs="Arial"/>
          <w:b/>
          <w:bCs/>
          <w:color w:val="000000"/>
          <w:sz w:val="22"/>
          <w:szCs w:val="22"/>
          <w:lang w:val="ro-RO"/>
        </w:rPr>
        <w:t xml:space="preserve"> cost-beneficiu,</w:t>
      </w:r>
      <w:r w:rsidRPr="00814A16">
        <w:rPr>
          <w:rFonts w:cs="Arial"/>
          <w:color w:val="000000"/>
          <w:sz w:val="22"/>
          <w:szCs w:val="22"/>
          <w:lang w:val="ro-RO"/>
        </w:rPr>
        <w:t xml:space="preserve"> ridică numeroase probleme de ordin juridic </w:t>
      </w:r>
      <w:r w:rsidR="007C14D8">
        <w:rPr>
          <w:rFonts w:cs="Arial"/>
          <w:color w:val="000000"/>
          <w:sz w:val="22"/>
          <w:szCs w:val="22"/>
          <w:lang w:val="ro-RO"/>
        </w:rPr>
        <w:t>ş</w:t>
      </w:r>
      <w:r w:rsidRPr="00814A16">
        <w:rPr>
          <w:rFonts w:cs="Arial"/>
          <w:color w:val="000000"/>
          <w:sz w:val="22"/>
          <w:szCs w:val="22"/>
          <w:lang w:val="ro-RO"/>
        </w:rPr>
        <w:t xml:space="preserve">i practic în România, dintre care </w:t>
      </w:r>
      <w:r w:rsidR="00E771A7">
        <w:rPr>
          <w:rFonts w:cs="Arial"/>
          <w:color w:val="000000"/>
          <w:sz w:val="22"/>
          <w:szCs w:val="22"/>
          <w:lang w:val="ro-RO"/>
        </w:rPr>
        <w:t>sunt de menționat</w:t>
      </w:r>
      <w:r w:rsidRPr="00814A16">
        <w:rPr>
          <w:rFonts w:cs="Arial"/>
          <w:color w:val="000000"/>
          <w:sz w:val="22"/>
          <w:szCs w:val="22"/>
          <w:lang w:val="ro-RO"/>
        </w:rPr>
        <w:t>:</w:t>
      </w:r>
    </w:p>
    <w:p w14:paraId="15C64B2B" w14:textId="77777777" w:rsidR="00A90232" w:rsidRPr="00814A16" w:rsidRDefault="00A90232" w:rsidP="007C14D8">
      <w:pPr>
        <w:rPr>
          <w:rFonts w:cs="Arial"/>
          <w:color w:val="000000"/>
          <w:sz w:val="22"/>
          <w:szCs w:val="22"/>
          <w:lang w:val="ro-RO"/>
        </w:rPr>
      </w:pPr>
    </w:p>
    <w:p w14:paraId="5995A2E8" w14:textId="421246B1" w:rsidR="00814A16" w:rsidRPr="00814A16" w:rsidRDefault="00814A16" w:rsidP="007C14D8">
      <w:pPr>
        <w:pStyle w:val="ListParagraph"/>
        <w:numPr>
          <w:ilvl w:val="0"/>
          <w:numId w:val="45"/>
        </w:numPr>
        <w:ind w:left="270" w:hanging="270"/>
        <w:rPr>
          <w:rFonts w:ascii="Arial" w:hAnsi="Arial" w:cs="Arial"/>
          <w:color w:val="000000"/>
          <w:lang w:val="ro-RO"/>
        </w:rPr>
      </w:pPr>
      <w:r w:rsidRPr="00814A16">
        <w:rPr>
          <w:rFonts w:ascii="Arial" w:hAnsi="Arial" w:cs="Arial"/>
          <w:color w:val="000000"/>
          <w:lang w:val="ro-RO"/>
        </w:rPr>
        <w:t>automatismul / necircumstanțierea offsetului poate aduce României proceduri de infringement prin prisma afectării principiilor concurențiale, ale transparen</w:t>
      </w:r>
      <w:r w:rsidR="007C14D8">
        <w:rPr>
          <w:rFonts w:ascii="Arial" w:hAnsi="Arial" w:cs="Arial"/>
          <w:color w:val="000000"/>
          <w:lang w:val="ro-RO"/>
        </w:rPr>
        <w:t>ţ</w:t>
      </w:r>
      <w:r w:rsidRPr="00814A16">
        <w:rPr>
          <w:rFonts w:ascii="Arial" w:hAnsi="Arial" w:cs="Arial"/>
          <w:color w:val="000000"/>
          <w:lang w:val="ro-RO"/>
        </w:rPr>
        <w:t xml:space="preserve">ei </w:t>
      </w:r>
      <w:r w:rsidR="007C14D8">
        <w:rPr>
          <w:rFonts w:ascii="Arial" w:hAnsi="Arial" w:cs="Arial"/>
          <w:color w:val="000000"/>
          <w:lang w:val="ro-RO"/>
        </w:rPr>
        <w:t>ş</w:t>
      </w:r>
      <w:r w:rsidRPr="00814A16">
        <w:rPr>
          <w:rFonts w:ascii="Arial" w:hAnsi="Arial" w:cs="Arial"/>
          <w:color w:val="000000"/>
          <w:lang w:val="ro-RO"/>
        </w:rPr>
        <w:t xml:space="preserve">i nediscriminării sub Tratatul de Funcționare al Uniunii Europene (TFUE) </w:t>
      </w:r>
      <w:r w:rsidR="007C14D8">
        <w:rPr>
          <w:rFonts w:ascii="Arial" w:hAnsi="Arial" w:cs="Arial"/>
          <w:color w:val="000000"/>
          <w:lang w:val="ro-RO"/>
        </w:rPr>
        <w:t>ş</w:t>
      </w:r>
      <w:r w:rsidRPr="00814A16">
        <w:rPr>
          <w:rFonts w:ascii="Arial" w:hAnsi="Arial" w:cs="Arial"/>
          <w:color w:val="000000"/>
          <w:lang w:val="ro-RO"/>
        </w:rPr>
        <w:t xml:space="preserve">i </w:t>
      </w:r>
      <w:r w:rsidR="007C14D8">
        <w:rPr>
          <w:rFonts w:ascii="Arial" w:hAnsi="Arial" w:cs="Arial"/>
          <w:color w:val="000000"/>
          <w:lang w:val="ro-RO"/>
        </w:rPr>
        <w:t>î</w:t>
      </w:r>
      <w:r w:rsidRPr="00814A16">
        <w:rPr>
          <w:rFonts w:ascii="Arial" w:hAnsi="Arial" w:cs="Arial"/>
          <w:color w:val="000000"/>
          <w:lang w:val="ro-RO"/>
        </w:rPr>
        <w:t xml:space="preserve">n relație cu normativele europene </w:t>
      </w:r>
      <w:r w:rsidR="00E771A7">
        <w:rPr>
          <w:rFonts w:ascii="Arial" w:hAnsi="Arial" w:cs="Arial"/>
          <w:color w:val="000000"/>
          <w:lang w:val="ro-RO"/>
        </w:rPr>
        <w:t>care reglementează</w:t>
      </w:r>
      <w:r w:rsidR="00E771A7" w:rsidRPr="00814A16">
        <w:rPr>
          <w:rFonts w:ascii="Arial" w:hAnsi="Arial" w:cs="Arial"/>
          <w:color w:val="000000"/>
          <w:lang w:val="ro-RO"/>
        </w:rPr>
        <w:t xml:space="preserve"> </w:t>
      </w:r>
      <w:r w:rsidRPr="00814A16">
        <w:rPr>
          <w:rFonts w:ascii="Arial" w:hAnsi="Arial" w:cs="Arial"/>
          <w:color w:val="000000"/>
          <w:lang w:val="ro-RO"/>
        </w:rPr>
        <w:t xml:space="preserve">achizițiile de produse </w:t>
      </w:r>
      <w:r w:rsidR="007C14D8">
        <w:rPr>
          <w:rFonts w:ascii="Arial" w:hAnsi="Arial" w:cs="Arial"/>
          <w:color w:val="000000"/>
          <w:lang w:val="ro-RO"/>
        </w:rPr>
        <w:t>ş</w:t>
      </w:r>
      <w:r w:rsidRPr="00814A16">
        <w:rPr>
          <w:rFonts w:ascii="Arial" w:hAnsi="Arial" w:cs="Arial"/>
          <w:color w:val="000000"/>
          <w:lang w:val="ro-RO"/>
        </w:rPr>
        <w:t xml:space="preserve">i servicii din domeniile apărării și securității </w:t>
      </w:r>
      <w:r w:rsidR="007C14D8">
        <w:rPr>
          <w:rFonts w:ascii="Arial" w:hAnsi="Arial" w:cs="Arial"/>
          <w:color w:val="000000"/>
          <w:lang w:val="ro-RO"/>
        </w:rPr>
        <w:t>ş</w:t>
      </w:r>
      <w:r w:rsidRPr="00814A16">
        <w:rPr>
          <w:rFonts w:ascii="Arial" w:hAnsi="Arial" w:cs="Arial"/>
          <w:color w:val="000000"/>
          <w:lang w:val="ro-RO"/>
        </w:rPr>
        <w:t xml:space="preserve">i respectiv transferul intra-UE al acestor tipuri de produse. Așa cum a decis Curtea de Justiție a Uniunii Europene </w:t>
      </w:r>
      <w:r w:rsidR="00BE34DC">
        <w:rPr>
          <w:rFonts w:ascii="Arial" w:hAnsi="Arial" w:cs="Arial"/>
          <w:color w:val="000000"/>
          <w:lang w:val="ro-RO"/>
        </w:rPr>
        <w:t>î</w:t>
      </w:r>
      <w:r w:rsidRPr="00814A16">
        <w:rPr>
          <w:rFonts w:ascii="Arial" w:hAnsi="Arial" w:cs="Arial"/>
          <w:color w:val="000000"/>
          <w:lang w:val="ro-RO"/>
        </w:rPr>
        <w:t>n numeroase cauze, excepția „</w:t>
      </w:r>
      <w:r w:rsidRPr="00814A16">
        <w:rPr>
          <w:rFonts w:ascii="Arial" w:hAnsi="Arial" w:cs="Arial"/>
          <w:i/>
          <w:iCs/>
          <w:color w:val="000000"/>
          <w:lang w:val="ro-RO"/>
        </w:rPr>
        <w:t xml:space="preserve">protejării intereselor esențiale de securitate </w:t>
      </w:r>
      <w:r w:rsidR="00BE34DC">
        <w:rPr>
          <w:rFonts w:ascii="Arial" w:hAnsi="Arial" w:cs="Arial"/>
          <w:i/>
          <w:iCs/>
          <w:color w:val="000000"/>
          <w:lang w:val="ro-RO"/>
        </w:rPr>
        <w:t>î</w:t>
      </w:r>
      <w:r w:rsidRPr="00814A16">
        <w:rPr>
          <w:rFonts w:ascii="Arial" w:hAnsi="Arial" w:cs="Arial"/>
          <w:i/>
          <w:iCs/>
          <w:color w:val="000000"/>
          <w:lang w:val="ro-RO"/>
        </w:rPr>
        <w:t xml:space="preserve">n legătură cu producția </w:t>
      </w:r>
      <w:r w:rsidR="00BE34DC">
        <w:rPr>
          <w:rFonts w:ascii="Arial" w:hAnsi="Arial" w:cs="Arial"/>
          <w:i/>
          <w:iCs/>
          <w:color w:val="000000"/>
          <w:lang w:val="ro-RO"/>
        </w:rPr>
        <w:t>ş</w:t>
      </w:r>
      <w:r w:rsidRPr="00814A16">
        <w:rPr>
          <w:rFonts w:ascii="Arial" w:hAnsi="Arial" w:cs="Arial"/>
          <w:i/>
          <w:iCs/>
          <w:color w:val="000000"/>
          <w:lang w:val="ro-RO"/>
        </w:rPr>
        <w:t xml:space="preserve">i comerțul cu arme, muniție </w:t>
      </w:r>
      <w:r w:rsidR="00BE34DC">
        <w:rPr>
          <w:rFonts w:ascii="Arial" w:hAnsi="Arial" w:cs="Arial"/>
          <w:i/>
          <w:iCs/>
          <w:color w:val="000000"/>
          <w:lang w:val="ro-RO"/>
        </w:rPr>
        <w:t>ş</w:t>
      </w:r>
      <w:r w:rsidRPr="00814A16">
        <w:rPr>
          <w:rFonts w:ascii="Arial" w:hAnsi="Arial" w:cs="Arial"/>
          <w:i/>
          <w:iCs/>
          <w:color w:val="000000"/>
          <w:lang w:val="ro-RO"/>
        </w:rPr>
        <w:t>i material de război</w:t>
      </w:r>
      <w:r w:rsidRPr="00814A16">
        <w:rPr>
          <w:rFonts w:ascii="Arial" w:hAnsi="Arial" w:cs="Arial"/>
          <w:color w:val="000000"/>
          <w:lang w:val="ro-RO"/>
        </w:rPr>
        <w:t>”</w:t>
      </w:r>
      <w:r w:rsidR="00E771A7">
        <w:rPr>
          <w:rFonts w:ascii="Arial" w:hAnsi="Arial" w:cs="Arial"/>
          <w:color w:val="000000"/>
          <w:lang w:val="ro-RO"/>
        </w:rPr>
        <w:t>,</w:t>
      </w:r>
      <w:r w:rsidRPr="00814A16">
        <w:rPr>
          <w:rFonts w:ascii="Arial" w:hAnsi="Arial" w:cs="Arial"/>
          <w:color w:val="000000"/>
          <w:lang w:val="ro-RO"/>
        </w:rPr>
        <w:t xml:space="preserve"> prevăzută la art. 346 alin. (1) litera (b) </w:t>
      </w:r>
      <w:r w:rsidRPr="00814A16">
        <w:rPr>
          <w:rFonts w:ascii="Arial" w:hAnsi="Arial" w:cs="Arial"/>
          <w:color w:val="000000"/>
          <w:lang w:val="ro-RO"/>
        </w:rPr>
        <w:lastRenderedPageBreak/>
        <w:t>al TFUE este de strict</w:t>
      </w:r>
      <w:r w:rsidR="00BE34DC">
        <w:rPr>
          <w:rFonts w:ascii="Arial" w:hAnsi="Arial" w:cs="Arial"/>
          <w:color w:val="000000"/>
          <w:lang w:val="ro-RO"/>
        </w:rPr>
        <w:t>ă</w:t>
      </w:r>
      <w:r w:rsidRPr="00814A16">
        <w:rPr>
          <w:rFonts w:ascii="Arial" w:hAnsi="Arial" w:cs="Arial"/>
          <w:color w:val="000000"/>
          <w:lang w:val="ro-RO"/>
        </w:rPr>
        <w:t xml:space="preserve"> interpretare, referindu-se la cazuri excepționale, care trebuie s</w:t>
      </w:r>
      <w:r w:rsidR="00BE34DC">
        <w:rPr>
          <w:rFonts w:ascii="Arial" w:hAnsi="Arial" w:cs="Arial"/>
          <w:color w:val="000000"/>
          <w:lang w:val="ro-RO"/>
        </w:rPr>
        <w:t>ă</w:t>
      </w:r>
      <w:r w:rsidRPr="00814A16">
        <w:rPr>
          <w:rFonts w:ascii="Arial" w:hAnsi="Arial" w:cs="Arial"/>
          <w:color w:val="000000"/>
          <w:lang w:val="ro-RO"/>
        </w:rPr>
        <w:t xml:space="preserve"> fie clar individualizate.</w:t>
      </w:r>
    </w:p>
    <w:p w14:paraId="5C978DEC" w14:textId="77777777" w:rsidR="00814A16" w:rsidRPr="00814A16" w:rsidRDefault="00814A16" w:rsidP="007C14D8">
      <w:pPr>
        <w:pStyle w:val="ListParagraph"/>
        <w:ind w:left="270" w:hanging="270"/>
        <w:rPr>
          <w:rFonts w:ascii="Arial" w:hAnsi="Arial" w:cs="Arial"/>
          <w:color w:val="000000"/>
          <w:lang w:val="ro-RO"/>
        </w:rPr>
      </w:pPr>
    </w:p>
    <w:p w14:paraId="3D2C894D" w14:textId="6793192A" w:rsidR="00814A16" w:rsidRPr="00814A16" w:rsidRDefault="00814A16" w:rsidP="007C14D8">
      <w:pPr>
        <w:pStyle w:val="ListParagraph"/>
        <w:numPr>
          <w:ilvl w:val="0"/>
          <w:numId w:val="45"/>
        </w:numPr>
        <w:ind w:left="270" w:hanging="270"/>
        <w:rPr>
          <w:rFonts w:ascii="Arial" w:hAnsi="Arial" w:cs="Arial"/>
          <w:color w:val="000000"/>
          <w:lang w:val="ro-RO"/>
        </w:rPr>
      </w:pPr>
      <w:r w:rsidRPr="00814A16">
        <w:rPr>
          <w:rFonts w:ascii="Arial" w:hAnsi="Arial" w:cs="Arial"/>
          <w:color w:val="000000"/>
          <w:lang w:val="ro-RO"/>
        </w:rPr>
        <w:t>pragul mic de declanșare a obligației de offset, de doar 2 milioane de Euro (valoare a achiziției „</w:t>
      </w:r>
      <w:r w:rsidRPr="00814A16">
        <w:rPr>
          <w:rFonts w:ascii="Arial" w:hAnsi="Arial" w:cs="Arial"/>
          <w:i/>
          <w:iCs/>
          <w:color w:val="000000"/>
          <w:lang w:val="ro-RO"/>
        </w:rPr>
        <w:t>individuală sau cumulată</w:t>
      </w:r>
      <w:r w:rsidRPr="00814A16">
        <w:rPr>
          <w:rFonts w:ascii="Arial" w:hAnsi="Arial" w:cs="Arial"/>
          <w:color w:val="000000"/>
          <w:lang w:val="ro-RO"/>
        </w:rPr>
        <w:t>”, spre compara</w:t>
      </w:r>
      <w:r w:rsidR="00BE34DC">
        <w:rPr>
          <w:rFonts w:ascii="Arial" w:hAnsi="Arial" w:cs="Arial"/>
          <w:color w:val="000000"/>
          <w:lang w:val="ro-RO"/>
        </w:rPr>
        <w:t>ţ</w:t>
      </w:r>
      <w:r w:rsidRPr="00814A16">
        <w:rPr>
          <w:rFonts w:ascii="Arial" w:hAnsi="Arial" w:cs="Arial"/>
          <w:color w:val="000000"/>
          <w:lang w:val="ro-RO"/>
        </w:rPr>
        <w:t xml:space="preserve">ie pragul este de 5 milioane de Euro </w:t>
      </w:r>
      <w:r w:rsidR="00BE34DC">
        <w:rPr>
          <w:rFonts w:ascii="Arial" w:hAnsi="Arial" w:cs="Arial"/>
          <w:color w:val="000000"/>
          <w:lang w:val="ro-RO"/>
        </w:rPr>
        <w:t>î</w:t>
      </w:r>
      <w:r w:rsidRPr="00814A16">
        <w:rPr>
          <w:rFonts w:ascii="Arial" w:hAnsi="Arial" w:cs="Arial"/>
          <w:color w:val="000000"/>
          <w:lang w:val="ro-RO"/>
        </w:rPr>
        <w:t xml:space="preserve">n Polonia </w:t>
      </w:r>
      <w:r w:rsidR="00BE34DC">
        <w:rPr>
          <w:rFonts w:ascii="Arial" w:hAnsi="Arial" w:cs="Arial"/>
          <w:color w:val="000000"/>
          <w:lang w:val="ro-RO"/>
        </w:rPr>
        <w:t>ş</w:t>
      </w:r>
      <w:r w:rsidRPr="00814A16">
        <w:rPr>
          <w:rFonts w:ascii="Arial" w:hAnsi="Arial" w:cs="Arial"/>
          <w:color w:val="000000"/>
          <w:lang w:val="ro-RO"/>
        </w:rPr>
        <w:t>i</w:t>
      </w:r>
      <w:r w:rsidR="00BE34DC">
        <w:rPr>
          <w:rFonts w:ascii="Arial" w:hAnsi="Arial" w:cs="Arial"/>
          <w:color w:val="000000"/>
          <w:lang w:val="ro-RO"/>
        </w:rPr>
        <w:t>,</w:t>
      </w:r>
      <w:r w:rsidRPr="00814A16">
        <w:rPr>
          <w:rFonts w:ascii="Arial" w:hAnsi="Arial" w:cs="Arial"/>
          <w:color w:val="000000"/>
          <w:lang w:val="ro-RO"/>
        </w:rPr>
        <w:t xml:space="preserve"> respectiv</w:t>
      </w:r>
      <w:r w:rsidR="00BE34DC">
        <w:rPr>
          <w:rFonts w:ascii="Arial" w:hAnsi="Arial" w:cs="Arial"/>
          <w:color w:val="000000"/>
          <w:lang w:val="ro-RO"/>
        </w:rPr>
        <w:t>,</w:t>
      </w:r>
      <w:r w:rsidRPr="00814A16">
        <w:rPr>
          <w:rFonts w:ascii="Arial" w:hAnsi="Arial" w:cs="Arial"/>
          <w:color w:val="000000"/>
          <w:lang w:val="ro-RO"/>
        </w:rPr>
        <w:t xml:space="preserve"> de 10 milioane de Euro </w:t>
      </w:r>
      <w:r w:rsidR="00BE34DC">
        <w:rPr>
          <w:rFonts w:ascii="Arial" w:hAnsi="Arial" w:cs="Arial"/>
          <w:color w:val="000000"/>
          <w:lang w:val="ro-RO"/>
        </w:rPr>
        <w:t>î</w:t>
      </w:r>
      <w:r w:rsidRPr="00814A16">
        <w:rPr>
          <w:rFonts w:ascii="Arial" w:hAnsi="Arial" w:cs="Arial"/>
          <w:color w:val="000000"/>
          <w:lang w:val="ro-RO"/>
        </w:rPr>
        <w:t>n Grecia), duce la încărcarea inutil</w:t>
      </w:r>
      <w:r w:rsidR="00BE34DC">
        <w:rPr>
          <w:rFonts w:ascii="Arial" w:hAnsi="Arial" w:cs="Arial"/>
          <w:color w:val="000000"/>
          <w:lang w:val="ro-RO"/>
        </w:rPr>
        <w:t>ă</w:t>
      </w:r>
      <w:r w:rsidRPr="00814A16">
        <w:rPr>
          <w:rFonts w:ascii="Arial" w:hAnsi="Arial" w:cs="Arial"/>
          <w:color w:val="000000"/>
          <w:lang w:val="ro-RO"/>
        </w:rPr>
        <w:t xml:space="preserve"> a sistemului cu achiziții de valoare mic</w:t>
      </w:r>
      <w:r w:rsidR="00BE34DC">
        <w:rPr>
          <w:rFonts w:ascii="Arial" w:hAnsi="Arial" w:cs="Arial"/>
          <w:color w:val="000000"/>
          <w:lang w:val="ro-RO"/>
        </w:rPr>
        <w:t>ă</w:t>
      </w:r>
      <w:r w:rsidRPr="00814A16">
        <w:rPr>
          <w:rFonts w:ascii="Arial" w:hAnsi="Arial" w:cs="Arial"/>
          <w:color w:val="000000"/>
          <w:lang w:val="ro-RO"/>
        </w:rPr>
        <w:t>, divizarea artificial</w:t>
      </w:r>
      <w:r w:rsidR="00BE34DC">
        <w:rPr>
          <w:rFonts w:ascii="Arial" w:hAnsi="Arial" w:cs="Arial"/>
          <w:color w:val="000000"/>
          <w:lang w:val="ro-RO"/>
        </w:rPr>
        <w:t>ă</w:t>
      </w:r>
      <w:r w:rsidRPr="00814A16">
        <w:rPr>
          <w:rFonts w:ascii="Arial" w:hAnsi="Arial" w:cs="Arial"/>
          <w:color w:val="000000"/>
          <w:lang w:val="ro-RO"/>
        </w:rPr>
        <w:t xml:space="preserve"> a unei necesit</w:t>
      </w:r>
      <w:r w:rsidR="00E771A7">
        <w:rPr>
          <w:rFonts w:ascii="Arial" w:hAnsi="Arial" w:cs="Arial"/>
          <w:color w:val="000000"/>
          <w:lang w:val="ro-RO"/>
        </w:rPr>
        <w:t>ă</w:t>
      </w:r>
      <w:r w:rsidRPr="00814A16">
        <w:rPr>
          <w:rFonts w:ascii="Arial" w:hAnsi="Arial" w:cs="Arial"/>
          <w:color w:val="000000"/>
          <w:lang w:val="ro-RO"/>
        </w:rPr>
        <w:t xml:space="preserve">ți de înzestrare </w:t>
      </w:r>
      <w:r w:rsidR="00BE34DC">
        <w:rPr>
          <w:rFonts w:ascii="Arial" w:hAnsi="Arial" w:cs="Arial"/>
          <w:color w:val="000000"/>
          <w:lang w:val="ro-RO"/>
        </w:rPr>
        <w:t>î</w:t>
      </w:r>
      <w:r w:rsidRPr="00814A16">
        <w:rPr>
          <w:rFonts w:ascii="Arial" w:hAnsi="Arial" w:cs="Arial"/>
          <w:color w:val="000000"/>
          <w:lang w:val="ro-RO"/>
        </w:rPr>
        <w:t xml:space="preserve">n mai multe proceduri de achiziție, uneori </w:t>
      </w:r>
      <w:r w:rsidR="00BE34DC">
        <w:rPr>
          <w:rFonts w:ascii="Arial" w:hAnsi="Arial" w:cs="Arial"/>
          <w:color w:val="000000"/>
          <w:lang w:val="ro-RO"/>
        </w:rPr>
        <w:t>î</w:t>
      </w:r>
      <w:r w:rsidRPr="00814A16">
        <w:rPr>
          <w:rFonts w:ascii="Arial" w:hAnsi="Arial" w:cs="Arial"/>
          <w:color w:val="000000"/>
          <w:lang w:val="ro-RO"/>
        </w:rPr>
        <w:t xml:space="preserve">n cantități chirurgicale, pentru evitarea implicării prevederilor de offset </w:t>
      </w:r>
      <w:r w:rsidR="00BE34DC">
        <w:rPr>
          <w:rFonts w:ascii="Arial" w:hAnsi="Arial" w:cs="Arial"/>
          <w:color w:val="000000"/>
          <w:lang w:val="ro-RO"/>
        </w:rPr>
        <w:t>ş</w:t>
      </w:r>
      <w:r w:rsidRPr="00814A16">
        <w:rPr>
          <w:rFonts w:ascii="Arial" w:hAnsi="Arial" w:cs="Arial"/>
          <w:color w:val="000000"/>
          <w:lang w:val="ro-RO"/>
        </w:rPr>
        <w:t>i de multe ori cu consecința câștigării procedurilor de produse diferite. Dincolo de incapacitatea de a negocia o compensare industrial</w:t>
      </w:r>
      <w:r w:rsidR="00BE34DC">
        <w:rPr>
          <w:rFonts w:ascii="Arial" w:hAnsi="Arial" w:cs="Arial"/>
          <w:color w:val="000000"/>
          <w:lang w:val="ro-RO"/>
        </w:rPr>
        <w:t>ă</w:t>
      </w:r>
      <w:r w:rsidRPr="00814A16">
        <w:rPr>
          <w:rFonts w:ascii="Arial" w:hAnsi="Arial" w:cs="Arial"/>
          <w:color w:val="000000"/>
          <w:lang w:val="ro-RO"/>
        </w:rPr>
        <w:t xml:space="preserve"> sau o integrare/producție măcar parțial</w:t>
      </w:r>
      <w:r w:rsidR="00BE34DC">
        <w:rPr>
          <w:rFonts w:ascii="Arial" w:hAnsi="Arial" w:cs="Arial"/>
          <w:color w:val="000000"/>
          <w:lang w:val="ro-RO"/>
        </w:rPr>
        <w:t>ă</w:t>
      </w:r>
      <w:r w:rsidRPr="00814A16">
        <w:rPr>
          <w:rFonts w:ascii="Arial" w:hAnsi="Arial" w:cs="Arial"/>
          <w:color w:val="000000"/>
          <w:lang w:val="ro-RO"/>
        </w:rPr>
        <w:t xml:space="preserve"> </w:t>
      </w:r>
      <w:r w:rsidR="00BE34DC">
        <w:rPr>
          <w:rFonts w:ascii="Arial" w:hAnsi="Arial" w:cs="Arial"/>
          <w:color w:val="000000"/>
          <w:lang w:val="ro-RO"/>
        </w:rPr>
        <w:t>î</w:t>
      </w:r>
      <w:r w:rsidRPr="00814A16">
        <w:rPr>
          <w:rFonts w:ascii="Arial" w:hAnsi="Arial" w:cs="Arial"/>
          <w:color w:val="000000"/>
          <w:lang w:val="ro-RO"/>
        </w:rPr>
        <w:t xml:space="preserve">n </w:t>
      </w:r>
      <w:r w:rsidR="00C63FE6">
        <w:rPr>
          <w:rFonts w:ascii="Arial" w:hAnsi="Arial" w:cs="Arial"/>
          <w:color w:val="000000"/>
          <w:lang w:val="ro-RO"/>
        </w:rPr>
        <w:t>ţ</w:t>
      </w:r>
      <w:r w:rsidRPr="00814A16">
        <w:rPr>
          <w:rFonts w:ascii="Arial" w:hAnsi="Arial" w:cs="Arial"/>
          <w:color w:val="000000"/>
          <w:lang w:val="ro-RO"/>
        </w:rPr>
        <w:t>ar</w:t>
      </w:r>
      <w:r w:rsidR="00C63FE6">
        <w:rPr>
          <w:rFonts w:ascii="Arial" w:hAnsi="Arial" w:cs="Arial"/>
          <w:color w:val="000000"/>
          <w:lang w:val="ro-RO"/>
        </w:rPr>
        <w:t>ă</w:t>
      </w:r>
      <w:r w:rsidRPr="00814A16">
        <w:rPr>
          <w:rFonts w:ascii="Arial" w:hAnsi="Arial" w:cs="Arial"/>
          <w:color w:val="000000"/>
          <w:lang w:val="ro-RO"/>
        </w:rPr>
        <w:t xml:space="preserve">, efectele imediate sunt prețul mai ridicat per unitate </w:t>
      </w:r>
      <w:r w:rsidR="00C63FE6">
        <w:rPr>
          <w:rFonts w:ascii="Arial" w:hAnsi="Arial" w:cs="Arial"/>
          <w:color w:val="000000"/>
          <w:lang w:val="ro-RO"/>
        </w:rPr>
        <w:t>ş</w:t>
      </w:r>
      <w:r w:rsidRPr="00814A16">
        <w:rPr>
          <w:rFonts w:ascii="Arial" w:hAnsi="Arial" w:cs="Arial"/>
          <w:color w:val="000000"/>
          <w:lang w:val="ro-RO"/>
        </w:rPr>
        <w:t xml:space="preserve">i un coșmar logistic </w:t>
      </w:r>
      <w:r w:rsidR="00E771A7">
        <w:rPr>
          <w:rFonts w:ascii="Arial" w:hAnsi="Arial" w:cs="Arial"/>
          <w:color w:val="000000"/>
          <w:lang w:val="ro-RO"/>
        </w:rPr>
        <w:t>din cauza</w:t>
      </w:r>
      <w:r w:rsidR="00E771A7" w:rsidRPr="00814A16">
        <w:rPr>
          <w:rFonts w:ascii="Arial" w:hAnsi="Arial" w:cs="Arial"/>
          <w:color w:val="000000"/>
          <w:lang w:val="ro-RO"/>
        </w:rPr>
        <w:t xml:space="preserve"> </w:t>
      </w:r>
      <w:r w:rsidRPr="00814A16">
        <w:rPr>
          <w:rFonts w:ascii="Arial" w:hAnsi="Arial" w:cs="Arial"/>
          <w:color w:val="000000"/>
          <w:lang w:val="ro-RO"/>
        </w:rPr>
        <w:t>unei înzestrări pestrițe.</w:t>
      </w:r>
    </w:p>
    <w:p w14:paraId="709C1E65" w14:textId="77777777" w:rsidR="00814A16" w:rsidRPr="00814A16" w:rsidRDefault="00814A16" w:rsidP="007C14D8">
      <w:pPr>
        <w:pStyle w:val="ListParagraph"/>
        <w:ind w:left="270" w:hanging="270"/>
        <w:rPr>
          <w:rFonts w:ascii="Arial" w:hAnsi="Arial" w:cs="Arial"/>
          <w:color w:val="000000"/>
          <w:lang w:val="ro-RO"/>
        </w:rPr>
      </w:pPr>
    </w:p>
    <w:p w14:paraId="3046F736" w14:textId="5D314ED6" w:rsidR="00814A16" w:rsidRPr="00814A16" w:rsidRDefault="00814A16" w:rsidP="007C14D8">
      <w:pPr>
        <w:pStyle w:val="ListParagraph"/>
        <w:numPr>
          <w:ilvl w:val="0"/>
          <w:numId w:val="45"/>
        </w:numPr>
        <w:ind w:left="270" w:hanging="270"/>
        <w:rPr>
          <w:rFonts w:ascii="Arial" w:hAnsi="Arial" w:cs="Arial"/>
          <w:color w:val="000000"/>
          <w:lang w:val="ro-RO"/>
        </w:rPr>
      </w:pPr>
      <w:r w:rsidRPr="00814A16">
        <w:rPr>
          <w:rFonts w:ascii="Arial" w:hAnsi="Arial" w:cs="Arial"/>
          <w:color w:val="000000"/>
          <w:lang w:val="ro-RO"/>
        </w:rPr>
        <w:t>inciden</w:t>
      </w:r>
      <w:r w:rsidR="00C63FE6">
        <w:rPr>
          <w:rFonts w:ascii="Arial" w:hAnsi="Arial" w:cs="Arial"/>
          <w:color w:val="000000"/>
          <w:lang w:val="ro-RO"/>
        </w:rPr>
        <w:t>ţ</w:t>
      </w:r>
      <w:r w:rsidRPr="00814A16">
        <w:rPr>
          <w:rFonts w:ascii="Arial" w:hAnsi="Arial" w:cs="Arial"/>
          <w:color w:val="000000"/>
          <w:lang w:val="ro-RO"/>
        </w:rPr>
        <w:t>a automat</w:t>
      </w:r>
      <w:r w:rsidR="00C63FE6">
        <w:rPr>
          <w:rFonts w:ascii="Arial" w:hAnsi="Arial" w:cs="Arial"/>
          <w:color w:val="000000"/>
          <w:lang w:val="ro-RO"/>
        </w:rPr>
        <w:t>ă</w:t>
      </w:r>
      <w:r w:rsidRPr="00814A16">
        <w:rPr>
          <w:rFonts w:ascii="Arial" w:hAnsi="Arial" w:cs="Arial"/>
          <w:color w:val="000000"/>
          <w:lang w:val="ro-RO"/>
        </w:rPr>
        <w:t xml:space="preserve"> a offsetului asupra oricărei achiziții externe care depășește pragul legal, indiferent de valoarea acestuia, poate fi economic neavantajoas</w:t>
      </w:r>
      <w:r w:rsidR="00C63FE6">
        <w:rPr>
          <w:rFonts w:ascii="Arial" w:hAnsi="Arial" w:cs="Arial"/>
          <w:color w:val="000000"/>
          <w:lang w:val="ro-RO"/>
        </w:rPr>
        <w:t>ă</w:t>
      </w:r>
      <w:r w:rsidRPr="00814A16">
        <w:rPr>
          <w:rFonts w:ascii="Arial" w:hAnsi="Arial" w:cs="Arial"/>
          <w:color w:val="000000"/>
          <w:lang w:val="ro-RO"/>
        </w:rPr>
        <w:t xml:space="preserve"> </w:t>
      </w:r>
      <w:r w:rsidR="00C63FE6">
        <w:rPr>
          <w:rFonts w:ascii="Arial" w:hAnsi="Arial" w:cs="Arial"/>
          <w:color w:val="000000"/>
          <w:lang w:val="ro-RO"/>
        </w:rPr>
        <w:t>î</w:t>
      </w:r>
      <w:r w:rsidRPr="00814A16">
        <w:rPr>
          <w:rFonts w:ascii="Arial" w:hAnsi="Arial" w:cs="Arial"/>
          <w:color w:val="000000"/>
          <w:lang w:val="ro-RO"/>
        </w:rPr>
        <w:t xml:space="preserve">n anumite cazuri </w:t>
      </w:r>
      <w:r w:rsidR="00C63FE6">
        <w:rPr>
          <w:rFonts w:ascii="Arial" w:hAnsi="Arial" w:cs="Arial"/>
          <w:color w:val="000000"/>
          <w:lang w:val="ro-RO"/>
        </w:rPr>
        <w:t>î</w:t>
      </w:r>
      <w:r w:rsidRPr="00814A16">
        <w:rPr>
          <w:rFonts w:ascii="Arial" w:hAnsi="Arial" w:cs="Arial"/>
          <w:color w:val="000000"/>
          <w:lang w:val="ro-RO"/>
        </w:rPr>
        <w:t>n care excedentul de preț al achiziției generat de prezen</w:t>
      </w:r>
      <w:r w:rsidR="00E771A7">
        <w:rPr>
          <w:rFonts w:ascii="Arial" w:hAnsi="Arial" w:cs="Arial"/>
          <w:color w:val="000000"/>
          <w:lang w:val="ro-RO"/>
        </w:rPr>
        <w:t>ț</w:t>
      </w:r>
      <w:r w:rsidRPr="00814A16">
        <w:rPr>
          <w:rFonts w:ascii="Arial" w:hAnsi="Arial" w:cs="Arial"/>
          <w:color w:val="000000"/>
          <w:lang w:val="ro-RO"/>
        </w:rPr>
        <w:t>a obligației de offset nu este justificat de beneficiile obținute prin implementarea operațiunilor de compensare tehnologică și industrială. Trebuie înțeles faptul c</w:t>
      </w:r>
      <w:r w:rsidR="00E771A7">
        <w:rPr>
          <w:rFonts w:ascii="Arial" w:hAnsi="Arial" w:cs="Arial"/>
          <w:color w:val="000000"/>
          <w:lang w:val="ro-RO"/>
        </w:rPr>
        <w:t>ă</w:t>
      </w:r>
      <w:r w:rsidRPr="00814A16">
        <w:rPr>
          <w:rFonts w:ascii="Arial" w:hAnsi="Arial" w:cs="Arial"/>
          <w:color w:val="000000"/>
          <w:lang w:val="ro-RO"/>
        </w:rPr>
        <w:t xml:space="preserve"> furnizorul extern de produse, lucrări sau servicii nu își asum</w:t>
      </w:r>
      <w:r w:rsidR="00C63FE6">
        <w:rPr>
          <w:rFonts w:ascii="Arial" w:hAnsi="Arial" w:cs="Arial"/>
          <w:color w:val="000000"/>
          <w:lang w:val="ro-RO"/>
        </w:rPr>
        <w:t>ă</w:t>
      </w:r>
      <w:r w:rsidRPr="00814A16">
        <w:rPr>
          <w:rFonts w:ascii="Arial" w:hAnsi="Arial" w:cs="Arial"/>
          <w:color w:val="000000"/>
          <w:lang w:val="ro-RO"/>
        </w:rPr>
        <w:t xml:space="preserve"> obligația de offset neremunerat, costul offsetului ducând la creșterea </w:t>
      </w:r>
      <w:r w:rsidR="00C63FE6">
        <w:rPr>
          <w:rFonts w:ascii="Arial" w:hAnsi="Arial" w:cs="Arial"/>
          <w:color w:val="000000"/>
          <w:lang w:val="ro-RO"/>
        </w:rPr>
        <w:t>î</w:t>
      </w:r>
      <w:r w:rsidRPr="00814A16">
        <w:rPr>
          <w:rFonts w:ascii="Arial" w:hAnsi="Arial" w:cs="Arial"/>
          <w:color w:val="000000"/>
          <w:lang w:val="ro-RO"/>
        </w:rPr>
        <w:t>n consecinț</w:t>
      </w:r>
      <w:r w:rsidR="00C63FE6">
        <w:rPr>
          <w:rFonts w:ascii="Arial" w:hAnsi="Arial" w:cs="Arial"/>
          <w:color w:val="000000"/>
          <w:lang w:val="ro-RO"/>
        </w:rPr>
        <w:t>ă</w:t>
      </w:r>
      <w:r w:rsidRPr="00814A16">
        <w:rPr>
          <w:rFonts w:ascii="Arial" w:hAnsi="Arial" w:cs="Arial"/>
          <w:color w:val="000000"/>
          <w:lang w:val="ro-RO"/>
        </w:rPr>
        <w:t xml:space="preserve"> a prețului de achiziție.   </w:t>
      </w:r>
    </w:p>
    <w:p w14:paraId="2D86A976" w14:textId="77777777" w:rsidR="00814A16" w:rsidRPr="00814A16" w:rsidRDefault="00814A16" w:rsidP="007C14D8">
      <w:pPr>
        <w:pStyle w:val="ListParagraph"/>
        <w:ind w:left="360"/>
        <w:rPr>
          <w:rFonts w:ascii="Arial" w:hAnsi="Arial" w:cs="Arial"/>
          <w:color w:val="000000"/>
          <w:lang w:val="ro-RO"/>
        </w:rPr>
      </w:pPr>
    </w:p>
    <w:p w14:paraId="221FDB5A" w14:textId="57B6EE55" w:rsidR="00814A16" w:rsidRDefault="00814A16" w:rsidP="007C14D8">
      <w:pPr>
        <w:rPr>
          <w:rFonts w:cs="Arial"/>
          <w:color w:val="000000"/>
          <w:sz w:val="22"/>
          <w:szCs w:val="22"/>
          <w:lang w:val="ro-RO"/>
        </w:rPr>
      </w:pPr>
      <w:r w:rsidRPr="00814A16">
        <w:rPr>
          <w:rFonts w:cs="Arial"/>
          <w:b/>
          <w:bCs/>
          <w:i/>
          <w:iCs/>
          <w:color w:val="000000"/>
          <w:sz w:val="22"/>
          <w:szCs w:val="22"/>
          <w:lang w:val="ro-RO"/>
        </w:rPr>
        <w:t>Problema instituțională</w:t>
      </w:r>
      <w:r w:rsidRPr="00814A16">
        <w:rPr>
          <w:rFonts w:cs="Arial"/>
          <w:b/>
          <w:bCs/>
          <w:color w:val="000000"/>
          <w:sz w:val="22"/>
          <w:szCs w:val="22"/>
          <w:lang w:val="ro-RO"/>
        </w:rPr>
        <w:t xml:space="preserve"> </w:t>
      </w:r>
      <w:r w:rsidR="00C63FE6">
        <w:rPr>
          <w:rFonts w:cs="Arial"/>
          <w:color w:val="000000"/>
          <w:sz w:val="22"/>
          <w:szCs w:val="22"/>
          <w:lang w:val="ro-RO"/>
        </w:rPr>
        <w:t>ş</w:t>
      </w:r>
      <w:r w:rsidRPr="00814A16">
        <w:rPr>
          <w:rFonts w:cs="Arial"/>
          <w:color w:val="000000"/>
          <w:sz w:val="22"/>
          <w:szCs w:val="22"/>
          <w:lang w:val="ro-RO"/>
        </w:rPr>
        <w:t xml:space="preserve">i </w:t>
      </w:r>
      <w:r w:rsidRPr="00814A16">
        <w:rPr>
          <w:rFonts w:cs="Arial"/>
          <w:b/>
          <w:bCs/>
          <w:color w:val="000000"/>
          <w:sz w:val="22"/>
          <w:szCs w:val="22"/>
          <w:lang w:val="ro-RO"/>
        </w:rPr>
        <w:t>defazarea celor dou</w:t>
      </w:r>
      <w:r w:rsidR="00E771A7">
        <w:rPr>
          <w:rFonts w:cs="Arial"/>
          <w:b/>
          <w:bCs/>
          <w:color w:val="000000"/>
          <w:sz w:val="22"/>
          <w:szCs w:val="22"/>
          <w:lang w:val="ro-RO"/>
        </w:rPr>
        <w:t>ă</w:t>
      </w:r>
      <w:r w:rsidRPr="00814A16">
        <w:rPr>
          <w:rFonts w:cs="Arial"/>
          <w:b/>
          <w:bCs/>
          <w:color w:val="000000"/>
          <w:sz w:val="22"/>
          <w:szCs w:val="22"/>
          <w:lang w:val="ro-RO"/>
        </w:rPr>
        <w:t xml:space="preserve"> contracte – contractul de achiziție </w:t>
      </w:r>
      <w:r w:rsidR="00C63FE6">
        <w:rPr>
          <w:rFonts w:cs="Arial"/>
          <w:b/>
          <w:bCs/>
          <w:color w:val="000000"/>
          <w:sz w:val="22"/>
          <w:szCs w:val="22"/>
          <w:lang w:val="ro-RO"/>
        </w:rPr>
        <w:t>ş</w:t>
      </w:r>
      <w:r w:rsidRPr="00814A16">
        <w:rPr>
          <w:rFonts w:cs="Arial"/>
          <w:b/>
          <w:bCs/>
          <w:color w:val="000000"/>
          <w:sz w:val="22"/>
          <w:szCs w:val="22"/>
          <w:lang w:val="ro-RO"/>
        </w:rPr>
        <w:t>i acordul de offset</w:t>
      </w:r>
      <w:r w:rsidRPr="00814A16">
        <w:rPr>
          <w:rFonts w:cs="Arial"/>
          <w:color w:val="000000"/>
          <w:sz w:val="22"/>
          <w:szCs w:val="22"/>
          <w:lang w:val="ro-RO"/>
        </w:rPr>
        <w:t xml:space="preserve">, </w:t>
      </w:r>
      <w:r w:rsidR="00E771A7">
        <w:rPr>
          <w:rFonts w:cs="Arial"/>
          <w:color w:val="000000"/>
          <w:sz w:val="22"/>
          <w:szCs w:val="22"/>
          <w:lang w:val="ro-RO"/>
        </w:rPr>
        <w:t xml:space="preserve">este </w:t>
      </w:r>
      <w:r w:rsidRPr="00814A16">
        <w:rPr>
          <w:rFonts w:cs="Arial"/>
          <w:color w:val="000000"/>
          <w:sz w:val="22"/>
          <w:szCs w:val="22"/>
          <w:lang w:val="ro-RO"/>
        </w:rPr>
        <w:t>poate cea mai mare problem</w:t>
      </w:r>
      <w:r w:rsidR="00165A65">
        <w:rPr>
          <w:rFonts w:cs="Arial"/>
          <w:color w:val="000000"/>
          <w:sz w:val="22"/>
          <w:szCs w:val="22"/>
          <w:lang w:val="ro-RO"/>
        </w:rPr>
        <w:t>ă</w:t>
      </w:r>
      <w:r w:rsidRPr="00814A16">
        <w:rPr>
          <w:rFonts w:cs="Arial"/>
          <w:color w:val="000000"/>
          <w:sz w:val="22"/>
          <w:szCs w:val="22"/>
          <w:lang w:val="ro-RO"/>
        </w:rPr>
        <w:t xml:space="preserve"> a sistemului românesc al offsetului. Potrivit legii, executarea operațiunilor compensatorii se afl</w:t>
      </w:r>
      <w:r w:rsidR="007E253A">
        <w:rPr>
          <w:rFonts w:cs="Arial"/>
          <w:color w:val="000000"/>
          <w:sz w:val="22"/>
          <w:szCs w:val="22"/>
          <w:lang w:val="ro-RO"/>
        </w:rPr>
        <w:t>ă î</w:t>
      </w:r>
      <w:r w:rsidRPr="00814A16">
        <w:rPr>
          <w:rFonts w:cs="Arial"/>
          <w:color w:val="000000"/>
          <w:sz w:val="22"/>
          <w:szCs w:val="22"/>
          <w:lang w:val="ro-RO"/>
        </w:rPr>
        <w:t xml:space="preserve">n competența Oficiului de Compensare pentru Achiziții de Tehnică Specială (OCATS), entitate aflată în subordinea Ministerului Economiei. </w:t>
      </w:r>
      <w:r w:rsidR="00977ED4">
        <w:rPr>
          <w:rFonts w:cs="Arial"/>
          <w:color w:val="000000"/>
          <w:sz w:val="22"/>
          <w:szCs w:val="22"/>
          <w:lang w:val="ro-RO"/>
        </w:rPr>
        <w:t>Î</w:t>
      </w:r>
      <w:r w:rsidRPr="00814A16">
        <w:rPr>
          <w:rFonts w:cs="Arial"/>
          <w:color w:val="000000"/>
          <w:sz w:val="22"/>
          <w:szCs w:val="22"/>
          <w:lang w:val="ro-RO"/>
        </w:rPr>
        <w:t xml:space="preserve">n ceea ce privește contractele de achiziții pentru nevoi de apărare, problematica offsetului – de la nevoile concrete de tehnologie </w:t>
      </w:r>
      <w:r w:rsidR="00977ED4">
        <w:rPr>
          <w:rFonts w:cs="Arial"/>
          <w:color w:val="000000"/>
          <w:sz w:val="22"/>
          <w:szCs w:val="22"/>
          <w:lang w:val="ro-RO"/>
        </w:rPr>
        <w:t>î</w:t>
      </w:r>
      <w:r w:rsidRPr="00814A16">
        <w:rPr>
          <w:rFonts w:cs="Arial"/>
          <w:color w:val="000000"/>
          <w:sz w:val="22"/>
          <w:szCs w:val="22"/>
          <w:lang w:val="ro-RO"/>
        </w:rPr>
        <w:t xml:space="preserve">n cadrul programelor prioritare de înzestrare </w:t>
      </w:r>
      <w:r w:rsidR="00977ED4">
        <w:rPr>
          <w:rFonts w:cs="Arial"/>
          <w:color w:val="000000"/>
          <w:sz w:val="22"/>
          <w:szCs w:val="22"/>
          <w:lang w:val="ro-RO"/>
        </w:rPr>
        <w:t>ş</w:t>
      </w:r>
      <w:r w:rsidRPr="00814A16">
        <w:rPr>
          <w:rFonts w:cs="Arial"/>
          <w:color w:val="000000"/>
          <w:sz w:val="22"/>
          <w:szCs w:val="22"/>
          <w:lang w:val="ro-RO"/>
        </w:rPr>
        <w:t xml:space="preserve">i R&amp;D/T militar la atribuirea, negocierea </w:t>
      </w:r>
      <w:r w:rsidR="00977ED4">
        <w:rPr>
          <w:rFonts w:cs="Arial"/>
          <w:color w:val="000000"/>
          <w:sz w:val="22"/>
          <w:szCs w:val="22"/>
          <w:lang w:val="ro-RO"/>
        </w:rPr>
        <w:t>ş</w:t>
      </w:r>
      <w:r w:rsidRPr="00814A16">
        <w:rPr>
          <w:rFonts w:cs="Arial"/>
          <w:color w:val="000000"/>
          <w:sz w:val="22"/>
          <w:szCs w:val="22"/>
          <w:lang w:val="ro-RO"/>
        </w:rPr>
        <w:t xml:space="preserve">i încheierea contractului de achiziție </w:t>
      </w:r>
      <w:r w:rsidR="00EB47AB">
        <w:rPr>
          <w:rFonts w:cs="Arial"/>
          <w:color w:val="000000"/>
          <w:sz w:val="22"/>
          <w:szCs w:val="22"/>
          <w:lang w:val="ro-RO"/>
        </w:rPr>
        <w:t>ş</w:t>
      </w:r>
      <w:r w:rsidRPr="00814A16">
        <w:rPr>
          <w:rFonts w:cs="Arial"/>
          <w:color w:val="000000"/>
          <w:sz w:val="22"/>
          <w:szCs w:val="22"/>
          <w:lang w:val="ro-RO"/>
        </w:rPr>
        <w:t xml:space="preserve">i negocierea </w:t>
      </w:r>
      <w:r w:rsidR="00EB47AB">
        <w:rPr>
          <w:rFonts w:cs="Arial"/>
          <w:color w:val="000000"/>
          <w:sz w:val="22"/>
          <w:szCs w:val="22"/>
          <w:lang w:val="ro-RO"/>
        </w:rPr>
        <w:t>ş</w:t>
      </w:r>
      <w:r w:rsidRPr="00814A16">
        <w:rPr>
          <w:rFonts w:cs="Arial"/>
          <w:color w:val="000000"/>
          <w:sz w:val="22"/>
          <w:szCs w:val="22"/>
          <w:lang w:val="ro-RO"/>
        </w:rPr>
        <w:t>i încheierea acordului de offset – este împărțit</w:t>
      </w:r>
      <w:r w:rsidR="00EB47AB">
        <w:rPr>
          <w:rFonts w:cs="Arial"/>
          <w:color w:val="000000"/>
          <w:sz w:val="22"/>
          <w:szCs w:val="22"/>
          <w:lang w:val="ro-RO"/>
        </w:rPr>
        <w:t>ă</w:t>
      </w:r>
      <w:r w:rsidRPr="00814A16">
        <w:rPr>
          <w:rFonts w:cs="Arial"/>
          <w:color w:val="000000"/>
          <w:sz w:val="22"/>
          <w:szCs w:val="22"/>
          <w:lang w:val="ro-RO"/>
        </w:rPr>
        <w:t xml:space="preserve"> </w:t>
      </w:r>
      <w:r w:rsidR="00EB47AB">
        <w:rPr>
          <w:rFonts w:cs="Arial"/>
          <w:color w:val="000000"/>
          <w:sz w:val="22"/>
          <w:szCs w:val="22"/>
          <w:lang w:val="ro-RO"/>
        </w:rPr>
        <w:t>î</w:t>
      </w:r>
      <w:r w:rsidRPr="00814A16">
        <w:rPr>
          <w:rFonts w:cs="Arial"/>
          <w:color w:val="000000"/>
          <w:sz w:val="22"/>
          <w:szCs w:val="22"/>
          <w:lang w:val="ro-RO"/>
        </w:rPr>
        <w:t>ntre structurile, institu</w:t>
      </w:r>
      <w:r w:rsidR="00EB47AB">
        <w:rPr>
          <w:rFonts w:cs="Arial"/>
          <w:color w:val="000000"/>
          <w:sz w:val="22"/>
          <w:szCs w:val="22"/>
          <w:lang w:val="ro-RO"/>
        </w:rPr>
        <w:t>ţ</w:t>
      </w:r>
      <w:r w:rsidRPr="00814A16">
        <w:rPr>
          <w:rFonts w:cs="Arial"/>
          <w:color w:val="000000"/>
          <w:sz w:val="22"/>
          <w:szCs w:val="22"/>
          <w:lang w:val="ro-RO"/>
        </w:rPr>
        <w:t xml:space="preserve">iile </w:t>
      </w:r>
      <w:r w:rsidR="00EB47AB">
        <w:rPr>
          <w:rFonts w:cs="Arial"/>
          <w:color w:val="000000"/>
          <w:sz w:val="22"/>
          <w:szCs w:val="22"/>
          <w:lang w:val="ro-RO"/>
        </w:rPr>
        <w:t>ş</w:t>
      </w:r>
      <w:r w:rsidRPr="00814A16">
        <w:rPr>
          <w:rFonts w:cs="Arial"/>
          <w:color w:val="000000"/>
          <w:sz w:val="22"/>
          <w:szCs w:val="22"/>
          <w:lang w:val="ro-RO"/>
        </w:rPr>
        <w:t xml:space="preserve">i companiile aflate </w:t>
      </w:r>
      <w:r w:rsidR="00EB47AB">
        <w:rPr>
          <w:rFonts w:cs="Arial"/>
          <w:color w:val="000000"/>
          <w:sz w:val="22"/>
          <w:szCs w:val="22"/>
          <w:lang w:val="ro-RO"/>
        </w:rPr>
        <w:t>î</w:t>
      </w:r>
      <w:r w:rsidRPr="00814A16">
        <w:rPr>
          <w:rFonts w:cs="Arial"/>
          <w:color w:val="000000"/>
          <w:sz w:val="22"/>
          <w:szCs w:val="22"/>
          <w:lang w:val="ro-RO"/>
        </w:rPr>
        <w:t xml:space="preserve">n subordinea, </w:t>
      </w:r>
      <w:r w:rsidR="00EB47AB">
        <w:rPr>
          <w:rFonts w:cs="Arial"/>
          <w:color w:val="000000"/>
          <w:sz w:val="22"/>
          <w:szCs w:val="22"/>
          <w:lang w:val="ro-RO"/>
        </w:rPr>
        <w:t>î</w:t>
      </w:r>
      <w:r w:rsidRPr="00814A16">
        <w:rPr>
          <w:rFonts w:cs="Arial"/>
          <w:color w:val="000000"/>
          <w:sz w:val="22"/>
          <w:szCs w:val="22"/>
          <w:lang w:val="ro-RO"/>
        </w:rPr>
        <w:t>ndrumarea sau sub autoritatea celor dou</w:t>
      </w:r>
      <w:r w:rsidR="00EB47AB">
        <w:rPr>
          <w:rFonts w:cs="Arial"/>
          <w:color w:val="000000"/>
          <w:sz w:val="22"/>
          <w:szCs w:val="22"/>
          <w:lang w:val="ro-RO"/>
        </w:rPr>
        <w:t>ă</w:t>
      </w:r>
      <w:r w:rsidRPr="00814A16">
        <w:rPr>
          <w:rFonts w:cs="Arial"/>
          <w:color w:val="000000"/>
          <w:sz w:val="22"/>
          <w:szCs w:val="22"/>
          <w:lang w:val="ro-RO"/>
        </w:rPr>
        <w:t xml:space="preserve"> ministere implicate, respectiv Ministerul Apărării Naționale</w:t>
      </w:r>
      <w:r w:rsidR="00EB47AB">
        <w:rPr>
          <w:rFonts w:cs="Arial"/>
          <w:color w:val="000000"/>
          <w:sz w:val="22"/>
          <w:szCs w:val="22"/>
          <w:lang w:val="ro-RO"/>
        </w:rPr>
        <w:t xml:space="preserve"> şi</w:t>
      </w:r>
      <w:r w:rsidR="00861AB7">
        <w:rPr>
          <w:rFonts w:cs="Arial"/>
          <w:color w:val="000000"/>
          <w:sz w:val="22"/>
          <w:szCs w:val="22"/>
          <w:lang w:val="ro-RO"/>
        </w:rPr>
        <w:t xml:space="preserve"> </w:t>
      </w:r>
      <w:r w:rsidRPr="00814A16">
        <w:rPr>
          <w:rFonts w:cs="Arial"/>
          <w:color w:val="000000"/>
          <w:sz w:val="22"/>
          <w:szCs w:val="22"/>
          <w:lang w:val="ro-RO"/>
        </w:rPr>
        <w:t xml:space="preserve"> Ministerul Economiei. </w:t>
      </w:r>
    </w:p>
    <w:p w14:paraId="01800E7E" w14:textId="77777777" w:rsidR="00861AB7" w:rsidRPr="00814A16" w:rsidRDefault="00861AB7" w:rsidP="007C14D8">
      <w:pPr>
        <w:rPr>
          <w:rFonts w:cs="Arial"/>
          <w:color w:val="000000"/>
          <w:sz w:val="22"/>
          <w:szCs w:val="22"/>
          <w:lang w:val="ro-RO"/>
        </w:rPr>
      </w:pPr>
    </w:p>
    <w:p w14:paraId="3B2ECA1C" w14:textId="5ACE5AEF" w:rsidR="00814A16" w:rsidRPr="00814A16" w:rsidRDefault="00814A16" w:rsidP="007C14D8">
      <w:pPr>
        <w:rPr>
          <w:rFonts w:cs="Arial"/>
          <w:color w:val="000000"/>
          <w:sz w:val="22"/>
          <w:szCs w:val="22"/>
          <w:lang w:val="ro-RO"/>
        </w:rPr>
      </w:pPr>
      <w:r w:rsidRPr="00814A16">
        <w:rPr>
          <w:rFonts w:cs="Arial"/>
          <w:color w:val="000000"/>
          <w:sz w:val="22"/>
          <w:szCs w:val="22"/>
          <w:lang w:val="ro-RO"/>
        </w:rPr>
        <w:t>Aceast</w:t>
      </w:r>
      <w:r w:rsidR="00E771A7">
        <w:rPr>
          <w:rFonts w:cs="Arial"/>
          <w:color w:val="000000"/>
          <w:sz w:val="22"/>
          <w:szCs w:val="22"/>
          <w:lang w:val="ro-RO"/>
        </w:rPr>
        <w:t>ă</w:t>
      </w:r>
      <w:r w:rsidRPr="00814A16">
        <w:rPr>
          <w:rFonts w:cs="Arial"/>
          <w:color w:val="000000"/>
          <w:sz w:val="22"/>
          <w:szCs w:val="22"/>
          <w:lang w:val="ro-RO"/>
        </w:rPr>
        <w:t xml:space="preserve"> disipare a competen</w:t>
      </w:r>
      <w:r w:rsidR="00861AB7">
        <w:rPr>
          <w:rFonts w:cs="Arial"/>
          <w:color w:val="000000"/>
          <w:sz w:val="22"/>
          <w:szCs w:val="22"/>
          <w:lang w:val="ro-RO"/>
        </w:rPr>
        <w:t>ţ</w:t>
      </w:r>
      <w:r w:rsidRPr="00814A16">
        <w:rPr>
          <w:rFonts w:cs="Arial"/>
          <w:color w:val="000000"/>
          <w:sz w:val="22"/>
          <w:szCs w:val="22"/>
          <w:lang w:val="ro-RO"/>
        </w:rPr>
        <w:t>elor duce fie la neimplementarea unui offset eficient/cu valoare adăugată mare în leg</w:t>
      </w:r>
      <w:r w:rsidR="00E771A7">
        <w:rPr>
          <w:rFonts w:cs="Arial"/>
          <w:color w:val="000000"/>
          <w:sz w:val="22"/>
          <w:szCs w:val="22"/>
          <w:lang w:val="ro-RO"/>
        </w:rPr>
        <w:t>ă</w:t>
      </w:r>
      <w:r w:rsidRPr="00814A16">
        <w:rPr>
          <w:rFonts w:cs="Arial"/>
          <w:color w:val="000000"/>
          <w:sz w:val="22"/>
          <w:szCs w:val="22"/>
          <w:lang w:val="ro-RO"/>
        </w:rPr>
        <w:t>tură cu programul de achiziție pentru nevoi de apărare care l-a generat, fie la complicații excesive ale schemelor de compensare, în măsura în care contractele de achiziție sunt adesea semnate de MApN înainte de a se ajunge la un acord pe partea de offset industrial, astfel încât Ministerul Economiei este lăsat să identifice o formulă de offset care este rareori acceptată de furnizor.</w:t>
      </w:r>
    </w:p>
    <w:p w14:paraId="0D0C79C7" w14:textId="77777777" w:rsidR="00814A16" w:rsidRPr="00814A16" w:rsidRDefault="00814A16" w:rsidP="007C14D8">
      <w:pPr>
        <w:rPr>
          <w:rFonts w:cs="Arial"/>
          <w:color w:val="000000"/>
          <w:sz w:val="22"/>
          <w:szCs w:val="22"/>
          <w:lang w:val="ro-RO"/>
        </w:rPr>
      </w:pPr>
    </w:p>
    <w:p w14:paraId="063B1511" w14:textId="6E264255" w:rsidR="00814A16" w:rsidRPr="00814A16" w:rsidRDefault="00814A16" w:rsidP="007C14D8">
      <w:pPr>
        <w:rPr>
          <w:rFonts w:cs="Arial"/>
          <w:color w:val="000000"/>
          <w:sz w:val="22"/>
          <w:szCs w:val="22"/>
          <w:lang w:val="ro-RO"/>
        </w:rPr>
      </w:pPr>
      <w:r w:rsidRPr="00814A16">
        <w:rPr>
          <w:rFonts w:cs="Arial"/>
          <w:color w:val="000000"/>
          <w:sz w:val="22"/>
          <w:szCs w:val="22"/>
          <w:lang w:val="ro-RO"/>
        </w:rPr>
        <w:t xml:space="preserve">Spre comparație, după ce </w:t>
      </w:r>
      <w:r w:rsidR="00960B8D">
        <w:rPr>
          <w:rFonts w:cs="Arial"/>
          <w:color w:val="000000"/>
          <w:sz w:val="22"/>
          <w:szCs w:val="22"/>
          <w:lang w:val="ro-RO"/>
        </w:rPr>
        <w:t>î</w:t>
      </w:r>
      <w:r w:rsidRPr="00814A16">
        <w:rPr>
          <w:rFonts w:cs="Arial"/>
          <w:color w:val="000000"/>
          <w:sz w:val="22"/>
          <w:szCs w:val="22"/>
          <w:lang w:val="ro-RO"/>
        </w:rPr>
        <w:t xml:space="preserve">n 2014 </w:t>
      </w:r>
      <w:r w:rsidRPr="00814A16">
        <w:rPr>
          <w:rFonts w:cs="Arial"/>
          <w:b/>
          <w:bCs/>
          <w:color w:val="000000"/>
          <w:sz w:val="22"/>
          <w:szCs w:val="22"/>
          <w:lang w:val="ro-RO"/>
        </w:rPr>
        <w:t>Polonia</w:t>
      </w:r>
      <w:r w:rsidRPr="00814A16">
        <w:rPr>
          <w:rFonts w:cs="Arial"/>
          <w:color w:val="000000"/>
          <w:sz w:val="22"/>
          <w:szCs w:val="22"/>
          <w:lang w:val="ro-RO"/>
        </w:rPr>
        <w:t xml:space="preserve"> a transferat competența operațiunilor de offset de la Ministerul Economiei la Ministerul Apărării Naționale, </w:t>
      </w:r>
      <w:r w:rsidR="00960B8D">
        <w:rPr>
          <w:rFonts w:cs="Arial"/>
          <w:color w:val="000000"/>
          <w:sz w:val="22"/>
          <w:szCs w:val="22"/>
          <w:lang w:val="ro-RO"/>
        </w:rPr>
        <w:t>î</w:t>
      </w:r>
      <w:r w:rsidRPr="00814A16">
        <w:rPr>
          <w:rFonts w:cs="Arial"/>
          <w:color w:val="000000"/>
          <w:sz w:val="22"/>
          <w:szCs w:val="22"/>
          <w:lang w:val="ro-RO"/>
        </w:rPr>
        <w:t xml:space="preserve">n </w:t>
      </w:r>
      <w:r w:rsidR="00E771A7">
        <w:rPr>
          <w:rFonts w:cs="Arial"/>
          <w:color w:val="000000"/>
          <w:sz w:val="22"/>
          <w:szCs w:val="22"/>
          <w:lang w:val="ro-RO"/>
        </w:rPr>
        <w:t>i</w:t>
      </w:r>
      <w:r w:rsidRPr="00814A16">
        <w:rPr>
          <w:rFonts w:cs="Arial"/>
          <w:color w:val="000000"/>
          <w:sz w:val="22"/>
          <w:szCs w:val="22"/>
          <w:lang w:val="ro-RO"/>
        </w:rPr>
        <w:t>anuarie 2022</w:t>
      </w:r>
      <w:r w:rsidR="00E771A7">
        <w:rPr>
          <w:rFonts w:cs="Arial"/>
          <w:color w:val="000000"/>
          <w:sz w:val="22"/>
          <w:szCs w:val="22"/>
          <w:lang w:val="ro-RO"/>
        </w:rPr>
        <w:t>,</w:t>
      </w:r>
      <w:r w:rsidRPr="00814A16">
        <w:rPr>
          <w:rFonts w:cs="Arial"/>
          <w:color w:val="000000"/>
          <w:sz w:val="22"/>
          <w:szCs w:val="22"/>
          <w:lang w:val="ro-RO"/>
        </w:rPr>
        <w:t xml:space="preserve"> a concentrat activitatea Inspectoratului Armamentelor, Inspectoratului pentru Implementarea Tehnologiilor Inovative de Apărare, a Biroului pentru Acorduri de Offset </w:t>
      </w:r>
      <w:r w:rsidR="00960B8D">
        <w:rPr>
          <w:rFonts w:cs="Arial"/>
          <w:color w:val="000000"/>
          <w:sz w:val="22"/>
          <w:szCs w:val="22"/>
          <w:lang w:val="ro-RO"/>
        </w:rPr>
        <w:t>ş</w:t>
      </w:r>
      <w:r w:rsidRPr="00814A16">
        <w:rPr>
          <w:rFonts w:cs="Arial"/>
          <w:color w:val="000000"/>
          <w:sz w:val="22"/>
          <w:szCs w:val="22"/>
          <w:lang w:val="ro-RO"/>
        </w:rPr>
        <w:t xml:space="preserve">i respectiv activitatea reminiscenței administrative din cadrul Ministerului Economiei (Departamentul pentru Programe de Offset) într-o </w:t>
      </w:r>
      <w:r w:rsidRPr="00814A16">
        <w:rPr>
          <w:rFonts w:cs="Arial"/>
          <w:i/>
          <w:iCs/>
          <w:color w:val="000000"/>
          <w:sz w:val="22"/>
          <w:szCs w:val="22"/>
          <w:lang w:val="ro-RO"/>
        </w:rPr>
        <w:t>instituție unic</w:t>
      </w:r>
      <w:r w:rsidR="00960B8D">
        <w:rPr>
          <w:rFonts w:cs="Arial"/>
          <w:i/>
          <w:iCs/>
          <w:color w:val="000000"/>
          <w:sz w:val="22"/>
          <w:szCs w:val="22"/>
          <w:lang w:val="ro-RO"/>
        </w:rPr>
        <w:t>ă</w:t>
      </w:r>
      <w:r w:rsidRPr="00814A16">
        <w:rPr>
          <w:rFonts w:cs="Arial"/>
          <w:color w:val="000000"/>
          <w:sz w:val="22"/>
          <w:szCs w:val="22"/>
          <w:lang w:val="ro-RO"/>
        </w:rPr>
        <w:t xml:space="preserve"> – </w:t>
      </w:r>
      <w:r w:rsidRPr="00814A16">
        <w:rPr>
          <w:rFonts w:cs="Arial"/>
          <w:i/>
          <w:iCs/>
          <w:color w:val="000000"/>
          <w:sz w:val="22"/>
          <w:szCs w:val="22"/>
          <w:lang w:val="ro-RO"/>
        </w:rPr>
        <w:t xml:space="preserve">Agenția Armamentelor </w:t>
      </w:r>
      <w:r w:rsidRPr="00814A16">
        <w:rPr>
          <w:rFonts w:cs="Arial"/>
          <w:color w:val="000000"/>
          <w:sz w:val="22"/>
          <w:szCs w:val="22"/>
          <w:lang w:val="ro-RO"/>
        </w:rPr>
        <w:t>(„</w:t>
      </w:r>
      <w:r w:rsidRPr="00814A16">
        <w:rPr>
          <w:rFonts w:cs="Arial"/>
          <w:i/>
          <w:iCs/>
          <w:color w:val="000000"/>
          <w:sz w:val="22"/>
          <w:szCs w:val="22"/>
          <w:lang w:val="ro-RO"/>
        </w:rPr>
        <w:t>Agencja Uzbrojenia</w:t>
      </w:r>
      <w:r w:rsidRPr="00814A16">
        <w:rPr>
          <w:rFonts w:cs="Arial"/>
          <w:color w:val="000000"/>
          <w:sz w:val="22"/>
          <w:szCs w:val="22"/>
          <w:lang w:val="ro-RO"/>
        </w:rPr>
        <w:t>”)</w:t>
      </w:r>
      <w:r w:rsidR="00E771A7">
        <w:rPr>
          <w:rFonts w:cs="Arial"/>
          <w:color w:val="000000"/>
          <w:sz w:val="22"/>
          <w:szCs w:val="22"/>
          <w:lang w:val="ro-RO"/>
        </w:rPr>
        <w:t>,</w:t>
      </w:r>
      <w:r w:rsidRPr="00814A16">
        <w:rPr>
          <w:rFonts w:cs="Arial"/>
          <w:color w:val="000000"/>
          <w:sz w:val="22"/>
          <w:szCs w:val="22"/>
          <w:lang w:val="ro-RO"/>
        </w:rPr>
        <w:t xml:space="preserve"> subordonat</w:t>
      </w:r>
      <w:r w:rsidR="00960B8D">
        <w:rPr>
          <w:rFonts w:cs="Arial"/>
          <w:color w:val="000000"/>
          <w:sz w:val="22"/>
          <w:szCs w:val="22"/>
          <w:lang w:val="ro-RO"/>
        </w:rPr>
        <w:t>ă</w:t>
      </w:r>
      <w:r w:rsidRPr="00814A16">
        <w:rPr>
          <w:rFonts w:cs="Arial"/>
          <w:color w:val="000000"/>
          <w:sz w:val="22"/>
          <w:szCs w:val="22"/>
          <w:lang w:val="ro-RO"/>
        </w:rPr>
        <w:t xml:space="preserve"> direct ministrului apărării naționale din Polonia</w:t>
      </w:r>
      <w:r w:rsidR="00E771A7">
        <w:rPr>
          <w:rFonts w:cs="Arial"/>
          <w:color w:val="000000"/>
          <w:sz w:val="22"/>
          <w:szCs w:val="22"/>
          <w:lang w:val="ro-RO"/>
        </w:rPr>
        <w:t>. Acesteia</w:t>
      </w:r>
      <w:r w:rsidRPr="00814A16">
        <w:rPr>
          <w:rFonts w:cs="Arial"/>
          <w:color w:val="000000"/>
          <w:sz w:val="22"/>
          <w:szCs w:val="22"/>
          <w:lang w:val="ro-RO"/>
        </w:rPr>
        <w:t xml:space="preserve"> i-au fost transferate atât competen</w:t>
      </w:r>
      <w:r w:rsidR="00A60773">
        <w:rPr>
          <w:rFonts w:cs="Arial"/>
          <w:color w:val="000000"/>
          <w:sz w:val="22"/>
          <w:szCs w:val="22"/>
          <w:lang w:val="ro-RO"/>
        </w:rPr>
        <w:t>ț</w:t>
      </w:r>
      <w:r w:rsidRPr="00814A16">
        <w:rPr>
          <w:rFonts w:cs="Arial"/>
          <w:color w:val="000000"/>
          <w:sz w:val="22"/>
          <w:szCs w:val="22"/>
          <w:lang w:val="ro-RO"/>
        </w:rPr>
        <w:t>ele cu privire la contractele de achiziție pentru nevoi de apărare</w:t>
      </w:r>
      <w:r w:rsidR="00960B8D">
        <w:rPr>
          <w:rFonts w:cs="Arial"/>
          <w:color w:val="000000"/>
          <w:sz w:val="22"/>
          <w:szCs w:val="22"/>
          <w:lang w:val="ro-RO"/>
        </w:rPr>
        <w:t>,</w:t>
      </w:r>
      <w:r w:rsidRPr="00814A16">
        <w:rPr>
          <w:rFonts w:cs="Arial"/>
          <w:color w:val="000000"/>
          <w:sz w:val="22"/>
          <w:szCs w:val="22"/>
          <w:lang w:val="ro-RO"/>
        </w:rPr>
        <w:t xml:space="preserve"> c</w:t>
      </w:r>
      <w:r w:rsidR="00960B8D">
        <w:rPr>
          <w:rFonts w:cs="Arial"/>
          <w:color w:val="000000"/>
          <w:sz w:val="22"/>
          <w:szCs w:val="22"/>
          <w:lang w:val="ro-RO"/>
        </w:rPr>
        <w:t>â</w:t>
      </w:r>
      <w:r w:rsidRPr="00814A16">
        <w:rPr>
          <w:rFonts w:cs="Arial"/>
          <w:color w:val="000000"/>
          <w:sz w:val="22"/>
          <w:szCs w:val="22"/>
          <w:lang w:val="ro-RO"/>
        </w:rPr>
        <w:t xml:space="preserve">t </w:t>
      </w:r>
      <w:r w:rsidR="00960B8D">
        <w:rPr>
          <w:rFonts w:cs="Arial"/>
          <w:color w:val="000000"/>
          <w:sz w:val="22"/>
          <w:szCs w:val="22"/>
          <w:lang w:val="ro-RO"/>
        </w:rPr>
        <w:t>ş</w:t>
      </w:r>
      <w:r w:rsidRPr="00814A16">
        <w:rPr>
          <w:rFonts w:cs="Arial"/>
          <w:color w:val="000000"/>
          <w:sz w:val="22"/>
          <w:szCs w:val="22"/>
          <w:lang w:val="ro-RO"/>
        </w:rPr>
        <w:t>i întreaga competen</w:t>
      </w:r>
      <w:r w:rsidR="00960B8D">
        <w:rPr>
          <w:rFonts w:cs="Arial"/>
          <w:color w:val="000000"/>
          <w:sz w:val="22"/>
          <w:szCs w:val="22"/>
          <w:lang w:val="ro-RO"/>
        </w:rPr>
        <w:t>ţă</w:t>
      </w:r>
      <w:r w:rsidRPr="00814A16">
        <w:rPr>
          <w:rFonts w:cs="Arial"/>
          <w:color w:val="000000"/>
          <w:sz w:val="22"/>
          <w:szCs w:val="22"/>
          <w:lang w:val="ro-RO"/>
        </w:rPr>
        <w:t xml:space="preserve"> cu privire la operațiunile de offset. Prin reforma din </w:t>
      </w:r>
      <w:r w:rsidR="00A60773">
        <w:rPr>
          <w:rFonts w:cs="Arial"/>
          <w:color w:val="000000"/>
          <w:sz w:val="22"/>
          <w:szCs w:val="22"/>
          <w:lang w:val="ro-RO"/>
        </w:rPr>
        <w:t>i</w:t>
      </w:r>
      <w:r w:rsidRPr="00814A16">
        <w:rPr>
          <w:rFonts w:cs="Arial"/>
          <w:color w:val="000000"/>
          <w:sz w:val="22"/>
          <w:szCs w:val="22"/>
          <w:lang w:val="ro-RO"/>
        </w:rPr>
        <w:t>anuarie 2022, Polonia a decis eliminarea automatismului aplicării offsetului prin efectuarea de către Agenție a dou</w:t>
      </w:r>
      <w:r w:rsidR="00A60773">
        <w:rPr>
          <w:rFonts w:cs="Arial"/>
          <w:color w:val="000000"/>
          <w:sz w:val="22"/>
          <w:szCs w:val="22"/>
          <w:lang w:val="ro-RO"/>
        </w:rPr>
        <w:t>ă</w:t>
      </w:r>
      <w:r w:rsidRPr="00814A16">
        <w:rPr>
          <w:rFonts w:cs="Arial"/>
          <w:color w:val="000000"/>
          <w:sz w:val="22"/>
          <w:szCs w:val="22"/>
          <w:lang w:val="ro-RO"/>
        </w:rPr>
        <w:t xml:space="preserve"> tipuri de verificări obligatorii înaintea asocierii obligațiilor de offset unei achiziții de produse pentru nevoi de apărare care </w:t>
      </w:r>
      <w:r w:rsidRPr="00814A16">
        <w:rPr>
          <w:rFonts w:cs="Arial"/>
          <w:color w:val="000000"/>
          <w:sz w:val="22"/>
          <w:szCs w:val="22"/>
          <w:lang w:val="ro-RO"/>
        </w:rPr>
        <w:lastRenderedPageBreak/>
        <w:t>dep</w:t>
      </w:r>
      <w:r w:rsidR="00960B8D">
        <w:rPr>
          <w:rFonts w:cs="Arial"/>
          <w:color w:val="000000"/>
          <w:sz w:val="22"/>
          <w:szCs w:val="22"/>
          <w:lang w:val="ro-RO"/>
        </w:rPr>
        <w:t>ăş</w:t>
      </w:r>
      <w:r w:rsidRPr="00814A16">
        <w:rPr>
          <w:rFonts w:cs="Arial"/>
          <w:color w:val="000000"/>
          <w:sz w:val="22"/>
          <w:szCs w:val="22"/>
          <w:lang w:val="ro-RO"/>
        </w:rPr>
        <w:t>e</w:t>
      </w:r>
      <w:r w:rsidR="00960B8D">
        <w:rPr>
          <w:rFonts w:cs="Arial"/>
          <w:color w:val="000000"/>
          <w:sz w:val="22"/>
          <w:szCs w:val="22"/>
          <w:lang w:val="ro-RO"/>
        </w:rPr>
        <w:t>ş</w:t>
      </w:r>
      <w:r w:rsidRPr="00814A16">
        <w:rPr>
          <w:rFonts w:cs="Arial"/>
          <w:color w:val="000000"/>
          <w:sz w:val="22"/>
          <w:szCs w:val="22"/>
          <w:lang w:val="ro-RO"/>
        </w:rPr>
        <w:t xml:space="preserve">te pragul de </w:t>
      </w:r>
      <w:r w:rsidRPr="00814A16">
        <w:rPr>
          <w:rFonts w:cs="Arial"/>
          <w:i/>
          <w:iCs/>
          <w:color w:val="000000"/>
          <w:sz w:val="22"/>
          <w:szCs w:val="22"/>
          <w:lang w:val="ro-RO"/>
        </w:rPr>
        <w:t>5 milioane de Euro</w:t>
      </w:r>
      <w:r w:rsidRPr="00814A16">
        <w:rPr>
          <w:rFonts w:cs="Arial"/>
          <w:color w:val="000000"/>
          <w:sz w:val="22"/>
          <w:szCs w:val="22"/>
          <w:lang w:val="ro-RO"/>
        </w:rPr>
        <w:t>: [1] o analiz</w:t>
      </w:r>
      <w:r w:rsidR="00960B8D">
        <w:rPr>
          <w:rFonts w:cs="Arial"/>
          <w:color w:val="000000"/>
          <w:sz w:val="22"/>
          <w:szCs w:val="22"/>
          <w:lang w:val="ro-RO"/>
        </w:rPr>
        <w:t>ă</w:t>
      </w:r>
      <w:r w:rsidRPr="00814A16">
        <w:rPr>
          <w:rFonts w:cs="Arial"/>
          <w:color w:val="000000"/>
          <w:sz w:val="22"/>
          <w:szCs w:val="22"/>
          <w:lang w:val="ro-RO"/>
        </w:rPr>
        <w:t xml:space="preserve"> cost-beneficii cu privire la necesitatea offsetului </w:t>
      </w:r>
      <w:r w:rsidR="00960B8D">
        <w:rPr>
          <w:rFonts w:cs="Arial"/>
          <w:color w:val="000000"/>
          <w:sz w:val="22"/>
          <w:szCs w:val="22"/>
          <w:lang w:val="ro-RO"/>
        </w:rPr>
        <w:t>î</w:t>
      </w:r>
      <w:r w:rsidRPr="00814A16">
        <w:rPr>
          <w:rFonts w:cs="Arial"/>
          <w:color w:val="000000"/>
          <w:sz w:val="22"/>
          <w:szCs w:val="22"/>
          <w:lang w:val="ro-RO"/>
        </w:rPr>
        <w:t xml:space="preserve">n legătură cu achiziția </w:t>
      </w:r>
      <w:r w:rsidR="00960B8D">
        <w:rPr>
          <w:rFonts w:cs="Arial"/>
          <w:color w:val="000000"/>
          <w:sz w:val="22"/>
          <w:szCs w:val="22"/>
          <w:lang w:val="ro-RO"/>
        </w:rPr>
        <w:t>î</w:t>
      </w:r>
      <w:r w:rsidRPr="00814A16">
        <w:rPr>
          <w:rFonts w:cs="Arial"/>
          <w:color w:val="000000"/>
          <w:sz w:val="22"/>
          <w:szCs w:val="22"/>
          <w:lang w:val="ro-RO"/>
        </w:rPr>
        <w:t>n cauz</w:t>
      </w:r>
      <w:r w:rsidR="00960B8D">
        <w:rPr>
          <w:rFonts w:cs="Arial"/>
          <w:color w:val="000000"/>
          <w:sz w:val="22"/>
          <w:szCs w:val="22"/>
          <w:lang w:val="ro-RO"/>
        </w:rPr>
        <w:t>ă</w:t>
      </w:r>
      <w:r w:rsidRPr="00814A16">
        <w:rPr>
          <w:rFonts w:cs="Arial"/>
          <w:color w:val="000000"/>
          <w:sz w:val="22"/>
          <w:szCs w:val="22"/>
          <w:lang w:val="ro-RO"/>
        </w:rPr>
        <w:t xml:space="preserve">, analiza integrării </w:t>
      </w:r>
      <w:r w:rsidR="00960B8D">
        <w:rPr>
          <w:rFonts w:cs="Arial"/>
          <w:color w:val="000000"/>
          <w:sz w:val="22"/>
          <w:szCs w:val="22"/>
          <w:lang w:val="ro-RO"/>
        </w:rPr>
        <w:t>ş</w:t>
      </w:r>
      <w:r w:rsidRPr="00814A16">
        <w:rPr>
          <w:rFonts w:cs="Arial"/>
          <w:color w:val="000000"/>
          <w:sz w:val="22"/>
          <w:szCs w:val="22"/>
          <w:lang w:val="ro-RO"/>
        </w:rPr>
        <w:t>i interfuncțion</w:t>
      </w:r>
      <w:r w:rsidR="003E7A47">
        <w:rPr>
          <w:rFonts w:cs="Arial"/>
          <w:color w:val="000000"/>
          <w:sz w:val="22"/>
          <w:szCs w:val="22"/>
          <w:lang w:val="ro-RO"/>
        </w:rPr>
        <w:t>ă</w:t>
      </w:r>
      <w:r w:rsidRPr="00814A16">
        <w:rPr>
          <w:rFonts w:cs="Arial"/>
          <w:color w:val="000000"/>
          <w:sz w:val="22"/>
          <w:szCs w:val="22"/>
          <w:lang w:val="ro-RO"/>
        </w:rPr>
        <w:t xml:space="preserve">rii echipamentelor/sistemelor </w:t>
      </w:r>
      <w:r w:rsidR="003E7A47">
        <w:rPr>
          <w:rFonts w:cs="Arial"/>
          <w:color w:val="000000"/>
          <w:sz w:val="22"/>
          <w:szCs w:val="22"/>
          <w:lang w:val="ro-RO"/>
        </w:rPr>
        <w:t>î</w:t>
      </w:r>
      <w:r w:rsidRPr="00814A16">
        <w:rPr>
          <w:rFonts w:cs="Arial"/>
          <w:color w:val="000000"/>
          <w:sz w:val="22"/>
          <w:szCs w:val="22"/>
          <w:lang w:val="ro-RO"/>
        </w:rPr>
        <w:t>n cadrul sistemului național de apărare, într-un tot unitar, capacitatea efectiv</w:t>
      </w:r>
      <w:r w:rsidR="003E7A47">
        <w:rPr>
          <w:rFonts w:cs="Arial"/>
          <w:color w:val="000000"/>
          <w:sz w:val="22"/>
          <w:szCs w:val="22"/>
          <w:lang w:val="ro-RO"/>
        </w:rPr>
        <w:t>ă</w:t>
      </w:r>
      <w:r w:rsidRPr="00814A16">
        <w:rPr>
          <w:rFonts w:cs="Arial"/>
          <w:color w:val="000000"/>
          <w:sz w:val="22"/>
          <w:szCs w:val="22"/>
          <w:lang w:val="ro-RO"/>
        </w:rPr>
        <w:t xml:space="preserve"> de absorbție a offsetului de către industria națională de apărare, balanța costurilor (inclusiv creșterea prețului de achiziție </w:t>
      </w:r>
      <w:r w:rsidR="003E7A47">
        <w:rPr>
          <w:rFonts w:cs="Arial"/>
          <w:color w:val="000000"/>
          <w:sz w:val="22"/>
          <w:szCs w:val="22"/>
          <w:lang w:val="ro-RO"/>
        </w:rPr>
        <w:t>ş</w:t>
      </w:r>
      <w:r w:rsidRPr="00814A16">
        <w:rPr>
          <w:rFonts w:cs="Arial"/>
          <w:color w:val="000000"/>
          <w:sz w:val="22"/>
          <w:szCs w:val="22"/>
          <w:lang w:val="ro-RO"/>
        </w:rPr>
        <w:t xml:space="preserve">i eventualele costuri de absorbție a obiectului offsetului) </w:t>
      </w:r>
      <w:r w:rsidR="003E7A47">
        <w:rPr>
          <w:rFonts w:cs="Arial"/>
          <w:color w:val="000000"/>
          <w:sz w:val="22"/>
          <w:szCs w:val="22"/>
          <w:lang w:val="ro-RO"/>
        </w:rPr>
        <w:t>ş</w:t>
      </w:r>
      <w:r w:rsidRPr="00814A16">
        <w:rPr>
          <w:rFonts w:cs="Arial"/>
          <w:color w:val="000000"/>
          <w:sz w:val="22"/>
          <w:szCs w:val="22"/>
          <w:lang w:val="ro-RO"/>
        </w:rPr>
        <w:t>i beneficiilor offsetului (incluzând cuantificarea infuziei de tehnologie, know-how și competen</w:t>
      </w:r>
      <w:r w:rsidR="003E7A47">
        <w:rPr>
          <w:rFonts w:cs="Arial"/>
          <w:color w:val="000000"/>
          <w:sz w:val="22"/>
          <w:szCs w:val="22"/>
          <w:lang w:val="ro-RO"/>
        </w:rPr>
        <w:t>ţ</w:t>
      </w:r>
      <w:r w:rsidRPr="00814A16">
        <w:rPr>
          <w:rFonts w:cs="Arial"/>
          <w:color w:val="000000"/>
          <w:sz w:val="22"/>
          <w:szCs w:val="22"/>
          <w:lang w:val="ro-RO"/>
        </w:rPr>
        <w:t xml:space="preserve">e) </w:t>
      </w:r>
      <w:r w:rsidR="003E7A47">
        <w:rPr>
          <w:rFonts w:cs="Arial"/>
          <w:color w:val="000000"/>
          <w:sz w:val="22"/>
          <w:szCs w:val="22"/>
          <w:lang w:val="ro-RO"/>
        </w:rPr>
        <w:t>ş</w:t>
      </w:r>
      <w:r w:rsidRPr="00814A16">
        <w:rPr>
          <w:rFonts w:cs="Arial"/>
          <w:color w:val="000000"/>
          <w:sz w:val="22"/>
          <w:szCs w:val="22"/>
          <w:lang w:val="ro-RO"/>
        </w:rPr>
        <w:t xml:space="preserve">i [2] o verificare juridică a conformării la normele europene, prin analiza </w:t>
      </w:r>
      <w:r w:rsidR="003E7A47">
        <w:rPr>
          <w:rFonts w:cs="Arial"/>
          <w:color w:val="000000"/>
          <w:sz w:val="22"/>
          <w:szCs w:val="22"/>
          <w:lang w:val="ro-RO"/>
        </w:rPr>
        <w:t>ş</w:t>
      </w:r>
      <w:r w:rsidRPr="00814A16">
        <w:rPr>
          <w:rFonts w:cs="Arial"/>
          <w:color w:val="000000"/>
          <w:sz w:val="22"/>
          <w:szCs w:val="22"/>
          <w:lang w:val="ro-RO"/>
        </w:rPr>
        <w:t>i justificarea aplicării operațiunilor compensatorii prin prisma „</w:t>
      </w:r>
      <w:r w:rsidRPr="00814A16">
        <w:rPr>
          <w:rFonts w:cs="Arial"/>
          <w:i/>
          <w:iCs/>
          <w:color w:val="000000"/>
          <w:sz w:val="22"/>
          <w:szCs w:val="22"/>
          <w:lang w:val="ro-RO"/>
        </w:rPr>
        <w:t>interesului esențial de securitate</w:t>
      </w:r>
      <w:r w:rsidRPr="00814A16">
        <w:rPr>
          <w:rFonts w:cs="Arial"/>
          <w:color w:val="000000"/>
          <w:sz w:val="22"/>
          <w:szCs w:val="22"/>
          <w:lang w:val="ro-RO"/>
        </w:rPr>
        <w:t>” pentru statul polonez.</w:t>
      </w:r>
    </w:p>
    <w:p w14:paraId="23A3E97F" w14:textId="77777777" w:rsidR="00814A16" w:rsidRPr="00814A16" w:rsidRDefault="00814A16" w:rsidP="007C14D8">
      <w:pPr>
        <w:rPr>
          <w:rFonts w:cs="Arial"/>
          <w:color w:val="000000"/>
          <w:sz w:val="22"/>
          <w:szCs w:val="22"/>
          <w:lang w:val="ro-RO"/>
        </w:rPr>
      </w:pPr>
    </w:p>
    <w:p w14:paraId="62416914" w14:textId="1FE2291E" w:rsidR="00814A16" w:rsidRPr="00814A16" w:rsidRDefault="00814A16" w:rsidP="007C14D8">
      <w:pPr>
        <w:rPr>
          <w:rFonts w:cs="Arial"/>
          <w:color w:val="000000"/>
          <w:sz w:val="22"/>
          <w:szCs w:val="22"/>
          <w:lang w:val="ro-RO"/>
        </w:rPr>
      </w:pPr>
      <w:r w:rsidRPr="00814A16">
        <w:rPr>
          <w:rFonts w:cs="Arial"/>
          <w:color w:val="000000"/>
          <w:sz w:val="22"/>
          <w:szCs w:val="22"/>
          <w:lang w:val="ro-RO"/>
        </w:rPr>
        <w:t xml:space="preserve">Împărțim cu Polonia riscuri, responsabilități </w:t>
      </w:r>
      <w:r w:rsidR="003E7A47">
        <w:rPr>
          <w:rFonts w:cs="Arial"/>
          <w:color w:val="000000"/>
          <w:sz w:val="22"/>
          <w:szCs w:val="22"/>
          <w:lang w:val="ro-RO"/>
        </w:rPr>
        <w:t>ş</w:t>
      </w:r>
      <w:r w:rsidRPr="00814A16">
        <w:rPr>
          <w:rFonts w:cs="Arial"/>
          <w:color w:val="000000"/>
          <w:sz w:val="22"/>
          <w:szCs w:val="22"/>
          <w:lang w:val="ro-RO"/>
        </w:rPr>
        <w:t xml:space="preserve">i interese comune </w:t>
      </w:r>
      <w:r w:rsidR="003E7A47">
        <w:rPr>
          <w:rFonts w:cs="Arial"/>
          <w:color w:val="000000"/>
          <w:sz w:val="22"/>
          <w:szCs w:val="22"/>
          <w:lang w:val="ro-RO"/>
        </w:rPr>
        <w:t>în</w:t>
      </w:r>
      <w:r w:rsidRPr="00814A16">
        <w:rPr>
          <w:rFonts w:cs="Arial"/>
          <w:color w:val="000000"/>
          <w:sz w:val="22"/>
          <w:szCs w:val="22"/>
          <w:lang w:val="ro-RO"/>
        </w:rPr>
        <w:t xml:space="preserve"> Flancul Estic al NATO </w:t>
      </w:r>
      <w:r w:rsidR="003E7A47">
        <w:rPr>
          <w:rFonts w:cs="Arial"/>
          <w:color w:val="000000"/>
          <w:sz w:val="22"/>
          <w:szCs w:val="22"/>
          <w:lang w:val="ro-RO"/>
        </w:rPr>
        <w:t>ş</w:t>
      </w:r>
      <w:r w:rsidRPr="00814A16">
        <w:rPr>
          <w:rFonts w:cs="Arial"/>
          <w:color w:val="000000"/>
          <w:sz w:val="22"/>
          <w:szCs w:val="22"/>
          <w:lang w:val="ro-RO"/>
        </w:rPr>
        <w:t>i ne uit</w:t>
      </w:r>
      <w:r w:rsidR="003E7A47">
        <w:rPr>
          <w:rFonts w:cs="Arial"/>
          <w:color w:val="000000"/>
          <w:sz w:val="22"/>
          <w:szCs w:val="22"/>
          <w:lang w:val="ro-RO"/>
        </w:rPr>
        <w:t>ă</w:t>
      </w:r>
      <w:r w:rsidRPr="00814A16">
        <w:rPr>
          <w:rFonts w:cs="Arial"/>
          <w:color w:val="000000"/>
          <w:sz w:val="22"/>
          <w:szCs w:val="22"/>
          <w:lang w:val="ro-RO"/>
        </w:rPr>
        <w:t xml:space="preserve">m admirativ la ambițiile de înzestrare poloneze, la achizițiile lor spectaculoase cu transfer tehnologic </w:t>
      </w:r>
      <w:r w:rsidR="003E7A47">
        <w:rPr>
          <w:rFonts w:cs="Arial"/>
          <w:color w:val="000000"/>
          <w:sz w:val="22"/>
          <w:szCs w:val="22"/>
          <w:lang w:val="ro-RO"/>
        </w:rPr>
        <w:t>ş</w:t>
      </w:r>
      <w:r w:rsidRPr="00814A16">
        <w:rPr>
          <w:rFonts w:cs="Arial"/>
          <w:color w:val="000000"/>
          <w:sz w:val="22"/>
          <w:szCs w:val="22"/>
          <w:lang w:val="ro-RO"/>
        </w:rPr>
        <w:t>i înființări de capacit</w:t>
      </w:r>
      <w:r w:rsidR="003E7A47">
        <w:rPr>
          <w:rFonts w:cs="Arial"/>
          <w:color w:val="000000"/>
          <w:sz w:val="22"/>
          <w:szCs w:val="22"/>
          <w:lang w:val="ro-RO"/>
        </w:rPr>
        <w:t>ă</w:t>
      </w:r>
      <w:r w:rsidRPr="00814A16">
        <w:rPr>
          <w:rFonts w:cs="Arial"/>
          <w:color w:val="000000"/>
          <w:sz w:val="22"/>
          <w:szCs w:val="22"/>
          <w:lang w:val="ro-RO"/>
        </w:rPr>
        <w:t>ți de producție</w:t>
      </w:r>
      <w:r w:rsidR="00A60773">
        <w:rPr>
          <w:rFonts w:cs="Arial"/>
          <w:color w:val="000000"/>
          <w:sz w:val="22"/>
          <w:szCs w:val="22"/>
          <w:lang w:val="ro-RO"/>
        </w:rPr>
        <w:t>,</w:t>
      </w:r>
      <w:r w:rsidRPr="00814A16">
        <w:rPr>
          <w:rFonts w:cs="Arial"/>
          <w:color w:val="000000"/>
          <w:sz w:val="22"/>
          <w:szCs w:val="22"/>
          <w:lang w:val="ro-RO"/>
        </w:rPr>
        <w:t xml:space="preserve"> precum </w:t>
      </w:r>
      <w:r w:rsidR="003E7A47">
        <w:rPr>
          <w:rFonts w:cs="Arial"/>
          <w:color w:val="000000"/>
          <w:sz w:val="22"/>
          <w:szCs w:val="22"/>
          <w:lang w:val="ro-RO"/>
        </w:rPr>
        <w:t>ş</w:t>
      </w:r>
      <w:r w:rsidRPr="00814A16">
        <w:rPr>
          <w:rFonts w:cs="Arial"/>
          <w:color w:val="000000"/>
          <w:sz w:val="22"/>
          <w:szCs w:val="22"/>
          <w:lang w:val="ro-RO"/>
        </w:rPr>
        <w:t>i la avântul industriei poloneze de apărare. Faptul că Polonia a decis</w:t>
      </w:r>
      <w:r w:rsidR="00A60773">
        <w:rPr>
          <w:rFonts w:cs="Arial"/>
          <w:color w:val="000000"/>
          <w:sz w:val="22"/>
          <w:szCs w:val="22"/>
          <w:lang w:val="ro-RO"/>
        </w:rPr>
        <w:t>,</w:t>
      </w:r>
      <w:r w:rsidRPr="00814A16">
        <w:rPr>
          <w:rFonts w:cs="Arial"/>
          <w:color w:val="000000"/>
          <w:sz w:val="22"/>
          <w:szCs w:val="22"/>
          <w:lang w:val="ro-RO"/>
        </w:rPr>
        <w:t xml:space="preserve"> la începutul anului 2022</w:t>
      </w:r>
      <w:r w:rsidR="00A60773">
        <w:rPr>
          <w:rFonts w:cs="Arial"/>
          <w:color w:val="000000"/>
          <w:sz w:val="22"/>
          <w:szCs w:val="22"/>
          <w:lang w:val="ro-RO"/>
        </w:rPr>
        <w:t>,</w:t>
      </w:r>
      <w:r w:rsidRPr="00814A16">
        <w:rPr>
          <w:rFonts w:cs="Arial"/>
          <w:color w:val="000000"/>
          <w:sz w:val="22"/>
          <w:szCs w:val="22"/>
          <w:lang w:val="ro-RO"/>
        </w:rPr>
        <w:t xml:space="preserve"> s</w:t>
      </w:r>
      <w:r w:rsidR="003E7A47">
        <w:rPr>
          <w:rFonts w:cs="Arial"/>
          <w:color w:val="000000"/>
          <w:sz w:val="22"/>
          <w:szCs w:val="22"/>
          <w:lang w:val="ro-RO"/>
        </w:rPr>
        <w:t>ă</w:t>
      </w:r>
      <w:r w:rsidRPr="00814A16">
        <w:rPr>
          <w:rFonts w:cs="Arial"/>
          <w:color w:val="000000"/>
          <w:sz w:val="22"/>
          <w:szCs w:val="22"/>
          <w:lang w:val="ro-RO"/>
        </w:rPr>
        <w:t xml:space="preserve"> își revigoreze sistemul de operațiuni compensatorii la contractele de achiziții militare </w:t>
      </w:r>
      <w:r w:rsidR="003E7A47">
        <w:rPr>
          <w:rFonts w:cs="Arial"/>
          <w:color w:val="000000"/>
          <w:sz w:val="22"/>
          <w:szCs w:val="22"/>
          <w:lang w:val="ro-RO"/>
        </w:rPr>
        <w:t>ş</w:t>
      </w:r>
      <w:r w:rsidRPr="00814A16">
        <w:rPr>
          <w:rFonts w:cs="Arial"/>
          <w:color w:val="000000"/>
          <w:sz w:val="22"/>
          <w:szCs w:val="22"/>
          <w:lang w:val="ro-RO"/>
        </w:rPr>
        <w:t xml:space="preserve">i că are așteptări mari </w:t>
      </w:r>
      <w:r w:rsidR="003E7A47">
        <w:rPr>
          <w:rFonts w:cs="Arial"/>
          <w:color w:val="000000"/>
          <w:sz w:val="22"/>
          <w:szCs w:val="22"/>
          <w:lang w:val="ro-RO"/>
        </w:rPr>
        <w:t>î</w:t>
      </w:r>
      <w:r w:rsidRPr="00814A16">
        <w:rPr>
          <w:rFonts w:cs="Arial"/>
          <w:color w:val="000000"/>
          <w:sz w:val="22"/>
          <w:szCs w:val="22"/>
          <w:lang w:val="ro-RO"/>
        </w:rPr>
        <w:t>n urma acestei reforme demonstrează c</w:t>
      </w:r>
      <w:r w:rsidR="003E7A47">
        <w:rPr>
          <w:rFonts w:cs="Arial"/>
          <w:color w:val="000000"/>
          <w:sz w:val="22"/>
          <w:szCs w:val="22"/>
          <w:lang w:val="ro-RO"/>
        </w:rPr>
        <w:t>ă</w:t>
      </w:r>
      <w:r w:rsidRPr="00814A16">
        <w:rPr>
          <w:rFonts w:cs="Arial"/>
          <w:color w:val="000000"/>
          <w:sz w:val="22"/>
          <w:szCs w:val="22"/>
          <w:lang w:val="ro-RO"/>
        </w:rPr>
        <w:t xml:space="preserve"> offsetul clasic nu a căzut </w:t>
      </w:r>
      <w:r w:rsidR="003E7A47">
        <w:rPr>
          <w:rFonts w:cs="Arial"/>
          <w:color w:val="000000"/>
          <w:sz w:val="22"/>
          <w:szCs w:val="22"/>
          <w:lang w:val="ro-RO"/>
        </w:rPr>
        <w:t>î</w:t>
      </w:r>
      <w:r w:rsidRPr="00814A16">
        <w:rPr>
          <w:rFonts w:cs="Arial"/>
          <w:color w:val="000000"/>
          <w:sz w:val="22"/>
          <w:szCs w:val="22"/>
          <w:lang w:val="ro-RO"/>
        </w:rPr>
        <w:t xml:space="preserve">n desuetudine </w:t>
      </w:r>
      <w:r w:rsidR="003E7A47">
        <w:rPr>
          <w:rFonts w:cs="Arial"/>
          <w:color w:val="000000"/>
          <w:sz w:val="22"/>
          <w:szCs w:val="22"/>
          <w:lang w:val="ro-RO"/>
        </w:rPr>
        <w:t>ş</w:t>
      </w:r>
      <w:r w:rsidRPr="00814A16">
        <w:rPr>
          <w:rFonts w:cs="Arial"/>
          <w:color w:val="000000"/>
          <w:sz w:val="22"/>
          <w:szCs w:val="22"/>
          <w:lang w:val="ro-RO"/>
        </w:rPr>
        <w:t>i poate reprezenta imboldul necesar pentru reformarea normativ-instituțional</w:t>
      </w:r>
      <w:r w:rsidR="003E7A47">
        <w:rPr>
          <w:rFonts w:cs="Arial"/>
          <w:color w:val="000000"/>
          <w:sz w:val="22"/>
          <w:szCs w:val="22"/>
          <w:lang w:val="ro-RO"/>
        </w:rPr>
        <w:t>ă</w:t>
      </w:r>
      <w:r w:rsidRPr="00814A16">
        <w:rPr>
          <w:rFonts w:cs="Arial"/>
          <w:color w:val="000000"/>
          <w:sz w:val="22"/>
          <w:szCs w:val="22"/>
          <w:lang w:val="ro-RO"/>
        </w:rPr>
        <w:t xml:space="preserve"> a sistemului românesc</w:t>
      </w:r>
      <w:r w:rsidR="00A60773">
        <w:rPr>
          <w:rFonts w:cs="Arial"/>
          <w:color w:val="000000"/>
          <w:sz w:val="22"/>
          <w:szCs w:val="22"/>
          <w:lang w:val="ro-RO"/>
        </w:rPr>
        <w:t>,</w:t>
      </w:r>
      <w:r w:rsidRPr="00814A16">
        <w:rPr>
          <w:rFonts w:cs="Arial"/>
          <w:color w:val="000000"/>
          <w:sz w:val="22"/>
          <w:szCs w:val="22"/>
          <w:lang w:val="ro-RO"/>
        </w:rPr>
        <w:t xml:space="preserve"> plecând de la proiectul perfectibil de modificare a cadrului legal al operațiunilor de offset, aflat deja de prea mult</w:t>
      </w:r>
      <w:r w:rsidR="00A60773">
        <w:rPr>
          <w:rFonts w:cs="Arial"/>
          <w:color w:val="000000"/>
          <w:sz w:val="22"/>
          <w:szCs w:val="22"/>
          <w:lang w:val="ro-RO"/>
        </w:rPr>
        <w:t>ă</w:t>
      </w:r>
      <w:r w:rsidRPr="00814A16">
        <w:rPr>
          <w:rFonts w:cs="Arial"/>
          <w:color w:val="000000"/>
          <w:sz w:val="22"/>
          <w:szCs w:val="22"/>
          <w:lang w:val="ro-RO"/>
        </w:rPr>
        <w:t xml:space="preserve"> vreme </w:t>
      </w:r>
      <w:r w:rsidR="003E7A47">
        <w:rPr>
          <w:rFonts w:cs="Arial"/>
          <w:color w:val="000000"/>
          <w:sz w:val="22"/>
          <w:szCs w:val="22"/>
          <w:lang w:val="ro-RO"/>
        </w:rPr>
        <w:t>î</w:t>
      </w:r>
      <w:r w:rsidRPr="00814A16">
        <w:rPr>
          <w:rFonts w:cs="Arial"/>
          <w:color w:val="000000"/>
          <w:sz w:val="22"/>
          <w:szCs w:val="22"/>
          <w:lang w:val="ro-RO"/>
        </w:rPr>
        <w:t xml:space="preserve">n proceduri parlamentare.   </w:t>
      </w:r>
    </w:p>
    <w:p w14:paraId="2FBE0438" w14:textId="66653A18" w:rsidR="00CF58DB" w:rsidRPr="00FC72FA" w:rsidRDefault="00A11566" w:rsidP="007C14D8">
      <w:pPr>
        <w:pStyle w:val="Body"/>
        <w:spacing w:line="240" w:lineRule="auto"/>
        <w:jc w:val="left"/>
        <w:rPr>
          <w:rFonts w:cs="Arial"/>
          <w:sz w:val="22"/>
          <w:szCs w:val="22"/>
          <w:lang w:val="ro-RO"/>
        </w:rPr>
      </w:pPr>
      <w:r w:rsidRPr="00FC72FA">
        <w:rPr>
          <w:rFonts w:cs="Arial"/>
          <w:sz w:val="22"/>
          <w:szCs w:val="22"/>
          <w:lang w:val="ro-RO"/>
        </w:rPr>
        <w:t xml:space="preserve">  </w:t>
      </w:r>
    </w:p>
    <w:p w14:paraId="1B676150" w14:textId="77777777" w:rsidR="00411DD9" w:rsidRPr="006943B9" w:rsidRDefault="00411DD9" w:rsidP="00411DD9">
      <w:pPr>
        <w:pStyle w:val="Body"/>
        <w:rPr>
          <w:rStyle w:val="Hyperlink"/>
          <w:szCs w:val="20"/>
          <w:lang w:val="ro-RO"/>
        </w:rPr>
      </w:pPr>
      <w:r w:rsidRPr="006943B9">
        <w:rPr>
          <w:rStyle w:val="Hyperlink"/>
          <w:szCs w:val="20"/>
          <w:lang w:val="ro-RO"/>
        </w:rPr>
        <w:t>-//-</w:t>
      </w:r>
    </w:p>
    <w:p w14:paraId="680D0271" w14:textId="77777777" w:rsidR="00411DD9" w:rsidRPr="00CF58DB" w:rsidRDefault="00411DD9" w:rsidP="00DC6611">
      <w:pPr>
        <w:jc w:val="both"/>
        <w:rPr>
          <w:rFonts w:cs="Arial"/>
          <w:b/>
          <w:bCs/>
          <w:szCs w:val="20"/>
          <w:lang w:val="ro-RO"/>
        </w:rPr>
      </w:pPr>
      <w:r w:rsidRPr="00CF58DB">
        <w:rPr>
          <w:rFonts w:cs="Arial"/>
          <w:b/>
          <w:bCs/>
          <w:szCs w:val="20"/>
          <w:lang w:val="ro-RO"/>
        </w:rPr>
        <w:t>Despre Băncilă, Diaconu și Asociații SPRL</w:t>
      </w:r>
    </w:p>
    <w:p w14:paraId="562394B9" w14:textId="77777777" w:rsidR="00411DD9" w:rsidRPr="00CF58DB" w:rsidRDefault="00411DD9" w:rsidP="00DC6611">
      <w:pPr>
        <w:jc w:val="both"/>
        <w:rPr>
          <w:rFonts w:cs="Arial"/>
          <w:szCs w:val="20"/>
          <w:lang w:val="ro-RO"/>
        </w:rPr>
      </w:pPr>
      <w:r w:rsidRPr="00CF58DB">
        <w:rPr>
          <w:rFonts w:cs="Arial"/>
          <w:szCs w:val="20"/>
          <w:lang w:val="ro-RO"/>
        </w:rPr>
        <w:t>Băncilă, Diaconu și Asociații SPRL (denumită anterior Radu și Asociații SPRL) este o societate de avocați ce oferă servicii juridice complete, care includ atât servicii de consultanță juridică, cât și asistență și reprezentare în fața instanțelor de judecată, având o practică importantă de controverse și dispute fiscale.</w:t>
      </w:r>
    </w:p>
    <w:p w14:paraId="2E0D57B9" w14:textId="77777777" w:rsidR="00411DD9" w:rsidRPr="00CF58DB" w:rsidRDefault="00411DD9" w:rsidP="00DC6611">
      <w:pPr>
        <w:jc w:val="both"/>
        <w:rPr>
          <w:rFonts w:cs="Arial"/>
          <w:szCs w:val="20"/>
          <w:lang w:val="ro-RO"/>
        </w:rPr>
      </w:pPr>
    </w:p>
    <w:p w14:paraId="50EB17DE" w14:textId="77777777" w:rsidR="00411DD9" w:rsidRPr="00CF58DB" w:rsidRDefault="00411DD9" w:rsidP="00DC6611">
      <w:pPr>
        <w:jc w:val="both"/>
        <w:rPr>
          <w:rFonts w:cs="Arial"/>
          <w:szCs w:val="20"/>
          <w:lang w:val="ro-RO"/>
        </w:rPr>
      </w:pPr>
      <w:r w:rsidRPr="00CF58DB">
        <w:rPr>
          <w:rFonts w:cs="Arial"/>
          <w:szCs w:val="20"/>
          <w:lang w:val="ro-RO"/>
        </w:rPr>
        <w:t>Băncilă, Diaconu și Asociații SPRL este membră a grupului Ernst &amp; Young Global Ltd și face parte din rețeaua globală EY Law, aflată în plină expansiune, în cadrul căreia lucrează peste 2.400 de avocați în mai mult de 90 de jurisdicții.</w:t>
      </w:r>
    </w:p>
    <w:p w14:paraId="65FF7A4F" w14:textId="77777777" w:rsidR="00411DD9" w:rsidRPr="00CF58DB" w:rsidRDefault="00411DD9" w:rsidP="00DC6611">
      <w:pPr>
        <w:jc w:val="both"/>
        <w:rPr>
          <w:rFonts w:cs="Arial"/>
          <w:szCs w:val="20"/>
          <w:lang w:val="ro-RO"/>
        </w:rPr>
      </w:pPr>
    </w:p>
    <w:p w14:paraId="150420AA" w14:textId="77777777" w:rsidR="00411DD9" w:rsidRPr="00CF58DB" w:rsidRDefault="00411DD9" w:rsidP="00DC6611">
      <w:pPr>
        <w:jc w:val="both"/>
        <w:rPr>
          <w:rFonts w:cs="Arial"/>
          <w:szCs w:val="20"/>
          <w:lang w:val="ro-RO"/>
        </w:rPr>
      </w:pPr>
      <w:r w:rsidRPr="00CF58DB">
        <w:rPr>
          <w:rFonts w:cs="Arial"/>
          <w:szCs w:val="20"/>
          <w:lang w:val="ro-RO"/>
        </w:rPr>
        <w:t>Experiența noastră a fost recunoscută de piață și de publicații internaționale.</w:t>
      </w:r>
    </w:p>
    <w:p w14:paraId="5A65C5D0" w14:textId="77777777" w:rsidR="00411DD9" w:rsidRPr="00CF58DB" w:rsidRDefault="00411DD9" w:rsidP="00DC6611">
      <w:pPr>
        <w:jc w:val="both"/>
        <w:rPr>
          <w:rFonts w:cs="Arial"/>
          <w:szCs w:val="20"/>
          <w:lang w:val="ro-RO"/>
        </w:rPr>
      </w:pPr>
    </w:p>
    <w:p w14:paraId="0D62B546" w14:textId="77777777" w:rsidR="00411DD9" w:rsidRPr="00CF58DB" w:rsidRDefault="00411DD9" w:rsidP="00DC6611">
      <w:pPr>
        <w:jc w:val="both"/>
        <w:rPr>
          <w:rFonts w:cs="Arial"/>
          <w:szCs w:val="20"/>
          <w:lang w:val="ro-RO"/>
        </w:rPr>
      </w:pPr>
      <w:r w:rsidRPr="00CF58DB">
        <w:rPr>
          <w:rFonts w:cs="Arial"/>
          <w:szCs w:val="20"/>
          <w:lang w:val="ro-RO"/>
        </w:rPr>
        <w:t>Chambers Global 2019 a recunoscut practica noastră de Corporate/M&amp;A în timp ce Chambers Europe 2019, 2020, 2021 și 2022 au plasat practica noastră de Controverse și Dispute Fiscale pe banda 1. Totodată, The Legal 500 Europe, Middle East and Africa 2019, 2020, 2021 și 2022 au premiat practicile noastre de Drept Comercial, Drept Societar / M&amp;A, Drept Imobiliar și Dreptul Muncii, edițiile 2020, 2021 și 2022 plasând practica de Controverse și Dispute Fiscale pe poziția 1.</w:t>
      </w:r>
    </w:p>
    <w:p w14:paraId="1ED109CF" w14:textId="77777777" w:rsidR="00411DD9" w:rsidRPr="00CF58DB" w:rsidRDefault="00411DD9" w:rsidP="00DC6611">
      <w:pPr>
        <w:jc w:val="both"/>
        <w:rPr>
          <w:rFonts w:cs="Arial"/>
          <w:szCs w:val="20"/>
          <w:lang w:val="ro-RO"/>
        </w:rPr>
      </w:pPr>
    </w:p>
    <w:p w14:paraId="419F680C" w14:textId="2FDC5E2A" w:rsidR="00411DD9" w:rsidRPr="002A4D9C" w:rsidRDefault="00411DD9" w:rsidP="002A4D9C">
      <w:pPr>
        <w:jc w:val="both"/>
        <w:rPr>
          <w:rFonts w:cs="Arial"/>
          <w:szCs w:val="20"/>
          <w:lang w:val="ro-RO"/>
        </w:rPr>
      </w:pPr>
      <w:r w:rsidRPr="00CF58DB">
        <w:rPr>
          <w:rFonts w:cs="Arial"/>
          <w:szCs w:val="20"/>
          <w:lang w:val="ro-RO"/>
        </w:rPr>
        <w:t>Pentru mai multe detalii, vă rugăm să accesați: www.bdattorneys.ro</w:t>
      </w:r>
    </w:p>
    <w:sectPr w:rsidR="00411DD9" w:rsidRPr="002A4D9C" w:rsidSect="00A87EB1">
      <w:footerReference w:type="default" r:id="rId9"/>
      <w:headerReference w:type="first" r:id="rId10"/>
      <w:footerReference w:type="first" r:id="rId11"/>
      <w:pgSz w:w="11907" w:h="16839" w:code="9"/>
      <w:pgMar w:top="1134" w:right="1588" w:bottom="1134" w:left="1588" w:header="576"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9F0B" w14:textId="77777777" w:rsidR="00DC7894" w:rsidRDefault="00DC7894">
      <w:r>
        <w:separator/>
      </w:r>
    </w:p>
  </w:endnote>
  <w:endnote w:type="continuationSeparator" w:id="0">
    <w:p w14:paraId="68D2811B" w14:textId="77777777" w:rsidR="00DC7894" w:rsidRDefault="00DC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EYInterstate">
    <w:charset w:val="00"/>
    <w:family w:val="auto"/>
    <w:pitch w:val="variable"/>
    <w:sig w:usb0="800002AF"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450620"/>
      <w:docPartObj>
        <w:docPartGallery w:val="Page Numbers (Bottom of Page)"/>
        <w:docPartUnique/>
      </w:docPartObj>
    </w:sdtPr>
    <w:sdtEndPr>
      <w:rPr>
        <w:noProof/>
      </w:rPr>
    </w:sdtEndPr>
    <w:sdtContent>
      <w:p w14:paraId="6934865D" w14:textId="77777777" w:rsidR="00931034" w:rsidRDefault="00931034" w:rsidP="000817D7">
        <w:pPr>
          <w:pStyle w:val="Footer"/>
          <w:spacing w:before="360" w:after="0"/>
          <w:jc w:val="center"/>
          <w:rPr>
            <w:noProof/>
          </w:rPr>
        </w:pPr>
        <w:r w:rsidRPr="00B05BF6">
          <w:rPr>
            <w:noProof/>
          </w:rPr>
          <w:drawing>
            <wp:anchor distT="0" distB="0" distL="114300" distR="114300" simplePos="0" relativeHeight="251659264" behindDoc="1" locked="0" layoutInCell="1" allowOverlap="1" wp14:anchorId="79AE6F24" wp14:editId="33EAAC4B">
              <wp:simplePos x="0" y="0"/>
              <wp:positionH relativeFrom="margin">
                <wp:posOffset>-501015</wp:posOffset>
              </wp:positionH>
              <wp:positionV relativeFrom="paragraph">
                <wp:posOffset>-374650</wp:posOffset>
              </wp:positionV>
              <wp:extent cx="6071616" cy="786384"/>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 r="8543"/>
                      <a:stretch/>
                    </pic:blipFill>
                    <pic:spPr bwMode="auto">
                      <a:xfrm>
                        <a:off x="0" y="0"/>
                        <a:ext cx="6071616" cy="7863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p w14:paraId="1F139A05" w14:textId="77777777" w:rsidR="00931034" w:rsidRDefault="00931034" w:rsidP="00931034">
        <w:pPr>
          <w:pStyle w:val="Footer"/>
          <w:jc w:val="center"/>
        </w:pPr>
      </w:p>
      <w:p w14:paraId="4E086B70" w14:textId="77777777" w:rsidR="00F127B4" w:rsidRPr="00A321F8" w:rsidRDefault="00000000" w:rsidP="00931034">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381535"/>
      <w:docPartObj>
        <w:docPartGallery w:val="Page Numbers (Bottom of Page)"/>
        <w:docPartUnique/>
      </w:docPartObj>
    </w:sdtPr>
    <w:sdtEndPr>
      <w:rPr>
        <w:noProof/>
      </w:rPr>
    </w:sdtEndPr>
    <w:sdtContent>
      <w:p w14:paraId="29B75ECC" w14:textId="77777777" w:rsidR="00931034" w:rsidRDefault="00931034" w:rsidP="00A87EB1">
        <w:pPr>
          <w:pStyle w:val="Footer"/>
          <w:spacing w:before="360" w:after="0"/>
          <w:jc w:val="center"/>
          <w:rPr>
            <w:noProof/>
          </w:rPr>
        </w:pPr>
        <w:r w:rsidRPr="00B05BF6">
          <w:rPr>
            <w:noProof/>
          </w:rPr>
          <w:drawing>
            <wp:anchor distT="0" distB="0" distL="114300" distR="114300" simplePos="0" relativeHeight="251661312" behindDoc="1" locked="0" layoutInCell="1" allowOverlap="1" wp14:anchorId="4CE08898" wp14:editId="5CE516C5">
              <wp:simplePos x="0" y="0"/>
              <wp:positionH relativeFrom="margin">
                <wp:posOffset>-500380</wp:posOffset>
              </wp:positionH>
              <wp:positionV relativeFrom="paragraph">
                <wp:posOffset>-374650</wp:posOffset>
              </wp:positionV>
              <wp:extent cx="6071616" cy="786384"/>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 r="8543"/>
                      <a:stretch/>
                    </pic:blipFill>
                    <pic:spPr bwMode="auto">
                      <a:xfrm>
                        <a:off x="0" y="0"/>
                        <a:ext cx="6071616" cy="7863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p w14:paraId="7ABC7EB0" w14:textId="77777777" w:rsidR="00931034" w:rsidRDefault="00000000">
        <w:pPr>
          <w:pStyle w:val="Footer"/>
          <w:jc w:val="center"/>
        </w:pPr>
      </w:p>
    </w:sdtContent>
  </w:sdt>
  <w:p w14:paraId="2C552A30" w14:textId="77777777" w:rsidR="00F75F19" w:rsidRPr="00A321F8" w:rsidRDefault="00F75F19" w:rsidP="009310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21EA" w14:textId="77777777" w:rsidR="00DC7894" w:rsidRDefault="00DC7894">
      <w:r>
        <w:separator/>
      </w:r>
    </w:p>
  </w:footnote>
  <w:footnote w:type="continuationSeparator" w:id="0">
    <w:p w14:paraId="61D55D70" w14:textId="77777777" w:rsidR="00DC7894" w:rsidRDefault="00DC7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0CB1" w14:textId="15E89249" w:rsidR="00397F97" w:rsidRDefault="00397F97">
    <w:pPr>
      <w:pStyle w:val="Header"/>
    </w:pPr>
    <w:r w:rsidRPr="00397F97">
      <w:rPr>
        <w:noProof/>
      </w:rPr>
      <mc:AlternateContent>
        <mc:Choice Requires="wps">
          <w:drawing>
            <wp:anchor distT="45720" distB="45720" distL="114300" distR="114300" simplePos="0" relativeHeight="251663360" behindDoc="0" locked="0" layoutInCell="1" allowOverlap="1" wp14:anchorId="76B1A51B" wp14:editId="181803FB">
              <wp:simplePos x="0" y="0"/>
              <wp:positionH relativeFrom="margin">
                <wp:posOffset>2811780</wp:posOffset>
              </wp:positionH>
              <wp:positionV relativeFrom="paragraph">
                <wp:posOffset>198755</wp:posOffset>
              </wp:positionV>
              <wp:extent cx="2907792"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792" cy="1404620"/>
                      </a:xfrm>
                      <a:prstGeom prst="rect">
                        <a:avLst/>
                      </a:prstGeom>
                      <a:solidFill>
                        <a:srgbClr val="FFFFFF"/>
                      </a:solidFill>
                      <a:ln w="9525">
                        <a:noFill/>
                        <a:miter lim="800000"/>
                        <a:headEnd/>
                        <a:tailEnd/>
                      </a:ln>
                    </wps:spPr>
                    <wps:txbx>
                      <w:txbxContent>
                        <w:p w14:paraId="78142CA0" w14:textId="77777777" w:rsidR="00397F97" w:rsidRDefault="00397F97" w:rsidP="00397F97">
                          <w:pPr>
                            <w:rPr>
                              <w:rFonts w:cs="Arial"/>
                              <w:sz w:val="15"/>
                              <w:szCs w:val="15"/>
                            </w:rPr>
                          </w:pPr>
                          <w:r w:rsidRPr="002004B4">
                            <w:rPr>
                              <w:rFonts w:cs="Arial"/>
                              <w:b/>
                              <w:sz w:val="15"/>
                              <w:szCs w:val="15"/>
                            </w:rPr>
                            <w:t xml:space="preserve">Bucharest Tower </w:t>
                          </w:r>
                          <w:proofErr w:type="spellStart"/>
                          <w:r w:rsidRPr="002004B4">
                            <w:rPr>
                              <w:rFonts w:cs="Arial"/>
                              <w:b/>
                              <w:sz w:val="15"/>
                              <w:szCs w:val="15"/>
                            </w:rPr>
                            <w:t>Center</w:t>
                          </w:r>
                          <w:proofErr w:type="spellEnd"/>
                          <w:r w:rsidRPr="002004B4">
                            <w:rPr>
                              <w:rFonts w:cs="Arial"/>
                              <w:b/>
                              <w:sz w:val="15"/>
                              <w:szCs w:val="15"/>
                            </w:rPr>
                            <w:t xml:space="preserve"> Building</w:t>
                          </w:r>
                          <w:r w:rsidRPr="002004B4">
                            <w:rPr>
                              <w:rFonts w:cs="Arial"/>
                              <w:sz w:val="15"/>
                              <w:szCs w:val="15"/>
                            </w:rPr>
                            <w:t xml:space="preserve">, 15-17 Ion </w:t>
                          </w:r>
                          <w:proofErr w:type="spellStart"/>
                          <w:r w:rsidRPr="002004B4">
                            <w:rPr>
                              <w:rFonts w:cs="Arial"/>
                              <w:sz w:val="15"/>
                              <w:szCs w:val="15"/>
                            </w:rPr>
                            <w:t>Mihalache</w:t>
                          </w:r>
                          <w:proofErr w:type="spellEnd"/>
                          <w:r w:rsidRPr="002004B4">
                            <w:rPr>
                              <w:rFonts w:cs="Arial"/>
                              <w:sz w:val="15"/>
                              <w:szCs w:val="15"/>
                            </w:rPr>
                            <w:t xml:space="preserve"> Blvd., </w:t>
                          </w:r>
                        </w:p>
                        <w:p w14:paraId="3900EADD" w14:textId="77777777" w:rsidR="00397F97" w:rsidRPr="002004B4" w:rsidRDefault="00397F97" w:rsidP="00397F97">
                          <w:pPr>
                            <w:rPr>
                              <w:rFonts w:cs="Arial"/>
                              <w:sz w:val="15"/>
                              <w:szCs w:val="15"/>
                            </w:rPr>
                          </w:pPr>
                          <w:r w:rsidRPr="002004B4">
                            <w:rPr>
                              <w:rFonts w:cs="Arial"/>
                              <w:sz w:val="15"/>
                              <w:szCs w:val="15"/>
                            </w:rPr>
                            <w:t>Sector 1, 011171 Bucharest, Romania</w:t>
                          </w:r>
                          <w:r w:rsidRPr="002004B4">
                            <w:rPr>
                              <w:rFonts w:cs="Arial"/>
                              <w:sz w:val="15"/>
                              <w:szCs w:val="15"/>
                            </w:rPr>
                            <w:tab/>
                          </w:r>
                          <w:r w:rsidRPr="002004B4">
                            <w:rPr>
                              <w:rFonts w:cs="Arial"/>
                              <w:sz w:val="15"/>
                              <w:szCs w:val="15"/>
                            </w:rPr>
                            <w:tab/>
                          </w:r>
                        </w:p>
                        <w:p w14:paraId="733EFA1F" w14:textId="77777777" w:rsidR="00397F97" w:rsidRPr="002004B4" w:rsidRDefault="00397F97" w:rsidP="00397F97">
                          <w:pPr>
                            <w:rPr>
                              <w:rFonts w:cs="Arial"/>
                              <w:sz w:val="15"/>
                              <w:szCs w:val="15"/>
                            </w:rPr>
                          </w:pPr>
                        </w:p>
                        <w:p w14:paraId="520E6F4C" w14:textId="77777777" w:rsidR="00397F97" w:rsidRDefault="00397F97" w:rsidP="00397F97">
                          <w:pPr>
                            <w:rPr>
                              <w:rFonts w:cs="Arial"/>
                              <w:sz w:val="15"/>
                              <w:szCs w:val="15"/>
                            </w:rPr>
                          </w:pPr>
                          <w:r w:rsidRPr="002004B4">
                            <w:rPr>
                              <w:rFonts w:cs="Arial"/>
                              <w:sz w:val="15"/>
                              <w:szCs w:val="15"/>
                            </w:rPr>
                            <w:t xml:space="preserve">Tel:  +40 21 402 4000 | Fax: +40 21 310 6987 </w:t>
                          </w:r>
                        </w:p>
                        <w:p w14:paraId="0ED09027" w14:textId="77777777" w:rsidR="00397F97" w:rsidRPr="004145F5" w:rsidRDefault="00397F97" w:rsidP="00397F97">
                          <w:pPr>
                            <w:rPr>
                              <w:rFonts w:cs="Arial"/>
                              <w:sz w:val="15"/>
                              <w:szCs w:val="15"/>
                              <w:lang w:val="pt-PT"/>
                            </w:rPr>
                          </w:pPr>
                          <w:r w:rsidRPr="004145F5">
                            <w:rPr>
                              <w:rFonts w:cs="Arial"/>
                              <w:sz w:val="15"/>
                              <w:szCs w:val="15"/>
                              <w:lang w:val="pt-PT"/>
                            </w:rPr>
                            <w:t xml:space="preserve">E-mail: office@ra-law.ro | Website: www.ra-law.ro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B1A51B" id="_x0000_t202" coordsize="21600,21600" o:spt="202" path="m,l,21600r21600,l21600,xe">
              <v:stroke joinstyle="miter"/>
              <v:path gradientshapeok="t" o:connecttype="rect"/>
            </v:shapetype>
            <v:shape id="Text Box 2" o:spid="_x0000_s1026" type="#_x0000_t202" style="position:absolute;margin-left:221.4pt;margin-top:15.65pt;width:228.9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" stroked="f">
              <v:textbox style="mso-fit-shape-to-text:t">
                <w:txbxContent>
                  <w:p w14:paraId="78142CA0" w14:textId="77777777" w:rsidR="00397F97" w:rsidRDefault="00397F97" w:rsidP="00397F97">
                    <w:pPr>
                      <w:rPr>
                        <w:rFonts w:cs="Arial"/>
                        <w:sz w:val="15"/>
                        <w:szCs w:val="15"/>
                      </w:rPr>
                    </w:pPr>
                    <w:r w:rsidRPr="002004B4">
                      <w:rPr>
                        <w:rFonts w:cs="Arial"/>
                        <w:b/>
                        <w:sz w:val="15"/>
                        <w:szCs w:val="15"/>
                      </w:rPr>
                      <w:t xml:space="preserve">Bucharest Tower </w:t>
                    </w:r>
                    <w:proofErr w:type="spellStart"/>
                    <w:r w:rsidRPr="002004B4">
                      <w:rPr>
                        <w:rFonts w:cs="Arial"/>
                        <w:b/>
                        <w:sz w:val="15"/>
                        <w:szCs w:val="15"/>
                      </w:rPr>
                      <w:t>Center</w:t>
                    </w:r>
                    <w:proofErr w:type="spellEnd"/>
                    <w:r w:rsidRPr="002004B4">
                      <w:rPr>
                        <w:rFonts w:cs="Arial"/>
                        <w:b/>
                        <w:sz w:val="15"/>
                        <w:szCs w:val="15"/>
                      </w:rPr>
                      <w:t xml:space="preserve"> Building</w:t>
                    </w:r>
                    <w:r w:rsidRPr="002004B4">
                      <w:rPr>
                        <w:rFonts w:cs="Arial"/>
                        <w:sz w:val="15"/>
                        <w:szCs w:val="15"/>
                      </w:rPr>
                      <w:t xml:space="preserve">, 15-17 Ion </w:t>
                    </w:r>
                    <w:proofErr w:type="spellStart"/>
                    <w:r w:rsidRPr="002004B4">
                      <w:rPr>
                        <w:rFonts w:cs="Arial"/>
                        <w:sz w:val="15"/>
                        <w:szCs w:val="15"/>
                      </w:rPr>
                      <w:t>Mihalache</w:t>
                    </w:r>
                    <w:proofErr w:type="spellEnd"/>
                    <w:r w:rsidRPr="002004B4">
                      <w:rPr>
                        <w:rFonts w:cs="Arial"/>
                        <w:sz w:val="15"/>
                        <w:szCs w:val="15"/>
                      </w:rPr>
                      <w:t xml:space="preserve"> Blvd., </w:t>
                    </w:r>
                  </w:p>
                  <w:p w14:paraId="3900EADD" w14:textId="77777777" w:rsidR="00397F97" w:rsidRPr="002004B4" w:rsidRDefault="00397F97" w:rsidP="00397F97">
                    <w:pPr>
                      <w:rPr>
                        <w:rFonts w:cs="Arial"/>
                        <w:sz w:val="15"/>
                        <w:szCs w:val="15"/>
                      </w:rPr>
                    </w:pPr>
                    <w:r w:rsidRPr="002004B4">
                      <w:rPr>
                        <w:rFonts w:cs="Arial"/>
                        <w:sz w:val="15"/>
                        <w:szCs w:val="15"/>
                      </w:rPr>
                      <w:t>Sector 1, 011171 Bucharest, Romania</w:t>
                    </w:r>
                    <w:r w:rsidRPr="002004B4">
                      <w:rPr>
                        <w:rFonts w:cs="Arial"/>
                        <w:sz w:val="15"/>
                        <w:szCs w:val="15"/>
                      </w:rPr>
                      <w:tab/>
                    </w:r>
                    <w:r w:rsidRPr="002004B4">
                      <w:rPr>
                        <w:rFonts w:cs="Arial"/>
                        <w:sz w:val="15"/>
                        <w:szCs w:val="15"/>
                      </w:rPr>
                      <w:tab/>
                    </w:r>
                  </w:p>
                  <w:p w14:paraId="733EFA1F" w14:textId="77777777" w:rsidR="00397F97" w:rsidRPr="002004B4" w:rsidRDefault="00397F97" w:rsidP="00397F97">
                    <w:pPr>
                      <w:rPr>
                        <w:rFonts w:cs="Arial"/>
                        <w:sz w:val="15"/>
                        <w:szCs w:val="15"/>
                      </w:rPr>
                    </w:pPr>
                  </w:p>
                  <w:p w14:paraId="520E6F4C" w14:textId="77777777" w:rsidR="00397F97" w:rsidRDefault="00397F97" w:rsidP="00397F97">
                    <w:pPr>
                      <w:rPr>
                        <w:rFonts w:cs="Arial"/>
                        <w:sz w:val="15"/>
                        <w:szCs w:val="15"/>
                      </w:rPr>
                    </w:pPr>
                    <w:r w:rsidRPr="002004B4">
                      <w:rPr>
                        <w:rFonts w:cs="Arial"/>
                        <w:sz w:val="15"/>
                        <w:szCs w:val="15"/>
                      </w:rPr>
                      <w:t xml:space="preserve">Tel:  +40 21 402 4000 | Fax: +40 21 310 6987 </w:t>
                    </w:r>
                  </w:p>
                  <w:p w14:paraId="0ED09027" w14:textId="77777777" w:rsidR="00397F97" w:rsidRPr="004145F5" w:rsidRDefault="00397F97" w:rsidP="00397F97">
                    <w:pPr>
                      <w:rPr>
                        <w:rFonts w:cs="Arial"/>
                        <w:sz w:val="15"/>
                        <w:szCs w:val="15"/>
                        <w:lang w:val="pt-PT"/>
                      </w:rPr>
                    </w:pPr>
                    <w:r w:rsidRPr="004145F5">
                      <w:rPr>
                        <w:rFonts w:cs="Arial"/>
                        <w:sz w:val="15"/>
                        <w:szCs w:val="15"/>
                        <w:lang w:val="pt-PT"/>
                      </w:rPr>
                      <w:t xml:space="preserve">E-mail: office@ra-law.ro | Website: www.ra-law.ro </w:t>
                    </w:r>
                  </w:p>
                </w:txbxContent>
              </v:textbox>
              <w10:wrap type="square" anchorx="margin"/>
            </v:shape>
          </w:pict>
        </mc:Fallback>
      </mc:AlternateContent>
    </w:r>
    <w:r w:rsidRPr="00397F97">
      <w:rPr>
        <w:noProof/>
      </w:rPr>
      <w:drawing>
        <wp:anchor distT="0" distB="0" distL="114300" distR="114300" simplePos="0" relativeHeight="251664384" behindDoc="0" locked="0" layoutInCell="1" allowOverlap="1" wp14:anchorId="6C5D81BB" wp14:editId="5A46E30F">
          <wp:simplePos x="0" y="0"/>
          <wp:positionH relativeFrom="column">
            <wp:posOffset>0</wp:posOffset>
          </wp:positionH>
          <wp:positionV relativeFrom="page">
            <wp:posOffset>511175</wp:posOffset>
          </wp:positionV>
          <wp:extent cx="2103120" cy="66611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0312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6A1"/>
    <w:multiLevelType w:val="multilevel"/>
    <w:tmpl w:val="9E6E4A14"/>
    <w:lvl w:ilvl="0">
      <w:start w:val="1"/>
      <w:numFmt w:val="upperLetter"/>
      <w:pStyle w:val="UCAlpha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3CE19EF"/>
    <w:multiLevelType w:val="multilevel"/>
    <w:tmpl w:val="165E5ECA"/>
    <w:lvl w:ilvl="0">
      <w:start w:val="1"/>
      <w:numFmt w:val="bullet"/>
      <w:pStyle w:val="bullet1"/>
      <w:lvlText w:val="•"/>
      <w:lvlJc w:val="left"/>
      <w:pPr>
        <w:ind w:left="360"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8645C"/>
    <w:multiLevelType w:val="multilevel"/>
    <w:tmpl w:val="0D34FD9A"/>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134323D"/>
    <w:multiLevelType w:val="multilevel"/>
    <w:tmpl w:val="DBDC150C"/>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F2CC1C1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73574CD"/>
    <w:multiLevelType w:val="singleLevel"/>
    <w:tmpl w:val="76E6BCCC"/>
    <w:lvl w:ilvl="0">
      <w:start w:val="1"/>
      <w:numFmt w:val="lowerLetter"/>
      <w:pStyle w:val="alpha4"/>
      <w:lvlText w:val="(%1)"/>
      <w:lvlJc w:val="left"/>
      <w:pPr>
        <w:ind w:left="2401" w:hanging="360"/>
      </w:pPr>
      <w:rPr>
        <w:rFonts w:ascii="EYInterstate" w:hAnsi="EYInterstate" w:hint="default"/>
        <w:b w:val="0"/>
        <w:i w:val="0"/>
        <w:sz w:val="20"/>
      </w:rPr>
    </w:lvl>
  </w:abstractNum>
  <w:abstractNum w:abstractNumId="6" w15:restartNumberingAfterBreak="0">
    <w:nsid w:val="1BC91C4D"/>
    <w:multiLevelType w:val="multilevel"/>
    <w:tmpl w:val="955ED79C"/>
    <w:lvl w:ilvl="0">
      <w:start w:val="1"/>
      <w:numFmt w:val="bullet"/>
      <w:pStyle w:val="bullet4"/>
      <w:lvlText w:val="•"/>
      <w:lvlJc w:val="left"/>
      <w:pPr>
        <w:ind w:left="2401"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07A87"/>
    <w:multiLevelType w:val="multilevel"/>
    <w:tmpl w:val="8B8AB054"/>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E2ACA"/>
    <w:multiLevelType w:val="multilevel"/>
    <w:tmpl w:val="D6CAC37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08B8"/>
    <w:multiLevelType w:val="multilevel"/>
    <w:tmpl w:val="97C4CBDE"/>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3971282"/>
    <w:multiLevelType w:val="multilevel"/>
    <w:tmpl w:val="CA6C3346"/>
    <w:lvl w:ilvl="0">
      <w:start w:val="1"/>
      <w:numFmt w:val="upperLetter"/>
      <w:pStyle w:val="UCAlpha4"/>
      <w:lvlText w:val="%1."/>
      <w:lvlJc w:val="left"/>
      <w:pPr>
        <w:tabs>
          <w:tab w:val="num" w:pos="2608"/>
        </w:tabs>
        <w:ind w:left="260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5E6172F"/>
    <w:multiLevelType w:val="singleLevel"/>
    <w:tmpl w:val="22407194"/>
    <w:lvl w:ilvl="0">
      <w:start w:val="1"/>
      <w:numFmt w:val="lowerLetter"/>
      <w:pStyle w:val="Tablealpha"/>
      <w:lvlText w:val="(%1)"/>
      <w:lvlJc w:val="left"/>
      <w:pPr>
        <w:ind w:left="360" w:hanging="360"/>
      </w:pPr>
      <w:rPr>
        <w:rFonts w:ascii="EYInterstate" w:hAnsi="EYInterstate" w:hint="default"/>
        <w:b w:val="0"/>
        <w:i w:val="0"/>
        <w:sz w:val="20"/>
      </w:rPr>
    </w:lvl>
  </w:abstractNum>
  <w:abstractNum w:abstractNumId="12" w15:restartNumberingAfterBreak="0">
    <w:nsid w:val="27CB60E5"/>
    <w:multiLevelType w:val="multilevel"/>
    <w:tmpl w:val="3B6AC506"/>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328AE"/>
    <w:multiLevelType w:val="multilevel"/>
    <w:tmpl w:val="6DE0B206"/>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A735D"/>
    <w:multiLevelType w:val="multilevel"/>
    <w:tmpl w:val="DE24A3AC"/>
    <w:lvl w:ilvl="0">
      <w:start w:val="1"/>
      <w:numFmt w:val="bullet"/>
      <w:pStyle w:val="bullet6"/>
      <w:lvlText w:val="•"/>
      <w:lvlJc w:val="left"/>
      <w:pPr>
        <w:ind w:left="3648"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05D16"/>
    <w:multiLevelType w:val="singleLevel"/>
    <w:tmpl w:val="E954FD52"/>
    <w:lvl w:ilvl="0">
      <w:start w:val="1"/>
      <w:numFmt w:val="lowerLetter"/>
      <w:pStyle w:val="alpha3"/>
      <w:lvlText w:val="(%1)"/>
      <w:lvlJc w:val="left"/>
      <w:pPr>
        <w:ind w:left="1721" w:hanging="360"/>
      </w:pPr>
      <w:rPr>
        <w:rFonts w:ascii="EYInterstate" w:hAnsi="EYInterstate" w:hint="default"/>
        <w:b w:val="0"/>
        <w:i w:val="0"/>
        <w:sz w:val="20"/>
      </w:rPr>
    </w:lvl>
  </w:abstractNum>
  <w:abstractNum w:abstractNumId="16" w15:restartNumberingAfterBreak="0">
    <w:nsid w:val="34A5631E"/>
    <w:multiLevelType w:val="multilevel"/>
    <w:tmpl w:val="E0804892"/>
    <w:lvl w:ilvl="0">
      <w:start w:val="1"/>
      <w:numFmt w:val="upperLetter"/>
      <w:pStyle w:val="UCAlpha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4AE3D21"/>
    <w:multiLevelType w:val="multilevel"/>
    <w:tmpl w:val="516E8004"/>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76142"/>
    <w:multiLevelType w:val="multilevel"/>
    <w:tmpl w:val="1A488DF8"/>
    <w:lvl w:ilvl="0">
      <w:start w:val="1"/>
      <w:numFmt w:val="bullet"/>
      <w:pStyle w:val="bullet2"/>
      <w:lvlText w:val="•"/>
      <w:lvlJc w:val="left"/>
      <w:pPr>
        <w:ind w:left="1040"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E21890"/>
    <w:multiLevelType w:val="multilevel"/>
    <w:tmpl w:val="131A44C2"/>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386006ED"/>
    <w:multiLevelType w:val="singleLevel"/>
    <w:tmpl w:val="3BDE263A"/>
    <w:lvl w:ilvl="0">
      <w:start w:val="1"/>
      <w:numFmt w:val="lowerLetter"/>
      <w:pStyle w:val="alpha6"/>
      <w:lvlText w:val="(%1)"/>
      <w:lvlJc w:val="left"/>
      <w:pPr>
        <w:ind w:left="3648" w:hanging="360"/>
      </w:pPr>
      <w:rPr>
        <w:rFonts w:ascii="EYInterstate" w:hAnsi="EYInterstate" w:hint="default"/>
        <w:b w:val="0"/>
        <w:i w:val="0"/>
        <w:sz w:val="20"/>
      </w:rPr>
    </w:lvl>
  </w:abstractNum>
  <w:abstractNum w:abstractNumId="21" w15:restartNumberingAfterBreak="0">
    <w:nsid w:val="3D0E7D39"/>
    <w:multiLevelType w:val="multilevel"/>
    <w:tmpl w:val="0BB21CC0"/>
    <w:name w:val="AOSch"/>
    <w:lvl w:ilvl="0">
      <w:start w:val="1"/>
      <w:numFmt w:val="decimal"/>
      <w:pStyle w:val="SchHead"/>
      <w:suff w:val="nothing"/>
      <w:lvlText w:val="Schedule %1"/>
      <w:lvlJc w:val="left"/>
      <w:pPr>
        <w:ind w:left="0" w:firstLine="0"/>
      </w:pPr>
      <w:rPr>
        <w:b/>
        <w:i w:val="0"/>
      </w:rPr>
    </w:lvl>
    <w:lvl w:ilvl="1">
      <w:start w:val="1"/>
      <w:numFmt w:val="decimal"/>
      <w:pStyle w:val="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3FBC403A"/>
    <w:multiLevelType w:val="multilevel"/>
    <w:tmpl w:val="53184140"/>
    <w:lvl w:ilvl="0">
      <w:start w:val="1"/>
      <w:numFmt w:val="upperLetter"/>
      <w:pStyle w:val="UCAlpha5"/>
      <w:lvlText w:val="%1."/>
      <w:lvlJc w:val="left"/>
      <w:pPr>
        <w:tabs>
          <w:tab w:val="num" w:pos="3288"/>
        </w:tabs>
        <w:ind w:left="3288"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5132D78"/>
    <w:multiLevelType w:val="hybridMultilevel"/>
    <w:tmpl w:val="14CC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00B05"/>
    <w:multiLevelType w:val="multilevel"/>
    <w:tmpl w:val="D0944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D7BFA"/>
    <w:multiLevelType w:val="singleLevel"/>
    <w:tmpl w:val="3A482CF0"/>
    <w:lvl w:ilvl="0">
      <w:start w:val="1"/>
      <w:numFmt w:val="lowerLetter"/>
      <w:pStyle w:val="alpha5"/>
      <w:lvlText w:val="(%1)"/>
      <w:lvlJc w:val="left"/>
      <w:pPr>
        <w:ind w:left="2968" w:hanging="360"/>
      </w:pPr>
      <w:rPr>
        <w:rFonts w:ascii="EYInterstate" w:hAnsi="EYInterstate" w:hint="default"/>
        <w:b w:val="0"/>
        <w:i w:val="0"/>
        <w:sz w:val="20"/>
      </w:rPr>
    </w:lvl>
  </w:abstractNum>
  <w:abstractNum w:abstractNumId="26" w15:restartNumberingAfterBreak="0">
    <w:nsid w:val="512A7C3C"/>
    <w:multiLevelType w:val="singleLevel"/>
    <w:tmpl w:val="DB2A5870"/>
    <w:lvl w:ilvl="0">
      <w:start w:val="1"/>
      <w:numFmt w:val="lowerLetter"/>
      <w:pStyle w:val="alpha1"/>
      <w:lvlText w:val="(%1)"/>
      <w:lvlJc w:val="left"/>
      <w:pPr>
        <w:ind w:left="360" w:hanging="360"/>
      </w:pPr>
      <w:rPr>
        <w:rFonts w:ascii="Arial" w:hAnsi="Arial" w:cs="Arial" w:hint="default"/>
        <w:b w:val="0"/>
        <w:i w:val="0"/>
        <w:sz w:val="20"/>
      </w:rPr>
    </w:lvl>
  </w:abstractNum>
  <w:abstractNum w:abstractNumId="27" w15:restartNumberingAfterBreak="0">
    <w:nsid w:val="55F728E2"/>
    <w:multiLevelType w:val="multilevel"/>
    <w:tmpl w:val="B680C6AE"/>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9" w15:restartNumberingAfterBreak="0">
    <w:nsid w:val="5AF711EC"/>
    <w:multiLevelType w:val="singleLevel"/>
    <w:tmpl w:val="E7983A00"/>
    <w:lvl w:ilvl="0">
      <w:start w:val="1"/>
      <w:numFmt w:val="lowerRoman"/>
      <w:pStyle w:val="roman1"/>
      <w:lvlText w:val="(%1)"/>
      <w:lvlJc w:val="left"/>
      <w:pPr>
        <w:ind w:left="360" w:hanging="360"/>
      </w:pPr>
      <w:rPr>
        <w:rFonts w:ascii="EYInterstate" w:hAnsi="EYInterstate" w:hint="default"/>
        <w:b w:val="0"/>
        <w:i w:val="0"/>
        <w:sz w:val="20"/>
      </w:rPr>
    </w:lvl>
  </w:abstractNum>
  <w:abstractNum w:abstractNumId="30" w15:restartNumberingAfterBreak="0">
    <w:nsid w:val="5F627F98"/>
    <w:multiLevelType w:val="multilevel"/>
    <w:tmpl w:val="D4C07D38"/>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CB4379"/>
    <w:multiLevelType w:val="multilevel"/>
    <w:tmpl w:val="E78A489E"/>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33" w15:restartNumberingAfterBreak="0">
    <w:nsid w:val="64C47EA1"/>
    <w:multiLevelType w:val="singleLevel"/>
    <w:tmpl w:val="26DC18AE"/>
    <w:lvl w:ilvl="0">
      <w:start w:val="1"/>
      <w:numFmt w:val="lowerLetter"/>
      <w:pStyle w:val="Tableroman"/>
      <w:lvlText w:val="(%1)"/>
      <w:lvlJc w:val="left"/>
      <w:pPr>
        <w:ind w:left="360" w:hanging="360"/>
      </w:pPr>
      <w:rPr>
        <w:rFonts w:ascii="EYInterstate" w:hAnsi="EYInterstate" w:hint="default"/>
        <w:b w:val="0"/>
        <w:i w:val="0"/>
        <w:sz w:val="20"/>
      </w:rPr>
    </w:lvl>
  </w:abstractNum>
  <w:abstractNum w:abstractNumId="34" w15:restartNumberingAfterBreak="0">
    <w:nsid w:val="6A7F67AA"/>
    <w:multiLevelType w:val="multilevel"/>
    <w:tmpl w:val="CDA4B838"/>
    <w:lvl w:ilvl="0">
      <w:start w:val="1"/>
      <w:numFmt w:val="upperLetter"/>
      <w:pStyle w:val="UCAlpha3"/>
      <w:lvlText w:val="%1."/>
      <w:lvlJc w:val="left"/>
      <w:pPr>
        <w:tabs>
          <w:tab w:val="num" w:pos="2041"/>
        </w:tabs>
        <w:ind w:left="204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AF8019B"/>
    <w:multiLevelType w:val="multilevel"/>
    <w:tmpl w:val="F1D03AB8"/>
    <w:lvl w:ilvl="0">
      <w:start w:val="1"/>
      <w:numFmt w:val="bullet"/>
      <w:pStyle w:val="bullet3"/>
      <w:lvlText w:val="•"/>
      <w:lvlJc w:val="left"/>
      <w:pPr>
        <w:ind w:left="1721"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1D1232"/>
    <w:multiLevelType w:val="multilevel"/>
    <w:tmpl w:val="534A9C74"/>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7" w15:restartNumberingAfterBreak="0">
    <w:nsid w:val="6B502D22"/>
    <w:multiLevelType w:val="multilevel"/>
    <w:tmpl w:val="2C5C0BB6"/>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BEA4D3C"/>
    <w:multiLevelType w:val="multilevel"/>
    <w:tmpl w:val="A70298F6"/>
    <w:lvl w:ilvl="0">
      <w:start w:val="1"/>
      <w:numFmt w:val="upperLetter"/>
      <w:pStyle w:val="UCAlpha6"/>
      <w:lvlText w:val="%1."/>
      <w:lvlJc w:val="left"/>
      <w:pPr>
        <w:tabs>
          <w:tab w:val="num" w:pos="3969"/>
        </w:tabs>
        <w:ind w:left="3969"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C5255B9"/>
    <w:multiLevelType w:val="singleLevel"/>
    <w:tmpl w:val="EB6C28B8"/>
    <w:lvl w:ilvl="0">
      <w:start w:val="1"/>
      <w:numFmt w:val="lowerRoman"/>
      <w:pStyle w:val="roman6"/>
      <w:lvlText w:val="(%1)"/>
      <w:lvlJc w:val="left"/>
      <w:pPr>
        <w:ind w:left="3648" w:hanging="360"/>
      </w:pPr>
      <w:rPr>
        <w:rFonts w:ascii="EYInterstate" w:hAnsi="EYInterstate" w:hint="default"/>
        <w:b w:val="0"/>
        <w:i w:val="0"/>
        <w:sz w:val="20"/>
      </w:rPr>
    </w:lvl>
  </w:abstractNum>
  <w:abstractNum w:abstractNumId="40" w15:restartNumberingAfterBreak="0">
    <w:nsid w:val="71301401"/>
    <w:multiLevelType w:val="multilevel"/>
    <w:tmpl w:val="728CCF92"/>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69173D"/>
    <w:multiLevelType w:val="singleLevel"/>
    <w:tmpl w:val="C5F03EC6"/>
    <w:lvl w:ilvl="0">
      <w:start w:val="1"/>
      <w:numFmt w:val="lowerLetter"/>
      <w:pStyle w:val="alpha2"/>
      <w:lvlText w:val="(%1)"/>
      <w:lvlJc w:val="left"/>
      <w:pPr>
        <w:ind w:left="1040" w:hanging="360"/>
      </w:pPr>
      <w:rPr>
        <w:rFonts w:ascii="EYInterstate" w:hAnsi="EYInterstate" w:hint="default"/>
        <w:b w:val="0"/>
        <w:i w:val="0"/>
        <w:sz w:val="20"/>
      </w:rPr>
    </w:lvl>
  </w:abstractNum>
  <w:abstractNum w:abstractNumId="42" w15:restartNumberingAfterBreak="0">
    <w:nsid w:val="73455C00"/>
    <w:multiLevelType w:val="singleLevel"/>
    <w:tmpl w:val="6E4CFB40"/>
    <w:lvl w:ilvl="0">
      <w:start w:val="1"/>
      <w:numFmt w:val="lowerRoman"/>
      <w:pStyle w:val="roman5"/>
      <w:lvlText w:val="(%1)"/>
      <w:lvlJc w:val="left"/>
      <w:pPr>
        <w:ind w:left="2968" w:hanging="360"/>
      </w:pPr>
      <w:rPr>
        <w:rFonts w:ascii="EYInterstate" w:hAnsi="EYInterstate" w:hint="default"/>
        <w:b w:val="0"/>
        <w:i w:val="0"/>
        <w:sz w:val="20"/>
      </w:rPr>
    </w:lvl>
  </w:abstractNum>
  <w:abstractNum w:abstractNumId="43" w15:restartNumberingAfterBreak="0">
    <w:nsid w:val="76474501"/>
    <w:multiLevelType w:val="multilevel"/>
    <w:tmpl w:val="88F252CE"/>
    <w:lvl w:ilvl="0">
      <w:start w:val="1"/>
      <w:numFmt w:val="bullet"/>
      <w:pStyle w:val="bullet5"/>
      <w:lvlText w:val="•"/>
      <w:lvlJc w:val="left"/>
      <w:pPr>
        <w:ind w:left="720" w:hanging="360"/>
      </w:pPr>
      <w:rPr>
        <w:rFonts w:ascii="EYInterstate" w:hAnsi="EYInterstate" w:hint="default"/>
      </w:rPr>
    </w:lvl>
    <w:lvl w:ilvl="1" w:tentative="1">
      <w:start w:val="1"/>
      <w:numFmt w:val="bullet"/>
      <w:lvlText w:val="o"/>
      <w:lvlJc w:val="left"/>
      <w:pPr>
        <w:tabs>
          <w:tab w:val="num" w:pos="-808"/>
        </w:tabs>
        <w:ind w:left="-808" w:hanging="360"/>
      </w:pPr>
      <w:rPr>
        <w:rFonts w:ascii="Courier New" w:hAnsi="Courier New" w:hint="default"/>
      </w:rPr>
    </w:lvl>
    <w:lvl w:ilvl="2" w:tentative="1">
      <w:start w:val="1"/>
      <w:numFmt w:val="bullet"/>
      <w:lvlText w:val=""/>
      <w:lvlJc w:val="left"/>
      <w:pPr>
        <w:tabs>
          <w:tab w:val="num" w:pos="-88"/>
        </w:tabs>
        <w:ind w:left="-88" w:hanging="360"/>
      </w:pPr>
      <w:rPr>
        <w:rFonts w:ascii="Wingdings" w:hAnsi="Wingdings" w:hint="default"/>
      </w:rPr>
    </w:lvl>
    <w:lvl w:ilvl="3" w:tentative="1">
      <w:start w:val="1"/>
      <w:numFmt w:val="bullet"/>
      <w:lvlText w:val=""/>
      <w:lvlJc w:val="left"/>
      <w:pPr>
        <w:tabs>
          <w:tab w:val="num" w:pos="632"/>
        </w:tabs>
        <w:ind w:left="632" w:hanging="360"/>
      </w:pPr>
      <w:rPr>
        <w:rFonts w:ascii="Symbol" w:hAnsi="Symbol" w:hint="default"/>
      </w:rPr>
    </w:lvl>
    <w:lvl w:ilvl="4" w:tentative="1">
      <w:start w:val="1"/>
      <w:numFmt w:val="bullet"/>
      <w:lvlText w:val="o"/>
      <w:lvlJc w:val="left"/>
      <w:pPr>
        <w:tabs>
          <w:tab w:val="num" w:pos="1352"/>
        </w:tabs>
        <w:ind w:left="1352" w:hanging="360"/>
      </w:pPr>
      <w:rPr>
        <w:rFonts w:ascii="Courier New" w:hAnsi="Courier New" w:hint="default"/>
      </w:rPr>
    </w:lvl>
    <w:lvl w:ilvl="5" w:tentative="1">
      <w:start w:val="1"/>
      <w:numFmt w:val="bullet"/>
      <w:lvlText w:val=""/>
      <w:lvlJc w:val="left"/>
      <w:pPr>
        <w:tabs>
          <w:tab w:val="num" w:pos="2072"/>
        </w:tabs>
        <w:ind w:left="2072" w:hanging="360"/>
      </w:pPr>
      <w:rPr>
        <w:rFonts w:ascii="Wingdings" w:hAnsi="Wingdings" w:hint="default"/>
      </w:rPr>
    </w:lvl>
    <w:lvl w:ilvl="6" w:tentative="1">
      <w:start w:val="1"/>
      <w:numFmt w:val="bullet"/>
      <w:lvlText w:val=""/>
      <w:lvlJc w:val="left"/>
      <w:pPr>
        <w:tabs>
          <w:tab w:val="num" w:pos="2792"/>
        </w:tabs>
        <w:ind w:left="2792" w:hanging="360"/>
      </w:pPr>
      <w:rPr>
        <w:rFonts w:ascii="Symbol" w:hAnsi="Symbol" w:hint="default"/>
      </w:rPr>
    </w:lvl>
    <w:lvl w:ilvl="7" w:tentative="1">
      <w:start w:val="1"/>
      <w:numFmt w:val="bullet"/>
      <w:lvlText w:val="o"/>
      <w:lvlJc w:val="left"/>
      <w:pPr>
        <w:tabs>
          <w:tab w:val="num" w:pos="3512"/>
        </w:tabs>
        <w:ind w:left="3512" w:hanging="360"/>
      </w:pPr>
      <w:rPr>
        <w:rFonts w:ascii="Courier New" w:hAnsi="Courier New" w:hint="default"/>
      </w:rPr>
    </w:lvl>
    <w:lvl w:ilvl="8" w:tentative="1">
      <w:start w:val="1"/>
      <w:numFmt w:val="bullet"/>
      <w:lvlText w:val=""/>
      <w:lvlJc w:val="left"/>
      <w:pPr>
        <w:tabs>
          <w:tab w:val="num" w:pos="4232"/>
        </w:tabs>
        <w:ind w:left="4232" w:hanging="360"/>
      </w:pPr>
      <w:rPr>
        <w:rFonts w:ascii="Wingdings" w:hAnsi="Wingdings" w:hint="default"/>
      </w:rPr>
    </w:lvl>
  </w:abstractNum>
  <w:abstractNum w:abstractNumId="44" w15:restartNumberingAfterBreak="0">
    <w:nsid w:val="785A5B88"/>
    <w:multiLevelType w:val="singleLevel"/>
    <w:tmpl w:val="4AFACC12"/>
    <w:lvl w:ilvl="0">
      <w:start w:val="1"/>
      <w:numFmt w:val="lowerRoman"/>
      <w:pStyle w:val="roman2"/>
      <w:lvlText w:val="(%1)"/>
      <w:lvlJc w:val="left"/>
      <w:pPr>
        <w:ind w:left="1040" w:hanging="360"/>
      </w:pPr>
      <w:rPr>
        <w:rFonts w:ascii="EYInterstate" w:hAnsi="EYInterstate" w:hint="default"/>
        <w:b w:val="0"/>
        <w:i w:val="0"/>
        <w:sz w:val="20"/>
      </w:rPr>
    </w:lvl>
  </w:abstractNum>
  <w:abstractNum w:abstractNumId="45" w15:restartNumberingAfterBreak="0">
    <w:nsid w:val="7ED04878"/>
    <w:multiLevelType w:val="multilevel"/>
    <w:tmpl w:val="6498B640"/>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463158996">
    <w:abstractNumId w:val="36"/>
  </w:num>
  <w:num w:numId="2" w16cid:durableId="89397613">
    <w:abstractNumId w:val="2"/>
  </w:num>
  <w:num w:numId="3" w16cid:durableId="917790908">
    <w:abstractNumId w:val="31"/>
  </w:num>
  <w:num w:numId="4" w16cid:durableId="1304702015">
    <w:abstractNumId w:val="3"/>
  </w:num>
  <w:num w:numId="5" w16cid:durableId="1992176280">
    <w:abstractNumId w:val="19"/>
  </w:num>
  <w:num w:numId="6" w16cid:durableId="2106530822">
    <w:abstractNumId w:val="4"/>
  </w:num>
  <w:num w:numId="7" w16cid:durableId="836455683">
    <w:abstractNumId w:val="26"/>
  </w:num>
  <w:num w:numId="8" w16cid:durableId="8340736">
    <w:abstractNumId w:val="15"/>
  </w:num>
  <w:num w:numId="9" w16cid:durableId="1434983274">
    <w:abstractNumId w:val="5"/>
  </w:num>
  <w:num w:numId="10" w16cid:durableId="622804777">
    <w:abstractNumId w:val="25"/>
  </w:num>
  <w:num w:numId="11" w16cid:durableId="476072433">
    <w:abstractNumId w:val="20"/>
  </w:num>
  <w:num w:numId="12" w16cid:durableId="1583030623">
    <w:abstractNumId w:val="29"/>
  </w:num>
  <w:num w:numId="13" w16cid:durableId="232084656">
    <w:abstractNumId w:val="44"/>
  </w:num>
  <w:num w:numId="14" w16cid:durableId="1229875192">
    <w:abstractNumId w:val="32"/>
  </w:num>
  <w:num w:numId="15" w16cid:durableId="526139091">
    <w:abstractNumId w:val="42"/>
  </w:num>
  <w:num w:numId="16" w16cid:durableId="1620263223">
    <w:abstractNumId w:val="39"/>
  </w:num>
  <w:num w:numId="17" w16cid:durableId="1368336949">
    <w:abstractNumId w:val="11"/>
  </w:num>
  <w:num w:numId="18" w16cid:durableId="822088226">
    <w:abstractNumId w:val="33"/>
  </w:num>
  <w:num w:numId="19" w16cid:durableId="230435194">
    <w:abstractNumId w:val="41"/>
  </w:num>
  <w:num w:numId="20" w16cid:durableId="1241327407">
    <w:abstractNumId w:val="28"/>
  </w:num>
  <w:num w:numId="21" w16cid:durableId="273053813">
    <w:abstractNumId w:val="45"/>
  </w:num>
  <w:num w:numId="22" w16cid:durableId="1632519585">
    <w:abstractNumId w:val="0"/>
  </w:num>
  <w:num w:numId="23" w16cid:durableId="375660129">
    <w:abstractNumId w:val="16"/>
  </w:num>
  <w:num w:numId="24" w16cid:durableId="1312978566">
    <w:abstractNumId w:val="34"/>
  </w:num>
  <w:num w:numId="25" w16cid:durableId="435055977">
    <w:abstractNumId w:val="10"/>
  </w:num>
  <w:num w:numId="26" w16cid:durableId="33504518">
    <w:abstractNumId w:val="22"/>
  </w:num>
  <w:num w:numId="27" w16cid:durableId="697043558">
    <w:abstractNumId w:val="38"/>
  </w:num>
  <w:num w:numId="28" w16cid:durableId="1772512662">
    <w:abstractNumId w:val="9"/>
  </w:num>
  <w:num w:numId="29" w16cid:durableId="1923293695">
    <w:abstractNumId w:val="27"/>
  </w:num>
  <w:num w:numId="30" w16cid:durableId="660355817">
    <w:abstractNumId w:val="37"/>
  </w:num>
  <w:num w:numId="31" w16cid:durableId="1994604957">
    <w:abstractNumId w:val="1"/>
  </w:num>
  <w:num w:numId="32" w16cid:durableId="2084141616">
    <w:abstractNumId w:val="18"/>
  </w:num>
  <w:num w:numId="33" w16cid:durableId="1556160528">
    <w:abstractNumId w:val="35"/>
  </w:num>
  <w:num w:numId="34" w16cid:durableId="2124878610">
    <w:abstractNumId w:val="6"/>
  </w:num>
  <w:num w:numId="35" w16cid:durableId="1057705063">
    <w:abstractNumId w:val="43"/>
  </w:num>
  <w:num w:numId="36" w16cid:durableId="231938600">
    <w:abstractNumId w:val="14"/>
  </w:num>
  <w:num w:numId="37" w16cid:durableId="196701044">
    <w:abstractNumId w:val="17"/>
  </w:num>
  <w:num w:numId="38" w16cid:durableId="12459604">
    <w:abstractNumId w:val="40"/>
  </w:num>
  <w:num w:numId="39" w16cid:durableId="2096824705">
    <w:abstractNumId w:val="12"/>
  </w:num>
  <w:num w:numId="40" w16cid:durableId="1201818545">
    <w:abstractNumId w:val="7"/>
  </w:num>
  <w:num w:numId="41" w16cid:durableId="1222063765">
    <w:abstractNumId w:val="13"/>
  </w:num>
  <w:num w:numId="42" w16cid:durableId="1960839862">
    <w:abstractNumId w:val="8"/>
  </w:num>
  <w:num w:numId="43" w16cid:durableId="1186097003">
    <w:abstractNumId w:val="30"/>
  </w:num>
  <w:num w:numId="44" w16cid:durableId="1987970147">
    <w:abstractNumId w:val="21"/>
  </w:num>
  <w:num w:numId="45" w16cid:durableId="226231495">
    <w:abstractNumId w:val="23"/>
  </w:num>
  <w:num w:numId="46" w16cid:durableId="781387367">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XtoolsFileType" w:val="Word97"/>
  </w:docVars>
  <w:rsids>
    <w:rsidRoot w:val="00507778"/>
    <w:rsid w:val="0000257C"/>
    <w:rsid w:val="000044D7"/>
    <w:rsid w:val="000079AF"/>
    <w:rsid w:val="00007A33"/>
    <w:rsid w:val="000101CA"/>
    <w:rsid w:val="00013145"/>
    <w:rsid w:val="00016D56"/>
    <w:rsid w:val="00026B0D"/>
    <w:rsid w:val="000305C6"/>
    <w:rsid w:val="0003385F"/>
    <w:rsid w:val="0004304F"/>
    <w:rsid w:val="00056D97"/>
    <w:rsid w:val="000573A1"/>
    <w:rsid w:val="00061B55"/>
    <w:rsid w:val="000659A2"/>
    <w:rsid w:val="0007145C"/>
    <w:rsid w:val="000817D7"/>
    <w:rsid w:val="000B12E8"/>
    <w:rsid w:val="000B5C67"/>
    <w:rsid w:val="000C2513"/>
    <w:rsid w:val="000C2FEA"/>
    <w:rsid w:val="000C5714"/>
    <w:rsid w:val="000D00CE"/>
    <w:rsid w:val="000D4084"/>
    <w:rsid w:val="000D5FC0"/>
    <w:rsid w:val="000E7F82"/>
    <w:rsid w:val="000F00E8"/>
    <w:rsid w:val="000F1E1F"/>
    <w:rsid w:val="000F2A3B"/>
    <w:rsid w:val="000F30D0"/>
    <w:rsid w:val="000F4A6F"/>
    <w:rsid w:val="000F6F9B"/>
    <w:rsid w:val="0010134C"/>
    <w:rsid w:val="001045BB"/>
    <w:rsid w:val="0011002F"/>
    <w:rsid w:val="00110910"/>
    <w:rsid w:val="00113FB8"/>
    <w:rsid w:val="00117CF0"/>
    <w:rsid w:val="00121604"/>
    <w:rsid w:val="00122587"/>
    <w:rsid w:val="0012426B"/>
    <w:rsid w:val="0012794D"/>
    <w:rsid w:val="00141724"/>
    <w:rsid w:val="00141D33"/>
    <w:rsid w:val="00145F63"/>
    <w:rsid w:val="00147F0D"/>
    <w:rsid w:val="00151DB7"/>
    <w:rsid w:val="00152BE7"/>
    <w:rsid w:val="00160D0F"/>
    <w:rsid w:val="00165A41"/>
    <w:rsid w:val="00165A65"/>
    <w:rsid w:val="00165F65"/>
    <w:rsid w:val="001673EA"/>
    <w:rsid w:val="00167E8A"/>
    <w:rsid w:val="00171388"/>
    <w:rsid w:val="00175C93"/>
    <w:rsid w:val="00183445"/>
    <w:rsid w:val="00191896"/>
    <w:rsid w:val="00191CB0"/>
    <w:rsid w:val="001A30EF"/>
    <w:rsid w:val="001A44F9"/>
    <w:rsid w:val="001B7797"/>
    <w:rsid w:val="001C2CC6"/>
    <w:rsid w:val="001C43C3"/>
    <w:rsid w:val="001C6621"/>
    <w:rsid w:val="001E7AEA"/>
    <w:rsid w:val="001F35B8"/>
    <w:rsid w:val="001F7BD6"/>
    <w:rsid w:val="00200C90"/>
    <w:rsid w:val="002060F7"/>
    <w:rsid w:val="00206B15"/>
    <w:rsid w:val="00210704"/>
    <w:rsid w:val="00211772"/>
    <w:rsid w:val="00213789"/>
    <w:rsid w:val="00220E90"/>
    <w:rsid w:val="00221935"/>
    <w:rsid w:val="00222675"/>
    <w:rsid w:val="00225996"/>
    <w:rsid w:val="0023277E"/>
    <w:rsid w:val="00232F8D"/>
    <w:rsid w:val="00233BC2"/>
    <w:rsid w:val="0023514D"/>
    <w:rsid w:val="00240697"/>
    <w:rsid w:val="002426FD"/>
    <w:rsid w:val="00246834"/>
    <w:rsid w:val="00253AC7"/>
    <w:rsid w:val="00255336"/>
    <w:rsid w:val="00261593"/>
    <w:rsid w:val="00261835"/>
    <w:rsid w:val="00261C4A"/>
    <w:rsid w:val="002669E5"/>
    <w:rsid w:val="00271A26"/>
    <w:rsid w:val="00273E45"/>
    <w:rsid w:val="00286518"/>
    <w:rsid w:val="00293205"/>
    <w:rsid w:val="0029752A"/>
    <w:rsid w:val="002A2970"/>
    <w:rsid w:val="002A4D9C"/>
    <w:rsid w:val="002A6DD7"/>
    <w:rsid w:val="002B07C6"/>
    <w:rsid w:val="002B1DD5"/>
    <w:rsid w:val="002C0B04"/>
    <w:rsid w:val="002C0E77"/>
    <w:rsid w:val="002C34C3"/>
    <w:rsid w:val="002C4AAD"/>
    <w:rsid w:val="002C5CD1"/>
    <w:rsid w:val="002D2F0C"/>
    <w:rsid w:val="002D3BE7"/>
    <w:rsid w:val="002D66A9"/>
    <w:rsid w:val="002D6B2D"/>
    <w:rsid w:val="002F313C"/>
    <w:rsid w:val="002F4CBE"/>
    <w:rsid w:val="002F5DC8"/>
    <w:rsid w:val="002F6509"/>
    <w:rsid w:val="00305E33"/>
    <w:rsid w:val="00310C02"/>
    <w:rsid w:val="0031265F"/>
    <w:rsid w:val="00313F30"/>
    <w:rsid w:val="00324C4F"/>
    <w:rsid w:val="00330258"/>
    <w:rsid w:val="0034156F"/>
    <w:rsid w:val="00341EAD"/>
    <w:rsid w:val="003421C6"/>
    <w:rsid w:val="003518D1"/>
    <w:rsid w:val="003630A8"/>
    <w:rsid w:val="00366CBA"/>
    <w:rsid w:val="00371495"/>
    <w:rsid w:val="00372DD4"/>
    <w:rsid w:val="00380880"/>
    <w:rsid w:val="00392E20"/>
    <w:rsid w:val="00397F97"/>
    <w:rsid w:val="003A3D63"/>
    <w:rsid w:val="003A7F1A"/>
    <w:rsid w:val="003C27F3"/>
    <w:rsid w:val="003D5E0F"/>
    <w:rsid w:val="003D7A6B"/>
    <w:rsid w:val="003E3BE4"/>
    <w:rsid w:val="003E4BB9"/>
    <w:rsid w:val="003E4F76"/>
    <w:rsid w:val="003E5B76"/>
    <w:rsid w:val="003E7A47"/>
    <w:rsid w:val="003F5078"/>
    <w:rsid w:val="003F5DF3"/>
    <w:rsid w:val="004003ED"/>
    <w:rsid w:val="0040447B"/>
    <w:rsid w:val="00407C05"/>
    <w:rsid w:val="00411DD9"/>
    <w:rsid w:val="004145F5"/>
    <w:rsid w:val="00414F93"/>
    <w:rsid w:val="004213F4"/>
    <w:rsid w:val="004313D7"/>
    <w:rsid w:val="00433FC7"/>
    <w:rsid w:val="00434624"/>
    <w:rsid w:val="00437A0C"/>
    <w:rsid w:val="00437AAD"/>
    <w:rsid w:val="00441B2D"/>
    <w:rsid w:val="0044581A"/>
    <w:rsid w:val="004502D4"/>
    <w:rsid w:val="0045234F"/>
    <w:rsid w:val="00454A97"/>
    <w:rsid w:val="00462930"/>
    <w:rsid w:val="00464005"/>
    <w:rsid w:val="004729DA"/>
    <w:rsid w:val="00472A29"/>
    <w:rsid w:val="00473BB1"/>
    <w:rsid w:val="0047598E"/>
    <w:rsid w:val="0047706E"/>
    <w:rsid w:val="00497513"/>
    <w:rsid w:val="004A2D86"/>
    <w:rsid w:val="004A3AE0"/>
    <w:rsid w:val="004A4F32"/>
    <w:rsid w:val="004B1306"/>
    <w:rsid w:val="004B70AA"/>
    <w:rsid w:val="004C11C1"/>
    <w:rsid w:val="004D6394"/>
    <w:rsid w:val="004E0BFC"/>
    <w:rsid w:val="004E290B"/>
    <w:rsid w:val="004F666C"/>
    <w:rsid w:val="00500CB5"/>
    <w:rsid w:val="00507778"/>
    <w:rsid w:val="0051248B"/>
    <w:rsid w:val="0051307D"/>
    <w:rsid w:val="00513218"/>
    <w:rsid w:val="00514DBE"/>
    <w:rsid w:val="0051577B"/>
    <w:rsid w:val="0052221E"/>
    <w:rsid w:val="00524A7D"/>
    <w:rsid w:val="00525E24"/>
    <w:rsid w:val="005278B5"/>
    <w:rsid w:val="00527B40"/>
    <w:rsid w:val="00533709"/>
    <w:rsid w:val="005339CD"/>
    <w:rsid w:val="00543908"/>
    <w:rsid w:val="00547140"/>
    <w:rsid w:val="0056106E"/>
    <w:rsid w:val="00564F41"/>
    <w:rsid w:val="00575182"/>
    <w:rsid w:val="005801AC"/>
    <w:rsid w:val="0058107E"/>
    <w:rsid w:val="00581669"/>
    <w:rsid w:val="005829E3"/>
    <w:rsid w:val="005868BF"/>
    <w:rsid w:val="0058696C"/>
    <w:rsid w:val="00590D96"/>
    <w:rsid w:val="00592247"/>
    <w:rsid w:val="005B10E9"/>
    <w:rsid w:val="005B1520"/>
    <w:rsid w:val="005B3D48"/>
    <w:rsid w:val="005B4BEE"/>
    <w:rsid w:val="005B7049"/>
    <w:rsid w:val="005C4B83"/>
    <w:rsid w:val="005C4E08"/>
    <w:rsid w:val="005E7375"/>
    <w:rsid w:val="005F0F22"/>
    <w:rsid w:val="005F202F"/>
    <w:rsid w:val="00600BE5"/>
    <w:rsid w:val="00601D5F"/>
    <w:rsid w:val="006048DB"/>
    <w:rsid w:val="00607E5A"/>
    <w:rsid w:val="006106C5"/>
    <w:rsid w:val="006144E7"/>
    <w:rsid w:val="006159FA"/>
    <w:rsid w:val="0062173A"/>
    <w:rsid w:val="00630C91"/>
    <w:rsid w:val="006319A0"/>
    <w:rsid w:val="00632B44"/>
    <w:rsid w:val="00641F0F"/>
    <w:rsid w:val="006519F7"/>
    <w:rsid w:val="0065602A"/>
    <w:rsid w:val="00661C01"/>
    <w:rsid w:val="00662C4D"/>
    <w:rsid w:val="006642A9"/>
    <w:rsid w:val="00664753"/>
    <w:rsid w:val="0066551E"/>
    <w:rsid w:val="00666E4A"/>
    <w:rsid w:val="006720E0"/>
    <w:rsid w:val="00672BFA"/>
    <w:rsid w:val="006812D9"/>
    <w:rsid w:val="006845AF"/>
    <w:rsid w:val="00684BD0"/>
    <w:rsid w:val="006943B9"/>
    <w:rsid w:val="006A4FB5"/>
    <w:rsid w:val="006A7310"/>
    <w:rsid w:val="006B315D"/>
    <w:rsid w:val="006B5F91"/>
    <w:rsid w:val="006C331D"/>
    <w:rsid w:val="006C36AB"/>
    <w:rsid w:val="006C47C3"/>
    <w:rsid w:val="006C526B"/>
    <w:rsid w:val="006C7DD9"/>
    <w:rsid w:val="006D1360"/>
    <w:rsid w:val="006D2E9B"/>
    <w:rsid w:val="006D489E"/>
    <w:rsid w:val="006E0E52"/>
    <w:rsid w:val="006E1467"/>
    <w:rsid w:val="006E1B6B"/>
    <w:rsid w:val="006E3A80"/>
    <w:rsid w:val="006E58E5"/>
    <w:rsid w:val="006E7DEA"/>
    <w:rsid w:val="006F03D2"/>
    <w:rsid w:val="006F3E03"/>
    <w:rsid w:val="007123E5"/>
    <w:rsid w:val="0071641C"/>
    <w:rsid w:val="00722428"/>
    <w:rsid w:val="00724966"/>
    <w:rsid w:val="00731CAD"/>
    <w:rsid w:val="00735C7A"/>
    <w:rsid w:val="00735CA5"/>
    <w:rsid w:val="00736206"/>
    <w:rsid w:val="00744016"/>
    <w:rsid w:val="0075471C"/>
    <w:rsid w:val="00766123"/>
    <w:rsid w:val="00767181"/>
    <w:rsid w:val="00770DAB"/>
    <w:rsid w:val="0077277A"/>
    <w:rsid w:val="007728D1"/>
    <w:rsid w:val="00777963"/>
    <w:rsid w:val="007A36D4"/>
    <w:rsid w:val="007A49B0"/>
    <w:rsid w:val="007A5191"/>
    <w:rsid w:val="007A55B6"/>
    <w:rsid w:val="007C14D8"/>
    <w:rsid w:val="007C286A"/>
    <w:rsid w:val="007D240F"/>
    <w:rsid w:val="007E1C10"/>
    <w:rsid w:val="007E253A"/>
    <w:rsid w:val="007E586C"/>
    <w:rsid w:val="007F122A"/>
    <w:rsid w:val="007F1B8C"/>
    <w:rsid w:val="007F25DC"/>
    <w:rsid w:val="00801289"/>
    <w:rsid w:val="008045F5"/>
    <w:rsid w:val="008048D9"/>
    <w:rsid w:val="0080553E"/>
    <w:rsid w:val="008104F3"/>
    <w:rsid w:val="008145A5"/>
    <w:rsid w:val="008147A5"/>
    <w:rsid w:val="00814A16"/>
    <w:rsid w:val="008150FC"/>
    <w:rsid w:val="008238F7"/>
    <w:rsid w:val="00824656"/>
    <w:rsid w:val="00826CFC"/>
    <w:rsid w:val="0083211F"/>
    <w:rsid w:val="00841BC0"/>
    <w:rsid w:val="008542B4"/>
    <w:rsid w:val="00855C9A"/>
    <w:rsid w:val="00861969"/>
    <w:rsid w:val="00861AB7"/>
    <w:rsid w:val="00862DBC"/>
    <w:rsid w:val="00863855"/>
    <w:rsid w:val="00870037"/>
    <w:rsid w:val="00872D60"/>
    <w:rsid w:val="00873FB7"/>
    <w:rsid w:val="0087552B"/>
    <w:rsid w:val="008764A6"/>
    <w:rsid w:val="00885B37"/>
    <w:rsid w:val="0088644D"/>
    <w:rsid w:val="00886F1B"/>
    <w:rsid w:val="00886F23"/>
    <w:rsid w:val="0089368A"/>
    <w:rsid w:val="008A6981"/>
    <w:rsid w:val="008B2B8F"/>
    <w:rsid w:val="008C0E07"/>
    <w:rsid w:val="008D0BCB"/>
    <w:rsid w:val="008D3135"/>
    <w:rsid w:val="008E096B"/>
    <w:rsid w:val="008F266D"/>
    <w:rsid w:val="0090168B"/>
    <w:rsid w:val="009036A0"/>
    <w:rsid w:val="00904FB0"/>
    <w:rsid w:val="00906150"/>
    <w:rsid w:val="00921961"/>
    <w:rsid w:val="00924933"/>
    <w:rsid w:val="00924D57"/>
    <w:rsid w:val="009266A4"/>
    <w:rsid w:val="00931034"/>
    <w:rsid w:val="00931F9F"/>
    <w:rsid w:val="00933A30"/>
    <w:rsid w:val="00936AC5"/>
    <w:rsid w:val="00937C46"/>
    <w:rsid w:val="00941F2D"/>
    <w:rsid w:val="0094432E"/>
    <w:rsid w:val="009468DC"/>
    <w:rsid w:val="009508F0"/>
    <w:rsid w:val="00953A49"/>
    <w:rsid w:val="009563A5"/>
    <w:rsid w:val="00956CDD"/>
    <w:rsid w:val="00960B8D"/>
    <w:rsid w:val="00962830"/>
    <w:rsid w:val="00966C3D"/>
    <w:rsid w:val="00975463"/>
    <w:rsid w:val="00977ED4"/>
    <w:rsid w:val="0098087F"/>
    <w:rsid w:val="00980C04"/>
    <w:rsid w:val="00993B47"/>
    <w:rsid w:val="00994A0A"/>
    <w:rsid w:val="0099555B"/>
    <w:rsid w:val="009A007A"/>
    <w:rsid w:val="009A4037"/>
    <w:rsid w:val="009A429B"/>
    <w:rsid w:val="009A4BA4"/>
    <w:rsid w:val="009A54B5"/>
    <w:rsid w:val="009B2EC4"/>
    <w:rsid w:val="009B6003"/>
    <w:rsid w:val="009C2F09"/>
    <w:rsid w:val="009C51A2"/>
    <w:rsid w:val="009C568E"/>
    <w:rsid w:val="009C61EC"/>
    <w:rsid w:val="009D0C5B"/>
    <w:rsid w:val="009D35C0"/>
    <w:rsid w:val="009F0938"/>
    <w:rsid w:val="009F0ECE"/>
    <w:rsid w:val="009F19D8"/>
    <w:rsid w:val="009F7334"/>
    <w:rsid w:val="00A00300"/>
    <w:rsid w:val="00A11566"/>
    <w:rsid w:val="00A12D11"/>
    <w:rsid w:val="00A16A6A"/>
    <w:rsid w:val="00A2023F"/>
    <w:rsid w:val="00A217BE"/>
    <w:rsid w:val="00A2186C"/>
    <w:rsid w:val="00A22514"/>
    <w:rsid w:val="00A2733A"/>
    <w:rsid w:val="00A31E20"/>
    <w:rsid w:val="00A321F8"/>
    <w:rsid w:val="00A36D91"/>
    <w:rsid w:val="00A5179D"/>
    <w:rsid w:val="00A53AE2"/>
    <w:rsid w:val="00A54778"/>
    <w:rsid w:val="00A600EC"/>
    <w:rsid w:val="00A60773"/>
    <w:rsid w:val="00A62673"/>
    <w:rsid w:val="00A63C93"/>
    <w:rsid w:val="00A7134A"/>
    <w:rsid w:val="00A75070"/>
    <w:rsid w:val="00A779A1"/>
    <w:rsid w:val="00A827D6"/>
    <w:rsid w:val="00A829FD"/>
    <w:rsid w:val="00A87EB1"/>
    <w:rsid w:val="00A90232"/>
    <w:rsid w:val="00A92F0A"/>
    <w:rsid w:val="00AA02CB"/>
    <w:rsid w:val="00AA29D5"/>
    <w:rsid w:val="00AB1D2D"/>
    <w:rsid w:val="00AB548B"/>
    <w:rsid w:val="00AB69A3"/>
    <w:rsid w:val="00AC37F8"/>
    <w:rsid w:val="00AC4C8B"/>
    <w:rsid w:val="00AD3CAA"/>
    <w:rsid w:val="00AE358B"/>
    <w:rsid w:val="00AE487F"/>
    <w:rsid w:val="00AE5E44"/>
    <w:rsid w:val="00AF7302"/>
    <w:rsid w:val="00B045C9"/>
    <w:rsid w:val="00B054EF"/>
    <w:rsid w:val="00B072F0"/>
    <w:rsid w:val="00B2104E"/>
    <w:rsid w:val="00B21295"/>
    <w:rsid w:val="00B25F78"/>
    <w:rsid w:val="00B2718A"/>
    <w:rsid w:val="00B36FB9"/>
    <w:rsid w:val="00B43726"/>
    <w:rsid w:val="00B4449A"/>
    <w:rsid w:val="00B45FCC"/>
    <w:rsid w:val="00B55230"/>
    <w:rsid w:val="00B55259"/>
    <w:rsid w:val="00B604FA"/>
    <w:rsid w:val="00B60E9E"/>
    <w:rsid w:val="00B66889"/>
    <w:rsid w:val="00B67B94"/>
    <w:rsid w:val="00B70DD5"/>
    <w:rsid w:val="00B71082"/>
    <w:rsid w:val="00B76E88"/>
    <w:rsid w:val="00BB4151"/>
    <w:rsid w:val="00BB4C5A"/>
    <w:rsid w:val="00BB4FC6"/>
    <w:rsid w:val="00BB75EB"/>
    <w:rsid w:val="00BC1B0B"/>
    <w:rsid w:val="00BC3214"/>
    <w:rsid w:val="00BD2D81"/>
    <w:rsid w:val="00BD5873"/>
    <w:rsid w:val="00BD5FE7"/>
    <w:rsid w:val="00BE2CCE"/>
    <w:rsid w:val="00BE34DC"/>
    <w:rsid w:val="00BE5275"/>
    <w:rsid w:val="00BE6BBD"/>
    <w:rsid w:val="00BF006F"/>
    <w:rsid w:val="00BF0B9B"/>
    <w:rsid w:val="00BF1255"/>
    <w:rsid w:val="00BF3C12"/>
    <w:rsid w:val="00C007DA"/>
    <w:rsid w:val="00C017A8"/>
    <w:rsid w:val="00C076B8"/>
    <w:rsid w:val="00C15EFA"/>
    <w:rsid w:val="00C161D5"/>
    <w:rsid w:val="00C23742"/>
    <w:rsid w:val="00C279C7"/>
    <w:rsid w:val="00C27E2B"/>
    <w:rsid w:val="00C42CC4"/>
    <w:rsid w:val="00C439C7"/>
    <w:rsid w:val="00C43F0D"/>
    <w:rsid w:val="00C516DB"/>
    <w:rsid w:val="00C5362C"/>
    <w:rsid w:val="00C54FE8"/>
    <w:rsid w:val="00C55D49"/>
    <w:rsid w:val="00C611E2"/>
    <w:rsid w:val="00C63FE6"/>
    <w:rsid w:val="00C70A50"/>
    <w:rsid w:val="00C71055"/>
    <w:rsid w:val="00C73B97"/>
    <w:rsid w:val="00C77B00"/>
    <w:rsid w:val="00C81A43"/>
    <w:rsid w:val="00C82EB5"/>
    <w:rsid w:val="00C921B2"/>
    <w:rsid w:val="00C962C5"/>
    <w:rsid w:val="00C97AD4"/>
    <w:rsid w:val="00CA0882"/>
    <w:rsid w:val="00CA36C3"/>
    <w:rsid w:val="00CB1022"/>
    <w:rsid w:val="00CB67A4"/>
    <w:rsid w:val="00CC28DC"/>
    <w:rsid w:val="00CC64B0"/>
    <w:rsid w:val="00CC692A"/>
    <w:rsid w:val="00CE65F9"/>
    <w:rsid w:val="00CF58DB"/>
    <w:rsid w:val="00D125F3"/>
    <w:rsid w:val="00D13AD3"/>
    <w:rsid w:val="00D14467"/>
    <w:rsid w:val="00D16465"/>
    <w:rsid w:val="00D20916"/>
    <w:rsid w:val="00D22A94"/>
    <w:rsid w:val="00D26623"/>
    <w:rsid w:val="00D30F5C"/>
    <w:rsid w:val="00D310FB"/>
    <w:rsid w:val="00D35314"/>
    <w:rsid w:val="00D40698"/>
    <w:rsid w:val="00D40E6C"/>
    <w:rsid w:val="00D41B88"/>
    <w:rsid w:val="00D52631"/>
    <w:rsid w:val="00D5479B"/>
    <w:rsid w:val="00D54D16"/>
    <w:rsid w:val="00D65743"/>
    <w:rsid w:val="00D80025"/>
    <w:rsid w:val="00D83463"/>
    <w:rsid w:val="00D86EE5"/>
    <w:rsid w:val="00DA1FF6"/>
    <w:rsid w:val="00DA29B5"/>
    <w:rsid w:val="00DA492E"/>
    <w:rsid w:val="00DB05DA"/>
    <w:rsid w:val="00DB162C"/>
    <w:rsid w:val="00DB58DD"/>
    <w:rsid w:val="00DB645E"/>
    <w:rsid w:val="00DC0ED0"/>
    <w:rsid w:val="00DC5C6A"/>
    <w:rsid w:val="00DC6611"/>
    <w:rsid w:val="00DC7894"/>
    <w:rsid w:val="00DE267E"/>
    <w:rsid w:val="00DF053E"/>
    <w:rsid w:val="00DF3B87"/>
    <w:rsid w:val="00DF44BF"/>
    <w:rsid w:val="00DF6E28"/>
    <w:rsid w:val="00E057BE"/>
    <w:rsid w:val="00E06E44"/>
    <w:rsid w:val="00E118C5"/>
    <w:rsid w:val="00E11CD2"/>
    <w:rsid w:val="00E13E10"/>
    <w:rsid w:val="00E17100"/>
    <w:rsid w:val="00E2188F"/>
    <w:rsid w:val="00E238B4"/>
    <w:rsid w:val="00E23979"/>
    <w:rsid w:val="00E23BC4"/>
    <w:rsid w:val="00E35607"/>
    <w:rsid w:val="00E40A75"/>
    <w:rsid w:val="00E43E11"/>
    <w:rsid w:val="00E44599"/>
    <w:rsid w:val="00E45148"/>
    <w:rsid w:val="00E45D47"/>
    <w:rsid w:val="00E530CF"/>
    <w:rsid w:val="00E532AD"/>
    <w:rsid w:val="00E5644A"/>
    <w:rsid w:val="00E56740"/>
    <w:rsid w:val="00E5696A"/>
    <w:rsid w:val="00E6021E"/>
    <w:rsid w:val="00E6210C"/>
    <w:rsid w:val="00E629D1"/>
    <w:rsid w:val="00E65C36"/>
    <w:rsid w:val="00E66EA8"/>
    <w:rsid w:val="00E701A0"/>
    <w:rsid w:val="00E70B21"/>
    <w:rsid w:val="00E70DE2"/>
    <w:rsid w:val="00E7470C"/>
    <w:rsid w:val="00E75E9F"/>
    <w:rsid w:val="00E771A7"/>
    <w:rsid w:val="00E93398"/>
    <w:rsid w:val="00EA61D5"/>
    <w:rsid w:val="00EA74F6"/>
    <w:rsid w:val="00EB47AB"/>
    <w:rsid w:val="00EB65A0"/>
    <w:rsid w:val="00EB7FC4"/>
    <w:rsid w:val="00EC0E9F"/>
    <w:rsid w:val="00EC4A57"/>
    <w:rsid w:val="00EC627A"/>
    <w:rsid w:val="00ED4081"/>
    <w:rsid w:val="00EE1339"/>
    <w:rsid w:val="00EE1E57"/>
    <w:rsid w:val="00EE2918"/>
    <w:rsid w:val="00EE3EC4"/>
    <w:rsid w:val="00EF1BC1"/>
    <w:rsid w:val="00EF289C"/>
    <w:rsid w:val="00EF5437"/>
    <w:rsid w:val="00EF768E"/>
    <w:rsid w:val="00EF7D98"/>
    <w:rsid w:val="00F03FB8"/>
    <w:rsid w:val="00F04CA3"/>
    <w:rsid w:val="00F127B4"/>
    <w:rsid w:val="00F132EA"/>
    <w:rsid w:val="00F15F47"/>
    <w:rsid w:val="00F201C1"/>
    <w:rsid w:val="00F25A3A"/>
    <w:rsid w:val="00F35AE4"/>
    <w:rsid w:val="00F41820"/>
    <w:rsid w:val="00F4500F"/>
    <w:rsid w:val="00F56E08"/>
    <w:rsid w:val="00F63E71"/>
    <w:rsid w:val="00F720E1"/>
    <w:rsid w:val="00F73524"/>
    <w:rsid w:val="00F73D8C"/>
    <w:rsid w:val="00F74C58"/>
    <w:rsid w:val="00F75917"/>
    <w:rsid w:val="00F75F19"/>
    <w:rsid w:val="00F8249D"/>
    <w:rsid w:val="00F84EAD"/>
    <w:rsid w:val="00F8640B"/>
    <w:rsid w:val="00F90AAB"/>
    <w:rsid w:val="00F90B56"/>
    <w:rsid w:val="00F944C8"/>
    <w:rsid w:val="00F97251"/>
    <w:rsid w:val="00FA25C5"/>
    <w:rsid w:val="00FA5C09"/>
    <w:rsid w:val="00FB245F"/>
    <w:rsid w:val="00FB30AE"/>
    <w:rsid w:val="00FB55A2"/>
    <w:rsid w:val="00FC11A8"/>
    <w:rsid w:val="00FC1E14"/>
    <w:rsid w:val="00FC2900"/>
    <w:rsid w:val="00FC72FA"/>
    <w:rsid w:val="00FC7422"/>
    <w:rsid w:val="00FD00B2"/>
    <w:rsid w:val="00FD4FE7"/>
    <w:rsid w:val="00FE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EDF6EA5"/>
  <w15:docId w15:val="{5A99751B-081D-46F9-859D-61A1C928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12D11"/>
    <w:rPr>
      <w:rFonts w:ascii="Arial" w:hAnsi="Arial"/>
      <w:szCs w:val="24"/>
      <w:lang w:val="en-GB"/>
    </w:rPr>
  </w:style>
  <w:style w:type="paragraph" w:styleId="Heading1">
    <w:name w:val="heading 1"/>
    <w:basedOn w:val="Normal"/>
    <w:next w:val="Normal"/>
    <w:rsid w:val="00B36FB9"/>
    <w:pPr>
      <w:outlineLvl w:val="0"/>
    </w:pPr>
    <w:rPr>
      <w:rFonts w:cs="Arial"/>
      <w:bCs/>
      <w:szCs w:val="32"/>
    </w:rPr>
  </w:style>
  <w:style w:type="paragraph" w:styleId="Heading2">
    <w:name w:val="heading 2"/>
    <w:basedOn w:val="Normal"/>
    <w:next w:val="Normal"/>
    <w:rsid w:val="00B36FB9"/>
    <w:pPr>
      <w:outlineLvl w:val="1"/>
    </w:pPr>
    <w:rPr>
      <w:rFonts w:cs="Arial"/>
      <w:bCs/>
      <w:iCs/>
      <w:szCs w:val="28"/>
    </w:rPr>
  </w:style>
  <w:style w:type="paragraph" w:styleId="Heading3">
    <w:name w:val="heading 3"/>
    <w:basedOn w:val="Normal"/>
    <w:next w:val="Normal"/>
    <w:rsid w:val="00B36FB9"/>
    <w:pPr>
      <w:outlineLvl w:val="2"/>
    </w:pPr>
    <w:rPr>
      <w:rFonts w:cs="Arial"/>
      <w:bCs/>
      <w:szCs w:val="26"/>
    </w:rPr>
  </w:style>
  <w:style w:type="paragraph" w:styleId="Heading4">
    <w:name w:val="heading 4"/>
    <w:basedOn w:val="Normal"/>
    <w:next w:val="Normal"/>
    <w:rsid w:val="00B36FB9"/>
    <w:pPr>
      <w:outlineLvl w:val="3"/>
    </w:pPr>
    <w:rPr>
      <w:bCs/>
      <w:szCs w:val="28"/>
    </w:rPr>
  </w:style>
  <w:style w:type="paragraph" w:styleId="Heading5">
    <w:name w:val="heading 5"/>
    <w:basedOn w:val="Normal"/>
    <w:next w:val="Normal"/>
    <w:rsid w:val="00B36FB9"/>
    <w:pPr>
      <w:outlineLvl w:val="4"/>
    </w:pPr>
    <w:rPr>
      <w:bCs/>
      <w:iCs/>
      <w:szCs w:val="26"/>
    </w:rPr>
  </w:style>
  <w:style w:type="paragraph" w:styleId="Heading6">
    <w:name w:val="heading 6"/>
    <w:basedOn w:val="Normal"/>
    <w:next w:val="Normal"/>
    <w:rsid w:val="00B36FB9"/>
    <w:pPr>
      <w:outlineLvl w:val="5"/>
    </w:pPr>
    <w:rPr>
      <w:bCs/>
      <w:szCs w:val="22"/>
    </w:rPr>
  </w:style>
  <w:style w:type="paragraph" w:styleId="Heading7">
    <w:name w:val="heading 7"/>
    <w:basedOn w:val="Normal"/>
    <w:next w:val="Normal"/>
    <w:rsid w:val="00B36FB9"/>
    <w:pPr>
      <w:outlineLvl w:val="6"/>
    </w:pPr>
  </w:style>
  <w:style w:type="paragraph" w:styleId="Heading8">
    <w:name w:val="heading 8"/>
    <w:basedOn w:val="Normal"/>
    <w:next w:val="Normal"/>
    <w:rsid w:val="00B36FB9"/>
    <w:pPr>
      <w:outlineLvl w:val="7"/>
    </w:pPr>
    <w:rPr>
      <w:iCs/>
    </w:rPr>
  </w:style>
  <w:style w:type="paragraph" w:styleId="Heading9">
    <w:name w:val="heading 9"/>
    <w:basedOn w:val="Normal"/>
    <w:next w:val="Normal"/>
    <w:rsid w:val="00B36FB9"/>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semiHidden/>
    <w:rsid w:val="00B36FB9"/>
    <w:pPr>
      <w:spacing w:before="280" w:after="140" w:line="290" w:lineRule="auto"/>
    </w:pPr>
    <w:rPr>
      <w:kern w:val="20"/>
    </w:rPr>
  </w:style>
  <w:style w:type="paragraph" w:customStyle="1" w:styleId="Body">
    <w:name w:val="Body"/>
    <w:basedOn w:val="Normal"/>
    <w:qFormat/>
    <w:rsid w:val="00B36FB9"/>
    <w:pPr>
      <w:spacing w:after="140" w:line="290" w:lineRule="auto"/>
      <w:jc w:val="both"/>
    </w:pPr>
    <w:rPr>
      <w:kern w:val="20"/>
    </w:rPr>
  </w:style>
  <w:style w:type="paragraph" w:customStyle="1" w:styleId="Body1">
    <w:name w:val="Body 1"/>
    <w:basedOn w:val="Normal"/>
    <w:qFormat/>
    <w:rsid w:val="00B36FB9"/>
    <w:pPr>
      <w:spacing w:after="140" w:line="290" w:lineRule="auto"/>
      <w:ind w:left="680"/>
      <w:jc w:val="both"/>
    </w:pPr>
    <w:rPr>
      <w:kern w:val="20"/>
    </w:rPr>
  </w:style>
  <w:style w:type="paragraph" w:customStyle="1" w:styleId="Body2">
    <w:name w:val="Body 2"/>
    <w:basedOn w:val="Normal"/>
    <w:qFormat/>
    <w:rsid w:val="00B36FB9"/>
    <w:pPr>
      <w:spacing w:after="140" w:line="290" w:lineRule="auto"/>
      <w:ind w:left="680"/>
      <w:jc w:val="both"/>
    </w:pPr>
    <w:rPr>
      <w:kern w:val="20"/>
    </w:rPr>
  </w:style>
  <w:style w:type="paragraph" w:customStyle="1" w:styleId="Body3">
    <w:name w:val="Body 3"/>
    <w:basedOn w:val="Normal"/>
    <w:qFormat/>
    <w:rsid w:val="00B36FB9"/>
    <w:pPr>
      <w:spacing w:after="140" w:line="290" w:lineRule="auto"/>
      <w:ind w:left="1361"/>
      <w:jc w:val="both"/>
    </w:pPr>
    <w:rPr>
      <w:kern w:val="20"/>
    </w:rPr>
  </w:style>
  <w:style w:type="paragraph" w:customStyle="1" w:styleId="Body4">
    <w:name w:val="Body 4"/>
    <w:basedOn w:val="Normal"/>
    <w:qFormat/>
    <w:rsid w:val="00B36FB9"/>
    <w:pPr>
      <w:spacing w:after="140" w:line="290" w:lineRule="auto"/>
      <w:ind w:left="2041"/>
      <w:jc w:val="both"/>
    </w:pPr>
    <w:rPr>
      <w:kern w:val="20"/>
    </w:rPr>
  </w:style>
  <w:style w:type="paragraph" w:customStyle="1" w:styleId="Body5">
    <w:name w:val="Body 5"/>
    <w:basedOn w:val="Normal"/>
    <w:qFormat/>
    <w:rsid w:val="00B36FB9"/>
    <w:pPr>
      <w:spacing w:after="140" w:line="290" w:lineRule="auto"/>
      <w:ind w:left="2608"/>
      <w:jc w:val="both"/>
    </w:pPr>
    <w:rPr>
      <w:kern w:val="20"/>
    </w:rPr>
  </w:style>
  <w:style w:type="paragraph" w:customStyle="1" w:styleId="Body6">
    <w:name w:val="Body 6"/>
    <w:basedOn w:val="Normal"/>
    <w:rsid w:val="00B36FB9"/>
    <w:pPr>
      <w:spacing w:after="140" w:line="290" w:lineRule="auto"/>
      <w:ind w:left="3288"/>
      <w:jc w:val="both"/>
    </w:pPr>
    <w:rPr>
      <w:kern w:val="20"/>
    </w:rPr>
  </w:style>
  <w:style w:type="paragraph" w:customStyle="1" w:styleId="Level1">
    <w:name w:val="Level 1"/>
    <w:basedOn w:val="Normal"/>
    <w:next w:val="Body1"/>
    <w:qFormat/>
    <w:rsid w:val="00B36FB9"/>
    <w:pPr>
      <w:keepNext/>
      <w:numPr>
        <w:numId w:val="1"/>
      </w:numPr>
      <w:spacing w:before="280" w:after="140" w:line="290" w:lineRule="auto"/>
      <w:jc w:val="both"/>
      <w:outlineLvl w:val="0"/>
    </w:pPr>
    <w:rPr>
      <w:b/>
      <w:bCs/>
      <w:kern w:val="20"/>
      <w:sz w:val="22"/>
      <w:szCs w:val="32"/>
    </w:rPr>
  </w:style>
  <w:style w:type="paragraph" w:customStyle="1" w:styleId="Level2">
    <w:name w:val="Level 2"/>
    <w:basedOn w:val="Normal"/>
    <w:qFormat/>
    <w:rsid w:val="00B36FB9"/>
    <w:pPr>
      <w:numPr>
        <w:ilvl w:val="1"/>
        <w:numId w:val="1"/>
      </w:numPr>
      <w:spacing w:after="140" w:line="290" w:lineRule="auto"/>
      <w:jc w:val="both"/>
    </w:pPr>
    <w:rPr>
      <w:kern w:val="20"/>
      <w:szCs w:val="28"/>
    </w:rPr>
  </w:style>
  <w:style w:type="paragraph" w:customStyle="1" w:styleId="Level3">
    <w:name w:val="Level 3"/>
    <w:basedOn w:val="Normal"/>
    <w:qFormat/>
    <w:rsid w:val="00B36FB9"/>
    <w:pPr>
      <w:numPr>
        <w:ilvl w:val="2"/>
        <w:numId w:val="1"/>
      </w:numPr>
      <w:spacing w:after="140" w:line="290" w:lineRule="auto"/>
      <w:jc w:val="both"/>
    </w:pPr>
    <w:rPr>
      <w:kern w:val="20"/>
      <w:szCs w:val="28"/>
    </w:rPr>
  </w:style>
  <w:style w:type="paragraph" w:customStyle="1" w:styleId="Level4">
    <w:name w:val="Level 4"/>
    <w:basedOn w:val="Normal"/>
    <w:qFormat/>
    <w:rsid w:val="00B36FB9"/>
    <w:pPr>
      <w:numPr>
        <w:ilvl w:val="3"/>
        <w:numId w:val="1"/>
      </w:numPr>
      <w:spacing w:after="140" w:line="290" w:lineRule="auto"/>
      <w:jc w:val="both"/>
    </w:pPr>
    <w:rPr>
      <w:kern w:val="20"/>
    </w:rPr>
  </w:style>
  <w:style w:type="paragraph" w:customStyle="1" w:styleId="Level5">
    <w:name w:val="Level 5"/>
    <w:basedOn w:val="Normal"/>
    <w:qFormat/>
    <w:rsid w:val="00B36FB9"/>
    <w:pPr>
      <w:numPr>
        <w:ilvl w:val="4"/>
        <w:numId w:val="1"/>
      </w:numPr>
      <w:spacing w:after="140" w:line="290" w:lineRule="auto"/>
      <w:jc w:val="both"/>
    </w:pPr>
    <w:rPr>
      <w:kern w:val="20"/>
    </w:rPr>
  </w:style>
  <w:style w:type="paragraph" w:customStyle="1" w:styleId="Level6">
    <w:name w:val="Level 6"/>
    <w:basedOn w:val="Normal"/>
    <w:rsid w:val="00B36FB9"/>
    <w:pPr>
      <w:numPr>
        <w:ilvl w:val="5"/>
        <w:numId w:val="1"/>
      </w:numPr>
      <w:spacing w:after="140" w:line="290" w:lineRule="auto"/>
      <w:jc w:val="both"/>
    </w:pPr>
    <w:rPr>
      <w:kern w:val="20"/>
    </w:rPr>
  </w:style>
  <w:style w:type="paragraph" w:customStyle="1" w:styleId="Parties">
    <w:name w:val="Parties"/>
    <w:basedOn w:val="Normal"/>
    <w:rsid w:val="00B36FB9"/>
    <w:pPr>
      <w:numPr>
        <w:numId w:val="2"/>
      </w:numPr>
      <w:spacing w:after="140" w:line="290" w:lineRule="auto"/>
      <w:jc w:val="both"/>
    </w:pPr>
    <w:rPr>
      <w:kern w:val="20"/>
    </w:rPr>
  </w:style>
  <w:style w:type="paragraph" w:customStyle="1" w:styleId="Recitals">
    <w:name w:val="Recitals"/>
    <w:basedOn w:val="Normal"/>
    <w:rsid w:val="00B36FB9"/>
    <w:pPr>
      <w:numPr>
        <w:numId w:val="3"/>
      </w:numPr>
      <w:spacing w:after="140" w:line="290" w:lineRule="auto"/>
      <w:jc w:val="both"/>
    </w:pPr>
    <w:rPr>
      <w:kern w:val="20"/>
    </w:rPr>
  </w:style>
  <w:style w:type="paragraph" w:customStyle="1" w:styleId="alpha1">
    <w:name w:val="alpha 1"/>
    <w:basedOn w:val="Normal"/>
    <w:rsid w:val="005B1520"/>
    <w:pPr>
      <w:numPr>
        <w:numId w:val="7"/>
      </w:numPr>
      <w:spacing w:after="140" w:line="290" w:lineRule="auto"/>
      <w:jc w:val="both"/>
    </w:pPr>
    <w:rPr>
      <w:kern w:val="20"/>
      <w:szCs w:val="20"/>
    </w:rPr>
  </w:style>
  <w:style w:type="paragraph" w:customStyle="1" w:styleId="alpha2">
    <w:name w:val="alpha 2"/>
    <w:basedOn w:val="Normal"/>
    <w:rsid w:val="005B1520"/>
    <w:pPr>
      <w:numPr>
        <w:numId w:val="19"/>
      </w:numPr>
      <w:spacing w:after="140" w:line="290" w:lineRule="auto"/>
      <w:jc w:val="both"/>
    </w:pPr>
    <w:rPr>
      <w:kern w:val="20"/>
      <w:szCs w:val="20"/>
    </w:rPr>
  </w:style>
  <w:style w:type="paragraph" w:customStyle="1" w:styleId="alpha3">
    <w:name w:val="alpha 3"/>
    <w:basedOn w:val="Normal"/>
    <w:rsid w:val="005B1520"/>
    <w:pPr>
      <w:numPr>
        <w:numId w:val="8"/>
      </w:numPr>
      <w:spacing w:after="140" w:line="290" w:lineRule="auto"/>
      <w:jc w:val="both"/>
    </w:pPr>
    <w:rPr>
      <w:kern w:val="20"/>
      <w:szCs w:val="20"/>
    </w:rPr>
  </w:style>
  <w:style w:type="paragraph" w:customStyle="1" w:styleId="alpha4">
    <w:name w:val="alpha 4"/>
    <w:basedOn w:val="Normal"/>
    <w:rsid w:val="005B1520"/>
    <w:pPr>
      <w:numPr>
        <w:numId w:val="9"/>
      </w:numPr>
      <w:spacing w:after="140" w:line="290" w:lineRule="auto"/>
      <w:jc w:val="both"/>
    </w:pPr>
    <w:rPr>
      <w:kern w:val="20"/>
      <w:szCs w:val="20"/>
    </w:rPr>
  </w:style>
  <w:style w:type="paragraph" w:customStyle="1" w:styleId="alpha5">
    <w:name w:val="alpha 5"/>
    <w:basedOn w:val="Normal"/>
    <w:rsid w:val="005B1520"/>
    <w:pPr>
      <w:numPr>
        <w:numId w:val="10"/>
      </w:numPr>
      <w:spacing w:after="140" w:line="290" w:lineRule="auto"/>
      <w:jc w:val="both"/>
    </w:pPr>
    <w:rPr>
      <w:kern w:val="20"/>
      <w:szCs w:val="20"/>
    </w:rPr>
  </w:style>
  <w:style w:type="paragraph" w:customStyle="1" w:styleId="alpha6">
    <w:name w:val="alpha 6"/>
    <w:basedOn w:val="Normal"/>
    <w:rsid w:val="005B1520"/>
    <w:pPr>
      <w:numPr>
        <w:numId w:val="11"/>
      </w:numPr>
      <w:spacing w:after="140" w:line="290" w:lineRule="auto"/>
      <w:jc w:val="both"/>
    </w:pPr>
    <w:rPr>
      <w:kern w:val="20"/>
      <w:szCs w:val="20"/>
    </w:rPr>
  </w:style>
  <w:style w:type="paragraph" w:customStyle="1" w:styleId="bullet1">
    <w:name w:val="bullet 1"/>
    <w:basedOn w:val="Normal"/>
    <w:qFormat/>
    <w:rsid w:val="00F75F19"/>
    <w:pPr>
      <w:numPr>
        <w:numId w:val="31"/>
      </w:numPr>
      <w:spacing w:after="140" w:line="290" w:lineRule="auto"/>
      <w:jc w:val="both"/>
    </w:pPr>
    <w:rPr>
      <w:kern w:val="20"/>
    </w:rPr>
  </w:style>
  <w:style w:type="paragraph" w:customStyle="1" w:styleId="bullet2">
    <w:name w:val="bullet 2"/>
    <w:basedOn w:val="Normal"/>
    <w:rsid w:val="00286518"/>
    <w:pPr>
      <w:numPr>
        <w:numId w:val="32"/>
      </w:numPr>
      <w:spacing w:after="140" w:line="290" w:lineRule="auto"/>
      <w:jc w:val="both"/>
    </w:pPr>
    <w:rPr>
      <w:kern w:val="20"/>
    </w:rPr>
  </w:style>
  <w:style w:type="paragraph" w:customStyle="1" w:styleId="bullet3">
    <w:name w:val="bullet 3"/>
    <w:basedOn w:val="Normal"/>
    <w:rsid w:val="00286518"/>
    <w:pPr>
      <w:numPr>
        <w:numId w:val="33"/>
      </w:numPr>
      <w:spacing w:after="140" w:line="290" w:lineRule="auto"/>
      <w:jc w:val="both"/>
    </w:pPr>
    <w:rPr>
      <w:kern w:val="20"/>
    </w:rPr>
  </w:style>
  <w:style w:type="paragraph" w:customStyle="1" w:styleId="bullet4">
    <w:name w:val="bullet 4"/>
    <w:basedOn w:val="Normal"/>
    <w:rsid w:val="00286518"/>
    <w:pPr>
      <w:numPr>
        <w:numId w:val="34"/>
      </w:numPr>
      <w:spacing w:after="140" w:line="290" w:lineRule="auto"/>
      <w:jc w:val="both"/>
    </w:pPr>
    <w:rPr>
      <w:kern w:val="20"/>
    </w:rPr>
  </w:style>
  <w:style w:type="paragraph" w:customStyle="1" w:styleId="bullet5">
    <w:name w:val="bullet 5"/>
    <w:basedOn w:val="Normal"/>
    <w:rsid w:val="00286518"/>
    <w:pPr>
      <w:numPr>
        <w:numId w:val="35"/>
      </w:numPr>
      <w:spacing w:after="140" w:line="290" w:lineRule="auto"/>
      <w:jc w:val="both"/>
    </w:pPr>
    <w:rPr>
      <w:kern w:val="20"/>
    </w:rPr>
  </w:style>
  <w:style w:type="paragraph" w:customStyle="1" w:styleId="bullet6">
    <w:name w:val="bullet 6"/>
    <w:basedOn w:val="Normal"/>
    <w:rsid w:val="00286518"/>
    <w:pPr>
      <w:numPr>
        <w:numId w:val="36"/>
      </w:numPr>
      <w:spacing w:after="140" w:line="290" w:lineRule="auto"/>
      <w:jc w:val="both"/>
    </w:pPr>
    <w:rPr>
      <w:kern w:val="20"/>
    </w:rPr>
  </w:style>
  <w:style w:type="paragraph" w:customStyle="1" w:styleId="roman1">
    <w:name w:val="roman 1"/>
    <w:basedOn w:val="Normal"/>
    <w:rsid w:val="000F4A6F"/>
    <w:pPr>
      <w:numPr>
        <w:numId w:val="12"/>
      </w:numPr>
      <w:spacing w:after="140" w:line="290" w:lineRule="auto"/>
      <w:jc w:val="both"/>
    </w:pPr>
    <w:rPr>
      <w:kern w:val="20"/>
      <w:szCs w:val="20"/>
    </w:rPr>
  </w:style>
  <w:style w:type="paragraph" w:customStyle="1" w:styleId="roman2">
    <w:name w:val="roman 2"/>
    <w:basedOn w:val="Normal"/>
    <w:rsid w:val="000F4A6F"/>
    <w:pPr>
      <w:numPr>
        <w:numId w:val="13"/>
      </w:numPr>
      <w:spacing w:after="140" w:line="290" w:lineRule="auto"/>
      <w:jc w:val="both"/>
    </w:pPr>
    <w:rPr>
      <w:kern w:val="20"/>
      <w:szCs w:val="20"/>
    </w:rPr>
  </w:style>
  <w:style w:type="paragraph" w:customStyle="1" w:styleId="roman3">
    <w:name w:val="roman 3"/>
    <w:basedOn w:val="Normal"/>
    <w:rsid w:val="000F4A6F"/>
    <w:pPr>
      <w:numPr>
        <w:numId w:val="14"/>
      </w:numPr>
      <w:spacing w:after="140" w:line="290" w:lineRule="auto"/>
      <w:jc w:val="both"/>
    </w:pPr>
    <w:rPr>
      <w:kern w:val="20"/>
      <w:szCs w:val="20"/>
    </w:rPr>
  </w:style>
  <w:style w:type="paragraph" w:customStyle="1" w:styleId="roman4">
    <w:name w:val="roman 4"/>
    <w:basedOn w:val="Normal"/>
    <w:rsid w:val="000F4A6F"/>
    <w:pPr>
      <w:numPr>
        <w:numId w:val="20"/>
      </w:numPr>
      <w:spacing w:after="140" w:line="290" w:lineRule="auto"/>
      <w:jc w:val="both"/>
    </w:pPr>
    <w:rPr>
      <w:kern w:val="20"/>
      <w:szCs w:val="20"/>
    </w:rPr>
  </w:style>
  <w:style w:type="paragraph" w:customStyle="1" w:styleId="roman5">
    <w:name w:val="roman 5"/>
    <w:basedOn w:val="Normal"/>
    <w:rsid w:val="000F4A6F"/>
    <w:pPr>
      <w:numPr>
        <w:numId w:val="15"/>
      </w:numPr>
      <w:spacing w:after="140" w:line="290" w:lineRule="auto"/>
      <w:jc w:val="both"/>
    </w:pPr>
    <w:rPr>
      <w:kern w:val="20"/>
      <w:szCs w:val="20"/>
    </w:rPr>
  </w:style>
  <w:style w:type="paragraph" w:customStyle="1" w:styleId="roman6">
    <w:name w:val="roman 6"/>
    <w:basedOn w:val="Normal"/>
    <w:rsid w:val="000F4A6F"/>
    <w:pPr>
      <w:numPr>
        <w:numId w:val="16"/>
      </w:numPr>
      <w:spacing w:after="140" w:line="290" w:lineRule="auto"/>
      <w:jc w:val="both"/>
    </w:pPr>
    <w:rPr>
      <w:kern w:val="20"/>
      <w:szCs w:val="20"/>
    </w:rPr>
  </w:style>
  <w:style w:type="paragraph" w:customStyle="1" w:styleId="CellHead">
    <w:name w:val="CellHead"/>
    <w:basedOn w:val="Normal"/>
    <w:rsid w:val="00B36FB9"/>
    <w:pPr>
      <w:keepNext/>
      <w:spacing w:before="60" w:after="60" w:line="259" w:lineRule="auto"/>
    </w:pPr>
    <w:rPr>
      <w:b/>
      <w:kern w:val="20"/>
    </w:rPr>
  </w:style>
  <w:style w:type="paragraph" w:styleId="CommentText">
    <w:name w:val="annotation text"/>
    <w:basedOn w:val="Normal"/>
    <w:link w:val="CommentTextChar"/>
    <w:semiHidden/>
    <w:rsid w:val="00B36FB9"/>
    <w:rPr>
      <w:szCs w:val="20"/>
    </w:rPr>
  </w:style>
  <w:style w:type="paragraph" w:styleId="Title">
    <w:name w:val="Title"/>
    <w:basedOn w:val="Normal"/>
    <w:next w:val="Body"/>
    <w:rsid w:val="00600BE5"/>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600BE5"/>
    <w:pPr>
      <w:keepNext/>
      <w:spacing w:before="280" w:after="140" w:line="290" w:lineRule="auto"/>
      <w:ind w:left="680"/>
      <w:jc w:val="both"/>
      <w:outlineLvl w:val="0"/>
    </w:pPr>
    <w:rPr>
      <w:b/>
      <w:kern w:val="22"/>
      <w:sz w:val="22"/>
    </w:rPr>
  </w:style>
  <w:style w:type="paragraph" w:customStyle="1" w:styleId="Head2">
    <w:name w:val="Head 2"/>
    <w:basedOn w:val="Normal"/>
    <w:next w:val="Body3"/>
    <w:rsid w:val="00600BE5"/>
    <w:pPr>
      <w:keepNext/>
      <w:spacing w:before="280" w:after="60" w:line="290" w:lineRule="auto"/>
      <w:ind w:left="1361"/>
      <w:jc w:val="both"/>
      <w:outlineLvl w:val="1"/>
    </w:pPr>
    <w:rPr>
      <w:b/>
      <w:kern w:val="21"/>
      <w:sz w:val="21"/>
    </w:rPr>
  </w:style>
  <w:style w:type="paragraph" w:customStyle="1" w:styleId="Head3">
    <w:name w:val="Head 3"/>
    <w:basedOn w:val="Normal"/>
    <w:next w:val="Body4"/>
    <w:rsid w:val="00600BE5"/>
    <w:pPr>
      <w:keepNext/>
      <w:spacing w:before="280" w:after="40" w:line="290" w:lineRule="auto"/>
      <w:ind w:left="2041"/>
      <w:jc w:val="both"/>
      <w:outlineLvl w:val="2"/>
    </w:pPr>
    <w:rPr>
      <w:b/>
      <w:kern w:val="20"/>
    </w:rPr>
  </w:style>
  <w:style w:type="paragraph" w:customStyle="1" w:styleId="SubHead">
    <w:name w:val="SubHead"/>
    <w:basedOn w:val="Normal"/>
    <w:next w:val="Body"/>
    <w:rsid w:val="00600BE5"/>
    <w:pPr>
      <w:keepNext/>
      <w:spacing w:before="120" w:after="60" w:line="290" w:lineRule="auto"/>
      <w:jc w:val="both"/>
      <w:outlineLvl w:val="0"/>
    </w:pPr>
    <w:rPr>
      <w:b/>
      <w:kern w:val="21"/>
      <w:sz w:val="21"/>
    </w:rPr>
  </w:style>
  <w:style w:type="paragraph" w:customStyle="1" w:styleId="SchedApps">
    <w:name w:val="Sched/Apps"/>
    <w:basedOn w:val="Normal"/>
    <w:next w:val="Body"/>
    <w:rsid w:val="00B36FB9"/>
    <w:pPr>
      <w:keepNext/>
      <w:pageBreakBefore/>
      <w:spacing w:after="240" w:line="290" w:lineRule="auto"/>
      <w:jc w:val="center"/>
      <w:outlineLvl w:val="3"/>
    </w:pPr>
    <w:rPr>
      <w:b/>
      <w:kern w:val="23"/>
      <w:sz w:val="23"/>
    </w:rPr>
  </w:style>
  <w:style w:type="paragraph" w:customStyle="1" w:styleId="Schedule1">
    <w:name w:val="Schedule 1"/>
    <w:basedOn w:val="Normal"/>
    <w:rsid w:val="00B36FB9"/>
    <w:pPr>
      <w:numPr>
        <w:numId w:val="4"/>
      </w:numPr>
      <w:spacing w:after="140" w:line="290" w:lineRule="auto"/>
      <w:jc w:val="both"/>
    </w:pPr>
    <w:rPr>
      <w:kern w:val="20"/>
    </w:rPr>
  </w:style>
  <w:style w:type="paragraph" w:customStyle="1" w:styleId="Schedule2">
    <w:name w:val="Schedule 2"/>
    <w:basedOn w:val="Normal"/>
    <w:rsid w:val="00B36FB9"/>
    <w:pPr>
      <w:numPr>
        <w:ilvl w:val="1"/>
        <w:numId w:val="4"/>
      </w:numPr>
      <w:spacing w:after="140" w:line="290" w:lineRule="auto"/>
      <w:jc w:val="both"/>
    </w:pPr>
    <w:rPr>
      <w:kern w:val="20"/>
    </w:rPr>
  </w:style>
  <w:style w:type="paragraph" w:customStyle="1" w:styleId="Schedule3">
    <w:name w:val="Schedule 3"/>
    <w:basedOn w:val="Normal"/>
    <w:rsid w:val="00B36FB9"/>
    <w:pPr>
      <w:numPr>
        <w:ilvl w:val="2"/>
        <w:numId w:val="4"/>
      </w:numPr>
      <w:spacing w:after="140" w:line="290" w:lineRule="auto"/>
      <w:jc w:val="both"/>
    </w:pPr>
    <w:rPr>
      <w:kern w:val="20"/>
    </w:rPr>
  </w:style>
  <w:style w:type="paragraph" w:customStyle="1" w:styleId="Schedule4">
    <w:name w:val="Schedule 4"/>
    <w:basedOn w:val="Normal"/>
    <w:rsid w:val="00B36FB9"/>
    <w:pPr>
      <w:numPr>
        <w:ilvl w:val="3"/>
        <w:numId w:val="4"/>
      </w:numPr>
      <w:spacing w:after="140" w:line="290" w:lineRule="auto"/>
      <w:jc w:val="both"/>
    </w:pPr>
    <w:rPr>
      <w:kern w:val="20"/>
    </w:rPr>
  </w:style>
  <w:style w:type="paragraph" w:customStyle="1" w:styleId="Schedule5">
    <w:name w:val="Schedule 5"/>
    <w:basedOn w:val="Normal"/>
    <w:rsid w:val="00B36FB9"/>
    <w:pPr>
      <w:numPr>
        <w:ilvl w:val="4"/>
        <w:numId w:val="4"/>
      </w:numPr>
      <w:spacing w:after="140" w:line="290" w:lineRule="auto"/>
      <w:jc w:val="both"/>
    </w:pPr>
    <w:rPr>
      <w:kern w:val="20"/>
    </w:rPr>
  </w:style>
  <w:style w:type="paragraph" w:customStyle="1" w:styleId="Schedule6">
    <w:name w:val="Schedule 6"/>
    <w:basedOn w:val="Normal"/>
    <w:rsid w:val="00B36FB9"/>
    <w:pPr>
      <w:numPr>
        <w:ilvl w:val="5"/>
        <w:numId w:val="4"/>
      </w:numPr>
      <w:spacing w:after="140" w:line="290" w:lineRule="auto"/>
      <w:jc w:val="both"/>
    </w:pPr>
    <w:rPr>
      <w:kern w:val="20"/>
    </w:rPr>
  </w:style>
  <w:style w:type="paragraph" w:customStyle="1" w:styleId="TCLevel1">
    <w:name w:val="T+C Level 1"/>
    <w:basedOn w:val="Normal"/>
    <w:next w:val="TCLevel2"/>
    <w:rsid w:val="00B36FB9"/>
    <w:pPr>
      <w:keepNext/>
      <w:numPr>
        <w:numId w:val="5"/>
      </w:numPr>
      <w:spacing w:before="140" w:line="290" w:lineRule="auto"/>
      <w:jc w:val="both"/>
      <w:outlineLvl w:val="0"/>
    </w:pPr>
    <w:rPr>
      <w:b/>
      <w:kern w:val="20"/>
    </w:rPr>
  </w:style>
  <w:style w:type="paragraph" w:customStyle="1" w:styleId="TCLevel2">
    <w:name w:val="T+C Level 2"/>
    <w:basedOn w:val="Normal"/>
    <w:rsid w:val="00B36FB9"/>
    <w:pPr>
      <w:numPr>
        <w:ilvl w:val="1"/>
        <w:numId w:val="5"/>
      </w:numPr>
      <w:spacing w:after="140" w:line="290" w:lineRule="auto"/>
      <w:jc w:val="both"/>
      <w:outlineLvl w:val="1"/>
    </w:pPr>
    <w:rPr>
      <w:kern w:val="20"/>
    </w:rPr>
  </w:style>
  <w:style w:type="paragraph" w:customStyle="1" w:styleId="TCLevel3">
    <w:name w:val="T+C Level 3"/>
    <w:basedOn w:val="Normal"/>
    <w:rsid w:val="00B36FB9"/>
    <w:pPr>
      <w:numPr>
        <w:ilvl w:val="2"/>
        <w:numId w:val="5"/>
      </w:numPr>
      <w:spacing w:after="140" w:line="290" w:lineRule="auto"/>
      <w:jc w:val="both"/>
      <w:outlineLvl w:val="2"/>
    </w:pPr>
    <w:rPr>
      <w:kern w:val="20"/>
    </w:rPr>
  </w:style>
  <w:style w:type="paragraph" w:customStyle="1" w:styleId="TCLevel4">
    <w:name w:val="T+C Level 4"/>
    <w:basedOn w:val="Normal"/>
    <w:rsid w:val="00B36FB9"/>
    <w:pPr>
      <w:numPr>
        <w:ilvl w:val="3"/>
        <w:numId w:val="5"/>
      </w:numPr>
      <w:spacing w:after="140" w:line="290" w:lineRule="auto"/>
      <w:jc w:val="both"/>
      <w:outlineLvl w:val="3"/>
    </w:pPr>
    <w:rPr>
      <w:kern w:val="20"/>
    </w:rPr>
  </w:style>
  <w:style w:type="paragraph" w:styleId="Date">
    <w:name w:val="Date"/>
    <w:basedOn w:val="Normal"/>
    <w:next w:val="Normal"/>
    <w:rsid w:val="00B36FB9"/>
  </w:style>
  <w:style w:type="paragraph" w:customStyle="1" w:styleId="DocExCode">
    <w:name w:val="DocExCode"/>
    <w:basedOn w:val="Normal"/>
    <w:rsid w:val="00A321F8"/>
    <w:pPr>
      <w:pBdr>
        <w:top w:val="single" w:sz="4" w:space="1" w:color="auto"/>
      </w:pBdr>
    </w:pPr>
    <w:rPr>
      <w:kern w:val="20"/>
      <w:sz w:val="16"/>
    </w:rPr>
  </w:style>
  <w:style w:type="paragraph" w:customStyle="1" w:styleId="DocumentMap">
    <w:name w:val="DocumentMap"/>
    <w:basedOn w:val="Normal"/>
    <w:rsid w:val="00B36FB9"/>
  </w:style>
  <w:style w:type="paragraph" w:styleId="Footer">
    <w:name w:val="footer"/>
    <w:basedOn w:val="Normal"/>
    <w:link w:val="FooterChar"/>
    <w:uiPriority w:val="99"/>
    <w:rsid w:val="00B36FB9"/>
    <w:pPr>
      <w:spacing w:before="120" w:after="120" w:line="290" w:lineRule="auto"/>
      <w:jc w:val="both"/>
    </w:pPr>
    <w:rPr>
      <w:kern w:val="16"/>
      <w:sz w:val="16"/>
    </w:rPr>
  </w:style>
  <w:style w:type="character" w:styleId="FootnoteReference">
    <w:name w:val="footnote reference"/>
    <w:basedOn w:val="DefaultParagraphFont"/>
    <w:semiHidden/>
    <w:rsid w:val="00B36FB9"/>
    <w:rPr>
      <w:rFonts w:ascii="Arial" w:hAnsi="Arial"/>
      <w:kern w:val="2"/>
      <w:vertAlign w:val="superscript"/>
    </w:rPr>
  </w:style>
  <w:style w:type="paragraph" w:styleId="FootnoteText">
    <w:name w:val="footnote text"/>
    <w:basedOn w:val="Normal"/>
    <w:semiHidden/>
    <w:rsid w:val="00B36FB9"/>
    <w:pPr>
      <w:keepLines/>
      <w:tabs>
        <w:tab w:val="left" w:pos="227"/>
      </w:tabs>
      <w:spacing w:after="60" w:line="200" w:lineRule="atLeast"/>
      <w:ind w:left="227" w:hanging="227"/>
      <w:jc w:val="both"/>
    </w:pPr>
    <w:rPr>
      <w:kern w:val="20"/>
      <w:sz w:val="16"/>
      <w:szCs w:val="20"/>
    </w:rPr>
  </w:style>
  <w:style w:type="paragraph" w:styleId="Header">
    <w:name w:val="header"/>
    <w:basedOn w:val="Normal"/>
    <w:link w:val="HeaderChar"/>
    <w:uiPriority w:val="99"/>
    <w:rsid w:val="00B36FB9"/>
    <w:pPr>
      <w:tabs>
        <w:tab w:val="center" w:pos="4366"/>
        <w:tab w:val="right" w:pos="8732"/>
      </w:tabs>
    </w:pPr>
    <w:rPr>
      <w:kern w:val="20"/>
    </w:rPr>
  </w:style>
  <w:style w:type="paragraph" w:customStyle="1" w:styleId="Level7">
    <w:name w:val="Level 7"/>
    <w:basedOn w:val="Normal"/>
    <w:rsid w:val="00B36FB9"/>
    <w:pPr>
      <w:numPr>
        <w:ilvl w:val="6"/>
        <w:numId w:val="1"/>
      </w:numPr>
      <w:spacing w:after="140" w:line="290" w:lineRule="auto"/>
      <w:jc w:val="both"/>
      <w:outlineLvl w:val="6"/>
    </w:pPr>
    <w:rPr>
      <w:kern w:val="20"/>
    </w:rPr>
  </w:style>
  <w:style w:type="paragraph" w:customStyle="1" w:styleId="Level8">
    <w:name w:val="Level 8"/>
    <w:basedOn w:val="Normal"/>
    <w:rsid w:val="00B36FB9"/>
    <w:pPr>
      <w:numPr>
        <w:ilvl w:val="7"/>
        <w:numId w:val="1"/>
      </w:numPr>
      <w:spacing w:after="140" w:line="290" w:lineRule="auto"/>
      <w:jc w:val="both"/>
      <w:outlineLvl w:val="7"/>
    </w:pPr>
    <w:rPr>
      <w:kern w:val="20"/>
    </w:rPr>
  </w:style>
  <w:style w:type="paragraph" w:customStyle="1" w:styleId="Level9">
    <w:name w:val="Level 9"/>
    <w:basedOn w:val="Normal"/>
    <w:rsid w:val="00B36FB9"/>
    <w:pPr>
      <w:numPr>
        <w:ilvl w:val="8"/>
        <w:numId w:val="1"/>
      </w:numPr>
      <w:spacing w:after="140" w:line="290" w:lineRule="auto"/>
      <w:jc w:val="both"/>
      <w:outlineLvl w:val="8"/>
    </w:pPr>
    <w:rPr>
      <w:kern w:val="20"/>
    </w:rPr>
  </w:style>
  <w:style w:type="character" w:styleId="PageNumber">
    <w:name w:val="page number"/>
    <w:basedOn w:val="DefaultParagraphFont"/>
    <w:rsid w:val="00B36FB9"/>
    <w:rPr>
      <w:rFonts w:ascii="Arial" w:hAnsi="Arial"/>
      <w:sz w:val="20"/>
    </w:rPr>
  </w:style>
  <w:style w:type="paragraph" w:customStyle="1" w:styleId="Table1">
    <w:name w:val="Table 1"/>
    <w:basedOn w:val="Normal"/>
    <w:rsid w:val="00B36FB9"/>
    <w:pPr>
      <w:numPr>
        <w:numId w:val="6"/>
      </w:numPr>
      <w:spacing w:before="60" w:after="60" w:line="290" w:lineRule="auto"/>
      <w:outlineLvl w:val="0"/>
    </w:pPr>
    <w:rPr>
      <w:kern w:val="20"/>
    </w:rPr>
  </w:style>
  <w:style w:type="paragraph" w:customStyle="1" w:styleId="Table2">
    <w:name w:val="Table 2"/>
    <w:basedOn w:val="Normal"/>
    <w:rsid w:val="00B36FB9"/>
    <w:pPr>
      <w:numPr>
        <w:ilvl w:val="1"/>
        <w:numId w:val="6"/>
      </w:numPr>
      <w:spacing w:before="60" w:after="60" w:line="290" w:lineRule="auto"/>
      <w:outlineLvl w:val="1"/>
    </w:pPr>
    <w:rPr>
      <w:kern w:val="20"/>
    </w:rPr>
  </w:style>
  <w:style w:type="paragraph" w:customStyle="1" w:styleId="Table3">
    <w:name w:val="Table 3"/>
    <w:basedOn w:val="Normal"/>
    <w:rsid w:val="00B36FB9"/>
    <w:pPr>
      <w:numPr>
        <w:ilvl w:val="2"/>
        <w:numId w:val="6"/>
      </w:numPr>
      <w:spacing w:before="60" w:after="60" w:line="290" w:lineRule="auto"/>
      <w:outlineLvl w:val="2"/>
    </w:pPr>
    <w:rPr>
      <w:kern w:val="20"/>
    </w:rPr>
  </w:style>
  <w:style w:type="paragraph" w:customStyle="1" w:styleId="Table4">
    <w:name w:val="Table 4"/>
    <w:basedOn w:val="Normal"/>
    <w:rsid w:val="00B36FB9"/>
    <w:pPr>
      <w:numPr>
        <w:ilvl w:val="3"/>
        <w:numId w:val="6"/>
      </w:numPr>
      <w:spacing w:before="60" w:after="60" w:line="290" w:lineRule="auto"/>
      <w:outlineLvl w:val="3"/>
    </w:pPr>
    <w:rPr>
      <w:kern w:val="20"/>
    </w:rPr>
  </w:style>
  <w:style w:type="paragraph" w:customStyle="1" w:styleId="Table5">
    <w:name w:val="Table 5"/>
    <w:basedOn w:val="Normal"/>
    <w:rsid w:val="00B36FB9"/>
    <w:pPr>
      <w:numPr>
        <w:ilvl w:val="4"/>
        <w:numId w:val="6"/>
      </w:numPr>
      <w:spacing w:before="60" w:after="60" w:line="290" w:lineRule="auto"/>
      <w:outlineLvl w:val="4"/>
    </w:pPr>
    <w:rPr>
      <w:kern w:val="20"/>
    </w:rPr>
  </w:style>
  <w:style w:type="paragraph" w:customStyle="1" w:styleId="Table6">
    <w:name w:val="Table 6"/>
    <w:basedOn w:val="Normal"/>
    <w:rsid w:val="00B36FB9"/>
    <w:pPr>
      <w:numPr>
        <w:ilvl w:val="5"/>
        <w:numId w:val="6"/>
      </w:numPr>
      <w:spacing w:before="60" w:after="60" w:line="290" w:lineRule="auto"/>
      <w:outlineLvl w:val="5"/>
    </w:pPr>
    <w:rPr>
      <w:kern w:val="20"/>
    </w:rPr>
  </w:style>
  <w:style w:type="paragraph" w:customStyle="1" w:styleId="Tablealpha">
    <w:name w:val="Table alpha"/>
    <w:basedOn w:val="CellBody"/>
    <w:rsid w:val="00407C05"/>
    <w:pPr>
      <w:numPr>
        <w:numId w:val="17"/>
      </w:numPr>
    </w:pPr>
  </w:style>
  <w:style w:type="paragraph" w:customStyle="1" w:styleId="Tablebullet">
    <w:name w:val="Table bullet"/>
    <w:basedOn w:val="Normal"/>
    <w:rsid w:val="00B36FB9"/>
    <w:pPr>
      <w:numPr>
        <w:numId w:val="43"/>
      </w:numPr>
      <w:spacing w:before="60" w:after="60" w:line="290" w:lineRule="auto"/>
    </w:pPr>
    <w:rPr>
      <w:kern w:val="20"/>
    </w:rPr>
  </w:style>
  <w:style w:type="paragraph" w:customStyle="1" w:styleId="Tableroman">
    <w:name w:val="Table roman"/>
    <w:basedOn w:val="CellBody"/>
    <w:rsid w:val="00407C05"/>
    <w:pPr>
      <w:numPr>
        <w:numId w:val="18"/>
      </w:numPr>
    </w:pPr>
  </w:style>
  <w:style w:type="paragraph" w:styleId="TOC2">
    <w:name w:val="toc 2"/>
    <w:basedOn w:val="Normal"/>
    <w:next w:val="Body"/>
    <w:semiHidden/>
    <w:rsid w:val="00B36FB9"/>
    <w:pPr>
      <w:spacing w:before="280" w:after="140" w:line="290" w:lineRule="auto"/>
    </w:pPr>
    <w:rPr>
      <w:kern w:val="20"/>
    </w:rPr>
  </w:style>
  <w:style w:type="paragraph" w:styleId="TOC3">
    <w:name w:val="toc 3"/>
    <w:basedOn w:val="Normal"/>
    <w:next w:val="Body"/>
    <w:semiHidden/>
    <w:rsid w:val="00B36FB9"/>
    <w:pPr>
      <w:spacing w:before="280" w:after="140" w:line="290" w:lineRule="auto"/>
      <w:ind w:left="680"/>
    </w:pPr>
    <w:rPr>
      <w:kern w:val="20"/>
    </w:rPr>
  </w:style>
  <w:style w:type="paragraph" w:styleId="TOC4">
    <w:name w:val="toc 4"/>
    <w:basedOn w:val="Normal"/>
    <w:next w:val="Body"/>
    <w:semiHidden/>
    <w:rsid w:val="00B36FB9"/>
    <w:pPr>
      <w:spacing w:before="280" w:after="140" w:line="290" w:lineRule="auto"/>
      <w:ind w:left="680"/>
    </w:pPr>
    <w:rPr>
      <w:kern w:val="20"/>
    </w:rPr>
  </w:style>
  <w:style w:type="paragraph" w:styleId="TOC5">
    <w:name w:val="toc 5"/>
    <w:basedOn w:val="Normal"/>
    <w:next w:val="Body"/>
    <w:semiHidden/>
    <w:rsid w:val="00B36FB9"/>
  </w:style>
  <w:style w:type="paragraph" w:styleId="TOC6">
    <w:name w:val="toc 6"/>
    <w:basedOn w:val="Normal"/>
    <w:next w:val="Body"/>
    <w:semiHidden/>
    <w:rsid w:val="00B36FB9"/>
  </w:style>
  <w:style w:type="paragraph" w:styleId="TOC7">
    <w:name w:val="toc 7"/>
    <w:basedOn w:val="Normal"/>
    <w:next w:val="Body"/>
    <w:semiHidden/>
    <w:rsid w:val="00B36FB9"/>
  </w:style>
  <w:style w:type="paragraph" w:styleId="TOC8">
    <w:name w:val="toc 8"/>
    <w:basedOn w:val="Normal"/>
    <w:next w:val="Body"/>
    <w:semiHidden/>
    <w:rsid w:val="00B36FB9"/>
  </w:style>
  <w:style w:type="paragraph" w:styleId="TOC9">
    <w:name w:val="toc 9"/>
    <w:basedOn w:val="Normal"/>
    <w:next w:val="Body"/>
    <w:semiHidden/>
    <w:rsid w:val="00B36FB9"/>
  </w:style>
  <w:style w:type="paragraph" w:customStyle="1" w:styleId="zFSand">
    <w:name w:val="zFSand"/>
    <w:basedOn w:val="Normal"/>
    <w:next w:val="zFSco-names"/>
    <w:rsid w:val="00B36FB9"/>
    <w:pPr>
      <w:spacing w:line="290" w:lineRule="auto"/>
      <w:jc w:val="center"/>
    </w:pPr>
    <w:rPr>
      <w:rFonts w:eastAsia="SimSun"/>
      <w:kern w:val="20"/>
      <w:szCs w:val="20"/>
    </w:rPr>
  </w:style>
  <w:style w:type="paragraph" w:customStyle="1" w:styleId="zFSco-names">
    <w:name w:val="zFSco-names"/>
    <w:basedOn w:val="Normal"/>
    <w:next w:val="zFSand"/>
    <w:rsid w:val="00B36FB9"/>
    <w:pPr>
      <w:spacing w:before="120" w:after="120" w:line="290" w:lineRule="auto"/>
      <w:jc w:val="center"/>
    </w:pPr>
    <w:rPr>
      <w:rFonts w:eastAsia="SimSun"/>
      <w:kern w:val="24"/>
      <w:sz w:val="24"/>
    </w:rPr>
  </w:style>
  <w:style w:type="paragraph" w:customStyle="1" w:styleId="zFSDate">
    <w:name w:val="zFSDate"/>
    <w:basedOn w:val="Normal"/>
    <w:rsid w:val="00B36FB9"/>
    <w:pPr>
      <w:spacing w:line="290" w:lineRule="auto"/>
      <w:jc w:val="center"/>
    </w:pPr>
    <w:rPr>
      <w:kern w:val="20"/>
    </w:rPr>
  </w:style>
  <w:style w:type="character" w:styleId="Hyperlink">
    <w:name w:val="Hyperlink"/>
    <w:basedOn w:val="DefaultParagraphFont"/>
    <w:uiPriority w:val="99"/>
    <w:rsid w:val="004A2D86"/>
    <w:rPr>
      <w:color w:val="auto"/>
      <w:u w:val="none"/>
    </w:rPr>
  </w:style>
  <w:style w:type="paragraph" w:customStyle="1" w:styleId="zFSFooter">
    <w:name w:val="zFSFooter"/>
    <w:basedOn w:val="Normal"/>
    <w:rsid w:val="00B36FB9"/>
    <w:pPr>
      <w:tabs>
        <w:tab w:val="left" w:pos="6521"/>
      </w:tabs>
      <w:spacing w:after="40"/>
      <w:ind w:left="-108"/>
    </w:pPr>
    <w:rPr>
      <w:sz w:val="16"/>
    </w:rPr>
  </w:style>
  <w:style w:type="paragraph" w:customStyle="1" w:styleId="zFSNarrative">
    <w:name w:val="zFSNarrative"/>
    <w:basedOn w:val="Normal"/>
    <w:rsid w:val="00B36FB9"/>
    <w:pPr>
      <w:spacing w:before="120" w:after="120" w:line="290" w:lineRule="auto"/>
      <w:jc w:val="center"/>
    </w:pPr>
    <w:rPr>
      <w:rFonts w:eastAsia="SimSun"/>
      <w:kern w:val="20"/>
      <w:szCs w:val="20"/>
    </w:rPr>
  </w:style>
  <w:style w:type="paragraph" w:customStyle="1" w:styleId="zFSTitle">
    <w:name w:val="zFSTitle"/>
    <w:basedOn w:val="Normal"/>
    <w:next w:val="zFSNarrative"/>
    <w:rsid w:val="00B36FB9"/>
    <w:pPr>
      <w:keepNext/>
      <w:spacing w:before="240" w:after="120" w:line="290" w:lineRule="auto"/>
      <w:jc w:val="center"/>
    </w:pPr>
    <w:rPr>
      <w:rFonts w:eastAsia="SimSun"/>
      <w:sz w:val="28"/>
      <w:szCs w:val="28"/>
    </w:rPr>
  </w:style>
  <w:style w:type="character" w:styleId="EndnoteReference">
    <w:name w:val="endnote reference"/>
    <w:basedOn w:val="DefaultParagraphFont"/>
    <w:semiHidden/>
    <w:rsid w:val="00B36FB9"/>
    <w:rPr>
      <w:rFonts w:ascii="Arial" w:hAnsi="Arial"/>
      <w:vertAlign w:val="superscript"/>
    </w:rPr>
  </w:style>
  <w:style w:type="paragraph" w:styleId="EndnoteText">
    <w:name w:val="endnote text"/>
    <w:basedOn w:val="Normal"/>
    <w:semiHidden/>
    <w:rsid w:val="00B36FB9"/>
    <w:rPr>
      <w:szCs w:val="20"/>
    </w:rPr>
  </w:style>
  <w:style w:type="paragraph" w:customStyle="1" w:styleId="Head">
    <w:name w:val="Head"/>
    <w:basedOn w:val="Normal"/>
    <w:next w:val="Body"/>
    <w:rsid w:val="00600BE5"/>
    <w:pPr>
      <w:keepNext/>
      <w:spacing w:before="280" w:after="140" w:line="290" w:lineRule="auto"/>
      <w:jc w:val="both"/>
      <w:outlineLvl w:val="0"/>
    </w:pPr>
    <w:rPr>
      <w:b/>
      <w:kern w:val="23"/>
      <w:sz w:val="23"/>
    </w:rPr>
  </w:style>
  <w:style w:type="paragraph" w:styleId="TableofAuthorities">
    <w:name w:val="table of authorities"/>
    <w:basedOn w:val="Normal"/>
    <w:next w:val="Normal"/>
    <w:semiHidden/>
    <w:rsid w:val="00B36FB9"/>
    <w:pPr>
      <w:ind w:left="200" w:hanging="200"/>
    </w:pPr>
  </w:style>
  <w:style w:type="paragraph" w:customStyle="1" w:styleId="CellBody">
    <w:name w:val="CellBody"/>
    <w:basedOn w:val="Normal"/>
    <w:rsid w:val="00B36FB9"/>
    <w:pPr>
      <w:spacing w:before="60" w:after="60" w:line="290" w:lineRule="auto"/>
    </w:pPr>
    <w:rPr>
      <w:kern w:val="20"/>
      <w:szCs w:val="20"/>
    </w:rPr>
  </w:style>
  <w:style w:type="paragraph" w:customStyle="1" w:styleId="zSFRef">
    <w:name w:val="zSFRef"/>
    <w:basedOn w:val="Normal"/>
    <w:rsid w:val="00B36FB9"/>
    <w:rPr>
      <w:rFonts w:eastAsia="SimSun"/>
      <w:kern w:val="16"/>
      <w:sz w:val="16"/>
      <w:szCs w:val="16"/>
    </w:rPr>
  </w:style>
  <w:style w:type="paragraph" w:customStyle="1" w:styleId="UCAlpha1">
    <w:name w:val="UCAlpha 1"/>
    <w:basedOn w:val="Normal"/>
    <w:rsid w:val="00B36FB9"/>
    <w:pPr>
      <w:numPr>
        <w:numId w:val="22"/>
      </w:numPr>
      <w:spacing w:after="140" w:line="290" w:lineRule="auto"/>
      <w:jc w:val="both"/>
    </w:pPr>
    <w:rPr>
      <w:kern w:val="20"/>
    </w:rPr>
  </w:style>
  <w:style w:type="paragraph" w:customStyle="1" w:styleId="UCAlpha2">
    <w:name w:val="UCAlpha 2"/>
    <w:basedOn w:val="Normal"/>
    <w:rsid w:val="00B36FB9"/>
    <w:pPr>
      <w:numPr>
        <w:numId w:val="23"/>
      </w:numPr>
      <w:spacing w:after="140" w:line="290" w:lineRule="auto"/>
      <w:jc w:val="both"/>
    </w:pPr>
    <w:rPr>
      <w:kern w:val="20"/>
    </w:rPr>
  </w:style>
  <w:style w:type="paragraph" w:customStyle="1" w:styleId="UCAlpha3">
    <w:name w:val="UCAlpha 3"/>
    <w:basedOn w:val="Normal"/>
    <w:rsid w:val="00B36FB9"/>
    <w:pPr>
      <w:numPr>
        <w:numId w:val="24"/>
      </w:numPr>
      <w:spacing w:after="140" w:line="290" w:lineRule="auto"/>
      <w:jc w:val="both"/>
    </w:pPr>
    <w:rPr>
      <w:kern w:val="20"/>
    </w:rPr>
  </w:style>
  <w:style w:type="paragraph" w:customStyle="1" w:styleId="UCAlpha4">
    <w:name w:val="UCAlpha 4"/>
    <w:basedOn w:val="Normal"/>
    <w:rsid w:val="00B36FB9"/>
    <w:pPr>
      <w:numPr>
        <w:numId w:val="25"/>
      </w:numPr>
      <w:spacing w:after="140" w:line="290" w:lineRule="auto"/>
      <w:jc w:val="both"/>
    </w:pPr>
    <w:rPr>
      <w:kern w:val="20"/>
    </w:rPr>
  </w:style>
  <w:style w:type="paragraph" w:customStyle="1" w:styleId="UCAlpha5">
    <w:name w:val="UCAlpha 5"/>
    <w:basedOn w:val="Normal"/>
    <w:rsid w:val="00B36FB9"/>
    <w:pPr>
      <w:numPr>
        <w:numId w:val="26"/>
      </w:numPr>
      <w:spacing w:after="140" w:line="290" w:lineRule="auto"/>
      <w:jc w:val="both"/>
    </w:pPr>
    <w:rPr>
      <w:kern w:val="20"/>
    </w:rPr>
  </w:style>
  <w:style w:type="paragraph" w:customStyle="1" w:styleId="UCAlpha6">
    <w:name w:val="UCAlpha 6"/>
    <w:basedOn w:val="Normal"/>
    <w:rsid w:val="00B36FB9"/>
    <w:pPr>
      <w:numPr>
        <w:numId w:val="27"/>
      </w:numPr>
      <w:spacing w:after="140" w:line="290" w:lineRule="auto"/>
      <w:jc w:val="both"/>
    </w:pPr>
    <w:rPr>
      <w:kern w:val="20"/>
    </w:rPr>
  </w:style>
  <w:style w:type="paragraph" w:customStyle="1" w:styleId="UCRoman1">
    <w:name w:val="UCRoman 1"/>
    <w:basedOn w:val="Normal"/>
    <w:rsid w:val="00B36FB9"/>
    <w:pPr>
      <w:numPr>
        <w:numId w:val="28"/>
      </w:numPr>
      <w:spacing w:after="140" w:line="290" w:lineRule="auto"/>
      <w:jc w:val="both"/>
    </w:pPr>
    <w:rPr>
      <w:kern w:val="20"/>
    </w:rPr>
  </w:style>
  <w:style w:type="paragraph" w:customStyle="1" w:styleId="UCRoman2">
    <w:name w:val="UCRoman 2"/>
    <w:basedOn w:val="Normal"/>
    <w:rsid w:val="00B36FB9"/>
    <w:pPr>
      <w:numPr>
        <w:numId w:val="29"/>
      </w:numPr>
      <w:spacing w:after="140" w:line="290" w:lineRule="auto"/>
      <w:jc w:val="both"/>
    </w:pPr>
    <w:rPr>
      <w:kern w:val="20"/>
    </w:rPr>
  </w:style>
  <w:style w:type="paragraph" w:customStyle="1" w:styleId="doublealpha">
    <w:name w:val="double alpha"/>
    <w:basedOn w:val="Normal"/>
    <w:rsid w:val="00B36FB9"/>
    <w:pPr>
      <w:numPr>
        <w:numId w:val="30"/>
      </w:numPr>
      <w:spacing w:after="140" w:line="290" w:lineRule="auto"/>
      <w:jc w:val="both"/>
    </w:pPr>
    <w:rPr>
      <w:kern w:val="20"/>
    </w:rPr>
  </w:style>
  <w:style w:type="paragraph" w:customStyle="1" w:styleId="ListNumbers">
    <w:name w:val="List Numbers"/>
    <w:basedOn w:val="Normal"/>
    <w:rsid w:val="00B36FB9"/>
    <w:pPr>
      <w:numPr>
        <w:numId w:val="21"/>
      </w:numPr>
      <w:spacing w:after="140" w:line="290" w:lineRule="auto"/>
      <w:jc w:val="both"/>
      <w:outlineLvl w:val="0"/>
    </w:pPr>
    <w:rPr>
      <w:kern w:val="20"/>
    </w:rPr>
  </w:style>
  <w:style w:type="paragraph" w:customStyle="1" w:styleId="dashbullet1">
    <w:name w:val="dash bullet 1"/>
    <w:basedOn w:val="Normal"/>
    <w:rsid w:val="00B36FB9"/>
    <w:pPr>
      <w:numPr>
        <w:numId w:val="37"/>
      </w:numPr>
      <w:spacing w:after="140" w:line="290" w:lineRule="auto"/>
      <w:jc w:val="both"/>
    </w:pPr>
    <w:rPr>
      <w:kern w:val="20"/>
    </w:rPr>
  </w:style>
  <w:style w:type="paragraph" w:customStyle="1" w:styleId="dashbullet2">
    <w:name w:val="dash bullet 2"/>
    <w:basedOn w:val="Normal"/>
    <w:rsid w:val="00B36FB9"/>
    <w:pPr>
      <w:numPr>
        <w:numId w:val="38"/>
      </w:numPr>
      <w:spacing w:after="140" w:line="290" w:lineRule="auto"/>
      <w:jc w:val="both"/>
    </w:pPr>
    <w:rPr>
      <w:kern w:val="20"/>
    </w:rPr>
  </w:style>
  <w:style w:type="paragraph" w:customStyle="1" w:styleId="dashbullet3">
    <w:name w:val="dash bullet 3"/>
    <w:basedOn w:val="Normal"/>
    <w:rsid w:val="00B36FB9"/>
    <w:pPr>
      <w:numPr>
        <w:numId w:val="39"/>
      </w:numPr>
      <w:spacing w:after="140" w:line="290" w:lineRule="auto"/>
      <w:jc w:val="both"/>
    </w:pPr>
    <w:rPr>
      <w:kern w:val="20"/>
    </w:rPr>
  </w:style>
  <w:style w:type="paragraph" w:customStyle="1" w:styleId="dashbullet4">
    <w:name w:val="dash bullet 4"/>
    <w:basedOn w:val="Normal"/>
    <w:rsid w:val="00B36FB9"/>
    <w:pPr>
      <w:numPr>
        <w:numId w:val="40"/>
      </w:numPr>
      <w:spacing w:after="140" w:line="290" w:lineRule="auto"/>
      <w:jc w:val="both"/>
    </w:pPr>
    <w:rPr>
      <w:kern w:val="20"/>
    </w:rPr>
  </w:style>
  <w:style w:type="paragraph" w:customStyle="1" w:styleId="dashbullet5">
    <w:name w:val="dash bullet 5"/>
    <w:basedOn w:val="Normal"/>
    <w:rsid w:val="00B36FB9"/>
    <w:pPr>
      <w:numPr>
        <w:numId w:val="41"/>
      </w:numPr>
      <w:spacing w:after="140" w:line="290" w:lineRule="auto"/>
      <w:jc w:val="both"/>
    </w:pPr>
    <w:rPr>
      <w:kern w:val="20"/>
    </w:rPr>
  </w:style>
  <w:style w:type="paragraph" w:customStyle="1" w:styleId="dashbullet6">
    <w:name w:val="dash bullet 6"/>
    <w:basedOn w:val="Normal"/>
    <w:rsid w:val="00B36FB9"/>
    <w:pPr>
      <w:numPr>
        <w:numId w:val="42"/>
      </w:numPr>
      <w:spacing w:after="140" w:line="290" w:lineRule="auto"/>
      <w:jc w:val="both"/>
    </w:pPr>
    <w:rPr>
      <w:kern w:val="20"/>
    </w:rPr>
  </w:style>
  <w:style w:type="paragraph" w:customStyle="1" w:styleId="zFSAddress">
    <w:name w:val="zFSAddress"/>
    <w:basedOn w:val="Normal"/>
    <w:rsid w:val="00B36FB9"/>
    <w:pPr>
      <w:spacing w:line="290" w:lineRule="auto"/>
    </w:pPr>
    <w:rPr>
      <w:kern w:val="16"/>
      <w:sz w:val="16"/>
    </w:rPr>
  </w:style>
  <w:style w:type="paragraph" w:customStyle="1" w:styleId="zFSDescription">
    <w:name w:val="zFSDescription"/>
    <w:basedOn w:val="zFSDate"/>
    <w:rsid w:val="00B36FB9"/>
    <w:rPr>
      <w:rFonts w:eastAsia="SimSun"/>
      <w:i/>
      <w:caps/>
      <w:szCs w:val="20"/>
    </w:rPr>
  </w:style>
  <w:style w:type="paragraph" w:customStyle="1" w:styleId="zFSDraft">
    <w:name w:val="zFSDraft"/>
    <w:basedOn w:val="Normal"/>
    <w:rsid w:val="00B36FB9"/>
    <w:pPr>
      <w:spacing w:line="290" w:lineRule="auto"/>
    </w:pPr>
    <w:rPr>
      <w:kern w:val="20"/>
    </w:rPr>
  </w:style>
  <w:style w:type="paragraph" w:customStyle="1" w:styleId="zFSFax">
    <w:name w:val="zFSFax"/>
    <w:basedOn w:val="Normal"/>
    <w:rsid w:val="00B36FB9"/>
    <w:rPr>
      <w:kern w:val="16"/>
      <w:sz w:val="16"/>
    </w:rPr>
  </w:style>
  <w:style w:type="paragraph" w:customStyle="1" w:styleId="zFSNameofDoc">
    <w:name w:val="zFSNameofDoc"/>
    <w:basedOn w:val="Normal"/>
    <w:rsid w:val="00B36FB9"/>
    <w:pPr>
      <w:spacing w:before="300" w:after="400" w:line="290" w:lineRule="auto"/>
      <w:jc w:val="center"/>
    </w:pPr>
    <w:rPr>
      <w:rFonts w:eastAsia="SimSun"/>
      <w:caps/>
      <w:szCs w:val="20"/>
    </w:rPr>
  </w:style>
  <w:style w:type="paragraph" w:customStyle="1" w:styleId="zFSTel">
    <w:name w:val="zFSTel"/>
    <w:basedOn w:val="Normal"/>
    <w:rsid w:val="00B36FB9"/>
    <w:pPr>
      <w:spacing w:before="120"/>
    </w:pPr>
    <w:rPr>
      <w:kern w:val="16"/>
      <w:sz w:val="16"/>
    </w:rPr>
  </w:style>
  <w:style w:type="paragraph" w:customStyle="1" w:styleId="zFSAmount">
    <w:name w:val="zFSAmount"/>
    <w:basedOn w:val="Normal"/>
    <w:rsid w:val="00B36FB9"/>
    <w:pPr>
      <w:spacing w:before="800" w:line="290" w:lineRule="auto"/>
      <w:jc w:val="center"/>
    </w:pPr>
    <w:rPr>
      <w:i/>
    </w:rPr>
  </w:style>
  <w:style w:type="character" w:styleId="FollowedHyperlink">
    <w:name w:val="FollowedHyperlink"/>
    <w:basedOn w:val="DefaultParagraphFont"/>
    <w:rsid w:val="00D13AD3"/>
    <w:rPr>
      <w:color w:val="0000FF"/>
      <w:u w:val="none"/>
    </w:rPr>
  </w:style>
  <w:style w:type="paragraph" w:customStyle="1" w:styleId="zFSAddress2">
    <w:name w:val="zFSAddress2"/>
    <w:basedOn w:val="Normal"/>
    <w:rsid w:val="00B36FB9"/>
    <w:pPr>
      <w:spacing w:line="290" w:lineRule="auto"/>
    </w:pPr>
    <w:rPr>
      <w:kern w:val="16"/>
      <w:sz w:val="16"/>
    </w:rPr>
  </w:style>
  <w:style w:type="character" w:customStyle="1" w:styleId="PageNumbers">
    <w:name w:val="PageNumbers"/>
    <w:basedOn w:val="DefaultParagraphFont"/>
    <w:rsid w:val="00165F65"/>
    <w:rPr>
      <w:sz w:val="20"/>
    </w:rPr>
  </w:style>
  <w:style w:type="paragraph" w:customStyle="1" w:styleId="EYBusinessaddress">
    <w:name w:val="EY Business address"/>
    <w:basedOn w:val="Normal"/>
    <w:rsid w:val="00F75F19"/>
    <w:pPr>
      <w:suppressAutoHyphens/>
      <w:spacing w:line="170" w:lineRule="atLeast"/>
    </w:pPr>
    <w:rPr>
      <w:color w:val="666666"/>
      <w:kern w:val="12"/>
      <w:sz w:val="15"/>
    </w:rPr>
  </w:style>
  <w:style w:type="table" w:styleId="TableGrid">
    <w:name w:val="Table Grid"/>
    <w:basedOn w:val="TableNormal"/>
    <w:rsid w:val="0061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Title">
    <w:name w:val="SchTitle"/>
    <w:basedOn w:val="Normal"/>
    <w:next w:val="Body"/>
    <w:rsid w:val="00D13AD3"/>
    <w:pPr>
      <w:spacing w:before="240" w:line="260" w:lineRule="atLeast"/>
      <w:jc w:val="center"/>
      <w:outlineLvl w:val="1"/>
    </w:pPr>
    <w:rPr>
      <w:rFonts w:eastAsia="SimSun"/>
      <w:b/>
      <w:caps/>
      <w:sz w:val="22"/>
      <w:szCs w:val="22"/>
    </w:rPr>
  </w:style>
  <w:style w:type="paragraph" w:customStyle="1" w:styleId="SchPartTitle">
    <w:name w:val="SchPartTitle"/>
    <w:basedOn w:val="SchTitle"/>
    <w:next w:val="Body"/>
    <w:rsid w:val="00D13AD3"/>
  </w:style>
  <w:style w:type="paragraph" w:customStyle="1" w:styleId="SchHead">
    <w:name w:val="SchHead"/>
    <w:basedOn w:val="Normal"/>
    <w:next w:val="SchTitle"/>
    <w:rsid w:val="00D13AD3"/>
    <w:pPr>
      <w:pageBreakBefore/>
      <w:numPr>
        <w:numId w:val="44"/>
      </w:numPr>
      <w:spacing w:before="240" w:line="260" w:lineRule="atLeast"/>
      <w:jc w:val="center"/>
      <w:outlineLvl w:val="0"/>
    </w:pPr>
    <w:rPr>
      <w:rFonts w:eastAsia="SimSun"/>
      <w:caps/>
      <w:sz w:val="22"/>
      <w:szCs w:val="22"/>
    </w:rPr>
  </w:style>
  <w:style w:type="paragraph" w:customStyle="1" w:styleId="SchPartHead">
    <w:name w:val="SchPartHead"/>
    <w:basedOn w:val="SchHead"/>
    <w:next w:val="SchPartTitle"/>
    <w:rsid w:val="00D13AD3"/>
    <w:pPr>
      <w:pageBreakBefore w:val="0"/>
      <w:numPr>
        <w:ilvl w:val="1"/>
      </w:numPr>
    </w:pPr>
  </w:style>
  <w:style w:type="paragraph" w:customStyle="1" w:styleId="AltLevel2">
    <w:name w:val="AltLevel2"/>
    <w:basedOn w:val="Level2"/>
    <w:next w:val="Body3"/>
    <w:rsid w:val="00B4449A"/>
    <w:pPr>
      <w:ind w:left="1360"/>
    </w:pPr>
  </w:style>
  <w:style w:type="paragraph" w:customStyle="1" w:styleId="AltLevel3">
    <w:name w:val="AltLevel3"/>
    <w:basedOn w:val="Level3"/>
    <w:next w:val="Body4"/>
    <w:rsid w:val="00B4449A"/>
    <w:pPr>
      <w:ind w:left="2041" w:hanging="680"/>
    </w:pPr>
  </w:style>
  <w:style w:type="paragraph" w:customStyle="1" w:styleId="AltLevel4">
    <w:name w:val="AltLevel4"/>
    <w:basedOn w:val="Level4"/>
    <w:next w:val="Body5"/>
    <w:qFormat/>
    <w:rsid w:val="00C54FE8"/>
    <w:pPr>
      <w:ind w:left="2608" w:hanging="567"/>
    </w:pPr>
    <w:rPr>
      <w:lang w:val="en-US"/>
    </w:rPr>
  </w:style>
  <w:style w:type="paragraph" w:customStyle="1" w:styleId="AltLevel5">
    <w:name w:val="AltLevel5"/>
    <w:basedOn w:val="Level5"/>
    <w:next w:val="Body6"/>
    <w:rsid w:val="00B4449A"/>
    <w:pPr>
      <w:ind w:left="3289"/>
    </w:pPr>
  </w:style>
  <w:style w:type="paragraph" w:customStyle="1" w:styleId="AltLevel1">
    <w:name w:val="AltLevel1"/>
    <w:basedOn w:val="Level1"/>
    <w:next w:val="Body1"/>
    <w:rsid w:val="00B4449A"/>
    <w:rPr>
      <w:caps/>
      <w:lang w:val="en-US"/>
    </w:rPr>
  </w:style>
  <w:style w:type="paragraph" w:customStyle="1" w:styleId="alfabody1">
    <w:name w:val="alfa body 1"/>
    <w:basedOn w:val="Body"/>
    <w:qFormat/>
    <w:rsid w:val="004A2D86"/>
    <w:pPr>
      <w:ind w:left="357"/>
    </w:pPr>
  </w:style>
  <w:style w:type="paragraph" w:customStyle="1" w:styleId="alfabody2">
    <w:name w:val="alfa body 2"/>
    <w:basedOn w:val="Body"/>
    <w:qFormat/>
    <w:rsid w:val="003D7A6B"/>
    <w:pPr>
      <w:ind w:left="1038"/>
    </w:pPr>
  </w:style>
  <w:style w:type="paragraph" w:customStyle="1" w:styleId="alfabody3">
    <w:name w:val="alfa body 3"/>
    <w:basedOn w:val="Body"/>
    <w:qFormat/>
    <w:rsid w:val="003D7A6B"/>
    <w:pPr>
      <w:ind w:left="1718"/>
    </w:pPr>
  </w:style>
  <w:style w:type="paragraph" w:customStyle="1" w:styleId="alfabody4">
    <w:name w:val="alfa body 4"/>
    <w:basedOn w:val="Body"/>
    <w:qFormat/>
    <w:rsid w:val="003D7A6B"/>
    <w:pPr>
      <w:ind w:left="2398"/>
    </w:pPr>
  </w:style>
  <w:style w:type="paragraph" w:customStyle="1" w:styleId="romanbody1">
    <w:name w:val="roman body 1"/>
    <w:basedOn w:val="Body"/>
    <w:qFormat/>
    <w:rsid w:val="00D54D16"/>
    <w:pPr>
      <w:ind w:left="357"/>
    </w:pPr>
  </w:style>
  <w:style w:type="paragraph" w:customStyle="1" w:styleId="romanbody2">
    <w:name w:val="roman body 2"/>
    <w:basedOn w:val="Body"/>
    <w:qFormat/>
    <w:rsid w:val="00D54D16"/>
    <w:pPr>
      <w:ind w:left="1038"/>
    </w:pPr>
  </w:style>
  <w:style w:type="paragraph" w:customStyle="1" w:styleId="romanbody3">
    <w:name w:val="roman body 3"/>
    <w:basedOn w:val="Body"/>
    <w:qFormat/>
    <w:rsid w:val="00D54D16"/>
    <w:pPr>
      <w:ind w:left="1718"/>
    </w:pPr>
  </w:style>
  <w:style w:type="paragraph" w:customStyle="1" w:styleId="romanbody4">
    <w:name w:val="roman body 4"/>
    <w:basedOn w:val="Body"/>
    <w:qFormat/>
    <w:rsid w:val="00D54D16"/>
    <w:pPr>
      <w:ind w:left="2398"/>
    </w:pPr>
  </w:style>
  <w:style w:type="paragraph" w:customStyle="1" w:styleId="romanbody5">
    <w:name w:val="roman body 5"/>
    <w:basedOn w:val="Body"/>
    <w:qFormat/>
    <w:rsid w:val="00CC28DC"/>
    <w:pPr>
      <w:ind w:left="2965"/>
    </w:pPr>
  </w:style>
  <w:style w:type="paragraph" w:customStyle="1" w:styleId="romanbody6">
    <w:name w:val="roman body 6"/>
    <w:basedOn w:val="Body"/>
    <w:qFormat/>
    <w:rsid w:val="00CC28DC"/>
    <w:pPr>
      <w:ind w:left="3646"/>
    </w:pPr>
  </w:style>
  <w:style w:type="paragraph" w:customStyle="1" w:styleId="alfabody5">
    <w:name w:val="alfa body 5"/>
    <w:basedOn w:val="Body"/>
    <w:qFormat/>
    <w:rsid w:val="00CC28DC"/>
    <w:pPr>
      <w:ind w:left="2965"/>
    </w:pPr>
  </w:style>
  <w:style w:type="paragraph" w:customStyle="1" w:styleId="alfabody6">
    <w:name w:val="alfa body 6"/>
    <w:basedOn w:val="Body"/>
    <w:qFormat/>
    <w:rsid w:val="00CC28DC"/>
    <w:pPr>
      <w:ind w:left="3646"/>
    </w:pPr>
  </w:style>
  <w:style w:type="character" w:customStyle="1" w:styleId="HeaderChar">
    <w:name w:val="Header Char"/>
    <w:basedOn w:val="DefaultParagraphFont"/>
    <w:link w:val="Header"/>
    <w:uiPriority w:val="99"/>
    <w:rsid w:val="00931034"/>
    <w:rPr>
      <w:rFonts w:ascii="Arial" w:hAnsi="Arial"/>
      <w:kern w:val="20"/>
      <w:szCs w:val="24"/>
      <w:lang w:val="en-GB"/>
    </w:rPr>
  </w:style>
  <w:style w:type="character" w:customStyle="1" w:styleId="FooterChar">
    <w:name w:val="Footer Char"/>
    <w:basedOn w:val="DefaultParagraphFont"/>
    <w:link w:val="Footer"/>
    <w:uiPriority w:val="99"/>
    <w:rsid w:val="00931034"/>
    <w:rPr>
      <w:rFonts w:ascii="Arial" w:hAnsi="Arial"/>
      <w:kern w:val="16"/>
      <w:sz w:val="16"/>
      <w:szCs w:val="24"/>
      <w:lang w:val="en-GB"/>
    </w:rPr>
  </w:style>
  <w:style w:type="character" w:styleId="CommentReference">
    <w:name w:val="annotation reference"/>
    <w:basedOn w:val="DefaultParagraphFont"/>
    <w:semiHidden/>
    <w:unhideWhenUsed/>
    <w:rsid w:val="00E2188F"/>
    <w:rPr>
      <w:sz w:val="16"/>
      <w:szCs w:val="16"/>
    </w:rPr>
  </w:style>
  <w:style w:type="paragraph" w:styleId="CommentSubject">
    <w:name w:val="annotation subject"/>
    <w:basedOn w:val="CommentText"/>
    <w:next w:val="CommentText"/>
    <w:link w:val="CommentSubjectChar"/>
    <w:semiHidden/>
    <w:unhideWhenUsed/>
    <w:rsid w:val="00E2188F"/>
    <w:rPr>
      <w:b/>
      <w:bCs/>
    </w:rPr>
  </w:style>
  <w:style w:type="character" w:customStyle="1" w:styleId="CommentTextChar">
    <w:name w:val="Comment Text Char"/>
    <w:basedOn w:val="DefaultParagraphFont"/>
    <w:link w:val="CommentText"/>
    <w:semiHidden/>
    <w:rsid w:val="00E2188F"/>
    <w:rPr>
      <w:rFonts w:ascii="Arial" w:hAnsi="Arial"/>
      <w:lang w:val="en-GB"/>
    </w:rPr>
  </w:style>
  <w:style w:type="character" w:customStyle="1" w:styleId="CommentSubjectChar">
    <w:name w:val="Comment Subject Char"/>
    <w:basedOn w:val="CommentTextChar"/>
    <w:link w:val="CommentSubject"/>
    <w:semiHidden/>
    <w:rsid w:val="00E2188F"/>
    <w:rPr>
      <w:rFonts w:ascii="Arial" w:hAnsi="Arial"/>
      <w:b/>
      <w:bCs/>
      <w:lang w:val="en-GB"/>
    </w:rPr>
  </w:style>
  <w:style w:type="paragraph" w:customStyle="1" w:styleId="EYDocumentpromptsbold">
    <w:name w:val="EY Document prompts (bold)"/>
    <w:basedOn w:val="Normal"/>
    <w:uiPriority w:val="99"/>
    <w:rsid w:val="00397F97"/>
    <w:pPr>
      <w:suppressAutoHyphens/>
      <w:spacing w:line="260" w:lineRule="atLeast"/>
    </w:pPr>
    <w:rPr>
      <w:rFonts w:ascii="Arial Bold" w:hAnsi="Arial Bold"/>
      <w:b/>
      <w:kern w:val="12"/>
      <w:lang w:val="ro-RO"/>
    </w:rPr>
  </w:style>
  <w:style w:type="paragraph" w:customStyle="1" w:styleId="EYDocumenttitle">
    <w:name w:val="EY Document title"/>
    <w:basedOn w:val="Normal"/>
    <w:next w:val="Normal"/>
    <w:uiPriority w:val="99"/>
    <w:rsid w:val="00397F97"/>
    <w:pPr>
      <w:suppressAutoHyphens/>
    </w:pPr>
    <w:rPr>
      <w:spacing w:val="-4"/>
      <w:kern w:val="12"/>
      <w:sz w:val="36"/>
      <w:lang w:val="ro-RO"/>
    </w:rPr>
  </w:style>
  <w:style w:type="paragraph" w:customStyle="1" w:styleId="EYDocumentprompts">
    <w:name w:val="EY Document prompts"/>
    <w:basedOn w:val="Normal"/>
    <w:uiPriority w:val="99"/>
    <w:rsid w:val="00397F97"/>
    <w:pPr>
      <w:suppressAutoHyphens/>
      <w:spacing w:before="60" w:after="60" w:line="240" w:lineRule="atLeast"/>
    </w:pPr>
    <w:rPr>
      <w:kern w:val="12"/>
    </w:rPr>
  </w:style>
  <w:style w:type="paragraph" w:customStyle="1" w:styleId="ody">
    <w:name w:val="ody"/>
    <w:basedOn w:val="Level1"/>
    <w:rsid w:val="002A6DD7"/>
    <w:rPr>
      <w:lang w:val="ro-RO"/>
    </w:rPr>
  </w:style>
  <w:style w:type="paragraph" w:styleId="ListParagraph">
    <w:name w:val="List Paragraph"/>
    <w:basedOn w:val="Normal"/>
    <w:uiPriority w:val="34"/>
    <w:qFormat/>
    <w:rsid w:val="00814A16"/>
    <w:pPr>
      <w:spacing w:after="160" w:line="259" w:lineRule="auto"/>
      <w:ind w:left="720"/>
      <w:contextualSpacing/>
    </w:pPr>
    <w:rPr>
      <w:rFonts w:asciiTheme="minorHAnsi" w:eastAsiaTheme="minorHAnsi" w:hAnsiTheme="minorHAnsi" w:cstheme="minorBidi"/>
      <w:sz w:val="22"/>
      <w:szCs w:val="22"/>
      <w:lang w:val="en-US"/>
    </w:rPr>
  </w:style>
  <w:style w:type="paragraph" w:styleId="Revision">
    <w:name w:val="Revision"/>
    <w:hidden/>
    <w:uiPriority w:val="99"/>
    <w:semiHidden/>
    <w:rsid w:val="00E771A7"/>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252555">
      <w:bodyDiv w:val="1"/>
      <w:marLeft w:val="0"/>
      <w:marRight w:val="0"/>
      <w:marTop w:val="0"/>
      <w:marBottom w:val="0"/>
      <w:divBdr>
        <w:top w:val="none" w:sz="0" w:space="0" w:color="auto"/>
        <w:left w:val="none" w:sz="0" w:space="0" w:color="auto"/>
        <w:bottom w:val="none" w:sz="0" w:space="0" w:color="auto"/>
        <w:right w:val="none" w:sz="0" w:space="0" w:color="auto"/>
      </w:divBdr>
    </w:div>
    <w:div w:id="20512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a.hutanu@ro.e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746HP\OneDrive%20-%20EY\Documents\Business%20Media\KNOW%20HOW\Templates\2022\2022\March%202022\BDAttorneys_General%20template_March%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4B4AF-14B8-423F-9B08-C7540561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BDAttorneys_General template_March 2022</Template>
  <TotalTime>74</TotalTime>
  <Pages>3</Pages>
  <Words>1329</Words>
  <Characters>7580</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dc:creator>
  <cp:keywords/>
  <dc:description/>
  <cp:lastModifiedBy>Felicia Moga</cp:lastModifiedBy>
  <cp:revision>7</cp:revision>
  <cp:lastPrinted>2007-09-26T09:41:00Z</cp:lastPrinted>
  <dcterms:created xsi:type="dcterms:W3CDTF">2023-01-24T09:48:00Z</dcterms:created>
  <dcterms:modified xsi:type="dcterms:W3CDTF">2023-01-25T07:23:00Z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R.137</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GrammarlyDocumentId">
    <vt:lpwstr>8bc86cdd0a273ccf1eda247f7fb70b0d91be03a1635b04b0f47fec8996e0ac2b</vt:lpwstr>
  </property>
</Properties>
</file>