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0A" w:rsidRPr="004F2E1F" w:rsidRDefault="00F21ED0" w:rsidP="009F690A">
      <w:pPr>
        <w:keepNext/>
        <w:widowControl w:val="0"/>
        <w:jc w:val="center"/>
        <w:rPr>
          <w:rFonts w:ascii="Georgia" w:hAnsi="Georgia"/>
          <w:b/>
          <w:sz w:val="32"/>
          <w:szCs w:val="32"/>
          <w:lang w:val="en-GB"/>
        </w:rPr>
      </w:pPr>
      <w:r w:rsidRPr="004F2E1F">
        <w:rPr>
          <w:rFonts w:ascii="Georgia" w:hAnsi="Georgia"/>
          <w:b/>
          <w:sz w:val="32"/>
          <w:szCs w:val="32"/>
          <w:lang w:val="en-GB"/>
        </w:rPr>
        <w:t>CRIPTOACTIVELE</w:t>
      </w:r>
      <w:r w:rsidR="009F690A" w:rsidRPr="004F2E1F">
        <w:rPr>
          <w:rFonts w:ascii="Georgia" w:hAnsi="Georgia"/>
          <w:b/>
          <w:sz w:val="32"/>
          <w:szCs w:val="32"/>
          <w:lang w:val="en-GB"/>
        </w:rPr>
        <w:t xml:space="preserve">: </w:t>
      </w:r>
      <w:r w:rsidR="00944342" w:rsidRPr="00944342">
        <w:rPr>
          <w:rFonts w:ascii="Georgia" w:hAnsi="Georgia"/>
          <w:b/>
          <w:sz w:val="32"/>
          <w:szCs w:val="32"/>
          <w:lang w:val="en-GB"/>
        </w:rPr>
        <w:t xml:space="preserve">SIMPLU </w:t>
      </w:r>
      <w:r w:rsidR="000575B1" w:rsidRPr="00944342">
        <w:rPr>
          <w:rFonts w:ascii="Georgia" w:hAnsi="Georgia"/>
          <w:b/>
          <w:sz w:val="32"/>
          <w:szCs w:val="32"/>
          <w:lang w:val="en-GB"/>
        </w:rPr>
        <w:t>TREND</w:t>
      </w:r>
      <w:r w:rsidR="009F690A" w:rsidRPr="004F2E1F">
        <w:rPr>
          <w:rFonts w:ascii="Georgia" w:hAnsi="Georgia"/>
          <w:b/>
          <w:sz w:val="32"/>
          <w:szCs w:val="32"/>
          <w:lang w:val="en-GB"/>
        </w:rPr>
        <w:t xml:space="preserve"> SAU</w:t>
      </w:r>
    </w:p>
    <w:p w:rsidR="009F690A" w:rsidRDefault="00944342" w:rsidP="009F690A">
      <w:pPr>
        <w:keepNext/>
        <w:widowControl w:val="0"/>
        <w:jc w:val="center"/>
        <w:rPr>
          <w:rFonts w:ascii="Georgia" w:hAnsi="Georgia"/>
          <w:b/>
          <w:sz w:val="32"/>
          <w:szCs w:val="32"/>
          <w:lang w:val="en-GB"/>
        </w:rPr>
      </w:pPr>
      <w:r>
        <w:rPr>
          <w:rFonts w:ascii="Georgia" w:hAnsi="Georgia"/>
          <w:b/>
          <w:sz w:val="32"/>
          <w:szCs w:val="32"/>
          <w:lang w:val="en-GB"/>
        </w:rPr>
        <w:t>ELEMENT</w:t>
      </w:r>
      <w:r w:rsidR="00DA0E5A">
        <w:rPr>
          <w:rFonts w:ascii="Georgia" w:hAnsi="Georgia"/>
          <w:b/>
          <w:sz w:val="32"/>
          <w:szCs w:val="32"/>
          <w:lang w:val="en-GB"/>
        </w:rPr>
        <w:t>E-</w:t>
      </w:r>
      <w:r>
        <w:rPr>
          <w:rFonts w:ascii="Georgia" w:hAnsi="Georgia"/>
          <w:b/>
          <w:sz w:val="32"/>
          <w:szCs w:val="32"/>
          <w:lang w:val="en-GB"/>
        </w:rPr>
        <w:t>CHEIE ÎN DEZVOLTAREA</w:t>
      </w:r>
      <w:r w:rsidR="000575B1">
        <w:rPr>
          <w:rFonts w:ascii="Georgia" w:hAnsi="Georgia"/>
          <w:b/>
          <w:sz w:val="32"/>
          <w:szCs w:val="32"/>
          <w:lang w:val="en-GB"/>
        </w:rPr>
        <w:t xml:space="preserve"> </w:t>
      </w:r>
      <w:r w:rsidR="009F690A" w:rsidRPr="004F2E1F">
        <w:rPr>
          <w:rFonts w:ascii="Georgia" w:hAnsi="Georgia"/>
          <w:b/>
          <w:sz w:val="32"/>
          <w:szCs w:val="32"/>
          <w:lang w:val="en-GB"/>
        </w:rPr>
        <w:t>PIEȚE</w:t>
      </w:r>
      <w:r w:rsidR="000575B1">
        <w:rPr>
          <w:rFonts w:ascii="Georgia" w:hAnsi="Georgia"/>
          <w:b/>
          <w:sz w:val="32"/>
          <w:szCs w:val="32"/>
          <w:lang w:val="en-GB"/>
        </w:rPr>
        <w:t>I</w:t>
      </w:r>
      <w:r w:rsidR="009F690A" w:rsidRPr="004F2E1F">
        <w:rPr>
          <w:rFonts w:ascii="Georgia" w:hAnsi="Georgia"/>
          <w:b/>
          <w:sz w:val="32"/>
          <w:szCs w:val="32"/>
          <w:lang w:val="en-GB"/>
        </w:rPr>
        <w:t xml:space="preserve"> DIGITALE</w:t>
      </w:r>
      <w:r w:rsidR="009F690A" w:rsidRPr="00B42B52">
        <w:rPr>
          <w:rFonts w:ascii="Georgia" w:hAnsi="Georgia"/>
          <w:b/>
          <w:sz w:val="32"/>
          <w:szCs w:val="32"/>
          <w:lang w:val="en-GB"/>
        </w:rPr>
        <w:t>?</w:t>
      </w:r>
    </w:p>
    <w:p w:rsidR="00EC6E8A" w:rsidRDefault="00EC6E8A" w:rsidP="00EC6E8A">
      <w:pPr>
        <w:keepNext/>
        <w:widowControl w:val="0"/>
        <w:contextualSpacing/>
        <w:jc w:val="right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Mateea Codreanu, Managing Associate</w:t>
      </w:r>
    </w:p>
    <w:p w:rsidR="00EC6E8A" w:rsidRDefault="00EC6E8A" w:rsidP="00EC6E8A">
      <w:pPr>
        <w:keepNext/>
        <w:widowControl w:val="0"/>
        <w:contextualSpacing/>
        <w:jc w:val="right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Gabriel Oprea, Senior Associate</w:t>
      </w:r>
    </w:p>
    <w:p w:rsidR="00EC6E8A" w:rsidRPr="00EB36DA" w:rsidRDefault="00EC6E8A" w:rsidP="00EC6E8A">
      <w:pPr>
        <w:keepNext/>
        <w:widowControl w:val="0"/>
        <w:jc w:val="right"/>
        <w:rPr>
          <w:rFonts w:ascii="Georgia" w:hAnsi="Georgia"/>
        </w:rPr>
      </w:pPr>
      <w:r>
        <w:rPr>
          <w:rFonts w:ascii="Georgia" w:hAnsi="Georgia"/>
          <w:lang w:val="en-GB"/>
        </w:rPr>
        <w:t>23.01.2023</w:t>
      </w:r>
    </w:p>
    <w:p w:rsidR="004F2E1F" w:rsidRDefault="00DA0E5A">
      <w:pPr>
        <w:rPr>
          <w:rFonts w:ascii="Georgia" w:hAnsi="Georgia"/>
        </w:rPr>
      </w:pPr>
      <w:r w:rsidRPr="004F2E1F">
        <w:rPr>
          <w:rFonts w:ascii="Georgia" w:hAnsi="Georgia"/>
        </w:rPr>
        <w:t xml:space="preserve">După </w:t>
      </w:r>
      <w:r>
        <w:rPr>
          <w:rFonts w:ascii="Georgia" w:hAnsi="Georgia"/>
        </w:rPr>
        <w:t>îndelungi</w:t>
      </w:r>
      <w:r w:rsidRPr="004F2E1F">
        <w:rPr>
          <w:rFonts w:ascii="Georgia" w:hAnsi="Georgia"/>
        </w:rPr>
        <w:t xml:space="preserve"> </w:t>
      </w:r>
      <w:r>
        <w:rPr>
          <w:rFonts w:ascii="Georgia" w:hAnsi="Georgia"/>
        </w:rPr>
        <w:t>așteptări</w:t>
      </w:r>
      <w:r w:rsidR="000575B1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4F2E1F" w:rsidRPr="004F2E1F">
        <w:rPr>
          <w:rFonts w:ascii="Georgia" w:hAnsi="Georgia"/>
        </w:rPr>
        <w:t xml:space="preserve">2023 pare a </w:t>
      </w:r>
      <w:r w:rsidR="002D7FD2">
        <w:rPr>
          <w:rFonts w:ascii="Georgia" w:hAnsi="Georgia"/>
        </w:rPr>
        <w:t xml:space="preserve">se contura ca </w:t>
      </w:r>
      <w:r w:rsidR="004F2E1F" w:rsidRPr="004F2E1F">
        <w:rPr>
          <w:rFonts w:ascii="Georgia" w:hAnsi="Georgia"/>
        </w:rPr>
        <w:t>fi</w:t>
      </w:r>
      <w:r w:rsidR="002D7FD2">
        <w:rPr>
          <w:rFonts w:ascii="Georgia" w:hAnsi="Georgia"/>
        </w:rPr>
        <w:t>ind anul în care cripto</w:t>
      </w:r>
      <w:r w:rsidR="004F2E1F" w:rsidRPr="004F2E1F">
        <w:rPr>
          <w:rFonts w:ascii="Georgia" w:hAnsi="Georgia"/>
        </w:rPr>
        <w:t xml:space="preserve">activele, ca </w:t>
      </w:r>
      <w:r w:rsidR="002D7FD2">
        <w:rPr>
          <w:rFonts w:ascii="Georgia" w:hAnsi="Georgia"/>
        </w:rPr>
        <w:t>instrumente principale</w:t>
      </w:r>
      <w:r w:rsidR="004F2E1F" w:rsidRPr="004F2E1F">
        <w:rPr>
          <w:rFonts w:ascii="Georgia" w:hAnsi="Georgia"/>
        </w:rPr>
        <w:t xml:space="preserve"> ale tehnologiei blockchain în domeniul financiar,</w:t>
      </w:r>
      <w:r w:rsidR="002D7FD2">
        <w:rPr>
          <w:rFonts w:ascii="Georgia" w:hAnsi="Georgia"/>
        </w:rPr>
        <w:t xml:space="preserve"> vor fi în sfârșit reglementate</w:t>
      </w:r>
      <w:r w:rsidR="000575B1">
        <w:rPr>
          <w:rFonts w:ascii="Georgia" w:hAnsi="Georgia"/>
        </w:rPr>
        <w:t xml:space="preserve"> în cadrul legislației</w:t>
      </w:r>
      <w:r w:rsidR="004F2E1F" w:rsidRPr="004F2E1F">
        <w:rPr>
          <w:rFonts w:ascii="Georgia" w:hAnsi="Georgia"/>
        </w:rPr>
        <w:t xml:space="preserve"> Uniunii Europene ("</w:t>
      </w:r>
      <w:r w:rsidR="004F2E1F" w:rsidRPr="002D7FD2">
        <w:rPr>
          <w:rFonts w:ascii="Georgia" w:hAnsi="Georgia"/>
          <w:b/>
        </w:rPr>
        <w:t>UE</w:t>
      </w:r>
      <w:r w:rsidR="004F2E1F" w:rsidRPr="004F2E1F">
        <w:rPr>
          <w:rFonts w:ascii="Georgia" w:hAnsi="Georgia"/>
        </w:rPr>
        <w:t xml:space="preserve">"), </w:t>
      </w:r>
      <w:r w:rsidR="000575B1">
        <w:rPr>
          <w:rFonts w:ascii="Georgia" w:hAnsi="Georgia"/>
        </w:rPr>
        <w:t>prin</w:t>
      </w:r>
      <w:r w:rsidR="004F2E1F" w:rsidRPr="004F2E1F">
        <w:rPr>
          <w:rFonts w:ascii="Georgia" w:hAnsi="Georgia"/>
        </w:rPr>
        <w:t xml:space="preserve"> Regulamentul privind p</w:t>
      </w:r>
      <w:r w:rsidR="002D7FD2">
        <w:rPr>
          <w:rFonts w:ascii="Georgia" w:hAnsi="Georgia"/>
        </w:rPr>
        <w:t xml:space="preserve">iețele de </w:t>
      </w:r>
      <w:proofErr w:type="spellStart"/>
      <w:r w:rsidR="002D7FD2">
        <w:rPr>
          <w:rFonts w:ascii="Georgia" w:hAnsi="Georgia"/>
        </w:rPr>
        <w:t>cripto</w:t>
      </w:r>
      <w:r w:rsidR="004F2E1F" w:rsidRPr="004F2E1F">
        <w:rPr>
          <w:rFonts w:ascii="Georgia" w:hAnsi="Georgia"/>
        </w:rPr>
        <w:t>activ</w:t>
      </w:r>
      <w:r w:rsidR="002D7FD2">
        <w:rPr>
          <w:rFonts w:ascii="Georgia" w:hAnsi="Georgia"/>
        </w:rPr>
        <w:t>e</w:t>
      </w:r>
      <w:proofErr w:type="spellEnd"/>
      <w:r w:rsidR="004F2E1F" w:rsidRPr="004F2E1F">
        <w:rPr>
          <w:rFonts w:ascii="Georgia" w:hAnsi="Georgia"/>
        </w:rPr>
        <w:t xml:space="preserve"> ("</w:t>
      </w:r>
      <w:r w:rsidR="004F2E1F" w:rsidRPr="002D7FD2">
        <w:rPr>
          <w:rFonts w:ascii="Georgia" w:hAnsi="Georgia"/>
          <w:b/>
        </w:rPr>
        <w:t xml:space="preserve">Regulamentul </w:t>
      </w:r>
      <w:proofErr w:type="spellStart"/>
      <w:r w:rsidR="004F2E1F" w:rsidRPr="002D7FD2">
        <w:rPr>
          <w:rFonts w:ascii="Georgia" w:hAnsi="Georgia"/>
          <w:b/>
        </w:rPr>
        <w:t>MiCA</w:t>
      </w:r>
      <w:proofErr w:type="spellEnd"/>
      <w:r w:rsidR="004F2E1F" w:rsidRPr="004F2E1F">
        <w:rPr>
          <w:rFonts w:ascii="Georgia" w:hAnsi="Georgia"/>
        </w:rPr>
        <w:t xml:space="preserve">"), care </w:t>
      </w:r>
      <w:r w:rsidR="000575B1">
        <w:rPr>
          <w:rFonts w:ascii="Georgia" w:hAnsi="Georgia"/>
        </w:rPr>
        <w:t>este susceptibil</w:t>
      </w:r>
      <w:r w:rsidR="00A42B19">
        <w:rPr>
          <w:rFonts w:ascii="Georgia" w:hAnsi="Georgia"/>
        </w:rPr>
        <w:t xml:space="preserve"> </w:t>
      </w:r>
      <w:r w:rsidR="000575B1">
        <w:rPr>
          <w:rFonts w:ascii="Georgia" w:hAnsi="Georgia"/>
        </w:rPr>
        <w:t>să</w:t>
      </w:r>
      <w:r w:rsidR="00A42B19">
        <w:rPr>
          <w:rFonts w:ascii="Georgia" w:hAnsi="Georgia"/>
        </w:rPr>
        <w:t xml:space="preserve"> afect</w:t>
      </w:r>
      <w:r w:rsidR="000575B1">
        <w:rPr>
          <w:rFonts w:ascii="Georgia" w:hAnsi="Georgia"/>
        </w:rPr>
        <w:t>eze</w:t>
      </w:r>
      <w:r w:rsidR="004F2E1F" w:rsidRPr="004F2E1F">
        <w:rPr>
          <w:rFonts w:ascii="Georgia" w:hAnsi="Georgia"/>
        </w:rPr>
        <w:t xml:space="preserve"> drepturile</w:t>
      </w:r>
      <w:r w:rsidR="00A42B19">
        <w:rPr>
          <w:rFonts w:ascii="Georgia" w:hAnsi="Georgia"/>
        </w:rPr>
        <w:t>, obligațiile</w:t>
      </w:r>
      <w:r w:rsidR="004F2E1F" w:rsidRPr="004F2E1F">
        <w:rPr>
          <w:rFonts w:ascii="Georgia" w:hAnsi="Georgia"/>
        </w:rPr>
        <w:t xml:space="preserve"> și interesele </w:t>
      </w:r>
      <w:r w:rsidR="000575B1">
        <w:rPr>
          <w:rFonts w:ascii="Georgia" w:hAnsi="Georgia"/>
        </w:rPr>
        <w:t>unor numeroase</w:t>
      </w:r>
      <w:r w:rsidR="000575B1" w:rsidRPr="000575B1">
        <w:rPr>
          <w:rFonts w:ascii="Georgia" w:hAnsi="Georgia"/>
        </w:rPr>
        <w:t xml:space="preserve"> generații existente și </w:t>
      </w:r>
      <w:r w:rsidR="000575B1">
        <w:rPr>
          <w:rFonts w:ascii="Georgia" w:hAnsi="Georgia"/>
        </w:rPr>
        <w:t>viitoare</w:t>
      </w:r>
      <w:r w:rsidR="000575B1" w:rsidRPr="000575B1">
        <w:rPr>
          <w:rFonts w:ascii="Georgia" w:hAnsi="Georgia"/>
        </w:rPr>
        <w:t xml:space="preserve"> de </w:t>
      </w:r>
      <w:r>
        <w:rPr>
          <w:rFonts w:ascii="Georgia" w:hAnsi="Georgia"/>
        </w:rPr>
        <w:t>întreprinderi</w:t>
      </w:r>
      <w:r w:rsidR="000575B1" w:rsidRPr="000575B1">
        <w:rPr>
          <w:rFonts w:ascii="Georgia" w:hAnsi="Georgia"/>
        </w:rPr>
        <w:t xml:space="preserve"> și investitori </w:t>
      </w:r>
      <w:r>
        <w:rPr>
          <w:rFonts w:ascii="Georgia" w:hAnsi="Georgia"/>
        </w:rPr>
        <w:t>la nivel global</w:t>
      </w:r>
      <w:r w:rsidR="000575B1" w:rsidRPr="000575B1">
        <w:rPr>
          <w:rFonts w:ascii="Georgia" w:hAnsi="Georgia"/>
        </w:rPr>
        <w:t>.</w:t>
      </w:r>
    </w:p>
    <w:p w:rsidR="00A42B19" w:rsidRDefault="00A42B19">
      <w:pPr>
        <w:rPr>
          <w:rFonts w:ascii="Georgia" w:hAnsi="Georgia"/>
        </w:rPr>
      </w:pPr>
      <w:r w:rsidRPr="00A42B19">
        <w:rPr>
          <w:rFonts w:ascii="Georgia" w:hAnsi="Georgia"/>
        </w:rPr>
        <w:t>Cripto</w:t>
      </w:r>
      <w:r>
        <w:rPr>
          <w:rFonts w:ascii="Georgia" w:hAnsi="Georgia"/>
        </w:rPr>
        <w:t>activele</w:t>
      </w:r>
      <w:r w:rsidRPr="00A42B19">
        <w:rPr>
          <w:rFonts w:ascii="Georgia" w:hAnsi="Georgia"/>
        </w:rPr>
        <w:t xml:space="preserve"> și subspeciile acestora (</w:t>
      </w:r>
      <w:r w:rsidRPr="00A42B19">
        <w:rPr>
          <w:rFonts w:ascii="Georgia" w:hAnsi="Georgia"/>
          <w:i/>
        </w:rPr>
        <w:t>e.g.</w:t>
      </w:r>
      <w:r w:rsidRPr="00A42B19">
        <w:rPr>
          <w:rFonts w:ascii="Georgia" w:hAnsi="Georgia"/>
        </w:rPr>
        <w:t>, criptomonedele și tehnologiile adiacente) au capt</w:t>
      </w:r>
      <w:r>
        <w:rPr>
          <w:rFonts w:ascii="Georgia" w:hAnsi="Georgia"/>
        </w:rPr>
        <w:t xml:space="preserve">ivat </w:t>
      </w:r>
      <w:r w:rsidR="00DA0E5A">
        <w:rPr>
          <w:rFonts w:ascii="Georgia" w:hAnsi="Georgia"/>
        </w:rPr>
        <w:t xml:space="preserve">atenția </w:t>
      </w:r>
      <w:r w:rsidRPr="00A42B19">
        <w:rPr>
          <w:rFonts w:ascii="Georgia" w:hAnsi="Georgia"/>
        </w:rPr>
        <w:t xml:space="preserve">și </w:t>
      </w:r>
      <w:r w:rsidR="00DA0E5A">
        <w:rPr>
          <w:rFonts w:ascii="Georgia" w:hAnsi="Georgia"/>
        </w:rPr>
        <w:t xml:space="preserve">au stimulat </w:t>
      </w:r>
      <w:r w:rsidRPr="00A42B19">
        <w:rPr>
          <w:rFonts w:ascii="Georgia" w:hAnsi="Georgia"/>
        </w:rPr>
        <w:t xml:space="preserve">imaginația multor companii </w:t>
      </w:r>
      <w:r w:rsidR="000575B1">
        <w:rPr>
          <w:rFonts w:ascii="Georgia" w:hAnsi="Georgia"/>
        </w:rPr>
        <w:t>importante</w:t>
      </w:r>
      <w:r w:rsidRPr="00A42B19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A42B19">
        <w:rPr>
          <w:rFonts w:ascii="Georgia" w:hAnsi="Georgia"/>
        </w:rPr>
        <w:t>care au perceput cripto</w:t>
      </w:r>
      <w:r>
        <w:rPr>
          <w:rFonts w:ascii="Georgia" w:hAnsi="Georgia"/>
        </w:rPr>
        <w:t>activele</w:t>
      </w:r>
      <w:r w:rsidRPr="00A42B19">
        <w:rPr>
          <w:rFonts w:ascii="Georgia" w:hAnsi="Georgia"/>
        </w:rPr>
        <w:t xml:space="preserve"> ca pe o modalitate de a accesa noi piețe sau de a le c</w:t>
      </w:r>
      <w:r>
        <w:rPr>
          <w:rFonts w:ascii="Georgia" w:hAnsi="Georgia"/>
        </w:rPr>
        <w:t>rea</w:t>
      </w:r>
      <w:r w:rsidRPr="00A42B19">
        <w:rPr>
          <w:rFonts w:ascii="Georgia" w:hAnsi="Georgia"/>
        </w:rPr>
        <w:t xml:space="preserve"> de la zero</w:t>
      </w:r>
      <w:r>
        <w:rPr>
          <w:rFonts w:ascii="Georgia" w:hAnsi="Georgia"/>
        </w:rPr>
        <w:t>,</w:t>
      </w:r>
      <w:r w:rsidRPr="00A42B19">
        <w:rPr>
          <w:rFonts w:ascii="Georgia" w:hAnsi="Georgia"/>
        </w:rPr>
        <w:t xml:space="preserve"> în </w:t>
      </w:r>
      <w:r>
        <w:rPr>
          <w:rFonts w:ascii="Georgia" w:hAnsi="Georgia"/>
        </w:rPr>
        <w:t>noi realități virtuale</w:t>
      </w:r>
      <w:r w:rsidR="00E230FF">
        <w:rPr>
          <w:rFonts w:ascii="Georgia" w:hAnsi="Georgia"/>
        </w:rPr>
        <w:t xml:space="preserve"> (</w:t>
      </w:r>
      <w:r w:rsidR="00E230FF" w:rsidRPr="00E230FF">
        <w:rPr>
          <w:rFonts w:ascii="Georgia" w:hAnsi="Georgia"/>
          <w:i/>
        </w:rPr>
        <w:t>e.g.</w:t>
      </w:r>
      <w:r w:rsidR="000575B1">
        <w:rPr>
          <w:rFonts w:ascii="Georgia" w:hAnsi="Georgia"/>
        </w:rPr>
        <w:t xml:space="preserve">, </w:t>
      </w:r>
      <w:proofErr w:type="spellStart"/>
      <w:r w:rsidR="000575B1">
        <w:rPr>
          <w:rFonts w:ascii="Georgia" w:hAnsi="Georgia"/>
        </w:rPr>
        <w:t>metavers</w:t>
      </w:r>
      <w:proofErr w:type="spellEnd"/>
      <w:r w:rsidR="00E230FF">
        <w:rPr>
          <w:rStyle w:val="FootnoteReference"/>
          <w:rFonts w:ascii="Georgia" w:hAnsi="Georgia"/>
        </w:rPr>
        <w:footnoteReference w:id="1"/>
      </w:r>
      <w:r w:rsidR="00E230FF">
        <w:rPr>
          <w:rFonts w:ascii="Georgia" w:hAnsi="Georgia"/>
        </w:rPr>
        <w:t>)</w:t>
      </w:r>
      <w:r>
        <w:rPr>
          <w:rFonts w:ascii="Georgia" w:hAnsi="Georgia"/>
        </w:rPr>
        <w:t xml:space="preserve">. Astfel, </w:t>
      </w:r>
      <w:r w:rsidRPr="00A42B19">
        <w:rPr>
          <w:rFonts w:ascii="Georgia" w:hAnsi="Georgia"/>
        </w:rPr>
        <w:t>cri</w:t>
      </w:r>
      <w:r>
        <w:rPr>
          <w:rFonts w:ascii="Georgia" w:hAnsi="Georgia"/>
        </w:rPr>
        <w:t>pto</w:t>
      </w:r>
      <w:r w:rsidRPr="00A42B19">
        <w:rPr>
          <w:rFonts w:ascii="Georgia" w:hAnsi="Georgia"/>
        </w:rPr>
        <w:t xml:space="preserve">activele </w:t>
      </w:r>
      <w:r>
        <w:rPr>
          <w:rFonts w:ascii="Georgia" w:hAnsi="Georgia"/>
        </w:rPr>
        <w:t>s-au dovedit a fi</w:t>
      </w:r>
      <w:r w:rsidRPr="00A42B19">
        <w:rPr>
          <w:rFonts w:ascii="Georgia" w:hAnsi="Georgia"/>
        </w:rPr>
        <w:t xml:space="preserve"> o reprezentare digitală a valorii care poate fi transferată, stocată sau tranzacționată electronic, </w:t>
      </w:r>
      <w:r w:rsidR="000575B1">
        <w:rPr>
          <w:rFonts w:ascii="Georgia" w:hAnsi="Georgia"/>
        </w:rPr>
        <w:t>și</w:t>
      </w:r>
      <w:r>
        <w:rPr>
          <w:rFonts w:ascii="Georgia" w:hAnsi="Georgia"/>
        </w:rPr>
        <w:t xml:space="preserve"> nu</w:t>
      </w:r>
      <w:r w:rsidRPr="00A42B19">
        <w:rPr>
          <w:rFonts w:ascii="Georgia" w:hAnsi="Georgia"/>
        </w:rPr>
        <w:t xml:space="preserve"> doar </w:t>
      </w:r>
      <w:r>
        <w:rPr>
          <w:rFonts w:ascii="Georgia" w:hAnsi="Georgia"/>
        </w:rPr>
        <w:t>monede virtuale</w:t>
      </w:r>
      <w:r w:rsidRPr="00A42B19">
        <w:rPr>
          <w:rFonts w:ascii="Georgia" w:hAnsi="Georgia"/>
        </w:rPr>
        <w:t>.</w:t>
      </w:r>
    </w:p>
    <w:p w:rsidR="00310725" w:rsidRPr="00310725" w:rsidRDefault="00A42B19" w:rsidP="00310725">
      <w:pPr>
        <w:rPr>
          <w:rFonts w:ascii="Georgia" w:hAnsi="Georgia"/>
        </w:rPr>
      </w:pPr>
      <w:r>
        <w:rPr>
          <w:rFonts w:ascii="Georgia" w:hAnsi="Georgia"/>
        </w:rPr>
        <w:t>Similar</w:t>
      </w:r>
      <w:r w:rsidR="000575B1">
        <w:rPr>
          <w:rFonts w:ascii="Georgia" w:hAnsi="Georgia"/>
        </w:rPr>
        <w:t xml:space="preserve"> multor</w:t>
      </w:r>
      <w:r>
        <w:rPr>
          <w:rFonts w:ascii="Georgia" w:hAnsi="Georgia"/>
        </w:rPr>
        <w:t xml:space="preserve"> i</w:t>
      </w:r>
      <w:r w:rsidRPr="00A42B19">
        <w:rPr>
          <w:rFonts w:ascii="Georgia" w:hAnsi="Georgia"/>
        </w:rPr>
        <w:t xml:space="preserve">novații digitale </w:t>
      </w:r>
      <w:r w:rsidR="000575B1">
        <w:rPr>
          <w:rFonts w:ascii="Georgia" w:hAnsi="Georgia"/>
        </w:rPr>
        <w:t>care au beneficiat de o expansiune rapidă</w:t>
      </w:r>
      <w:r w:rsidR="00310725">
        <w:rPr>
          <w:rFonts w:ascii="Georgia" w:hAnsi="Georgia"/>
        </w:rPr>
        <w:t xml:space="preserve">, </w:t>
      </w:r>
      <w:r w:rsidRPr="00A42B19">
        <w:rPr>
          <w:rFonts w:ascii="Georgia" w:hAnsi="Georgia"/>
        </w:rPr>
        <w:t xml:space="preserve">ascensiunea </w:t>
      </w:r>
      <w:proofErr w:type="spellStart"/>
      <w:r w:rsidRPr="00A42B19">
        <w:rPr>
          <w:rFonts w:ascii="Georgia" w:hAnsi="Georgia"/>
        </w:rPr>
        <w:t>cripto</w:t>
      </w:r>
      <w:r w:rsidR="00310725">
        <w:rPr>
          <w:rFonts w:ascii="Georgia" w:hAnsi="Georgia"/>
        </w:rPr>
        <w:t>activelor</w:t>
      </w:r>
      <w:proofErr w:type="spellEnd"/>
      <w:r w:rsidRPr="00A42B19">
        <w:rPr>
          <w:rFonts w:ascii="Georgia" w:hAnsi="Georgia"/>
        </w:rPr>
        <w:t xml:space="preserve"> a fost </w:t>
      </w:r>
      <w:r w:rsidR="00310725">
        <w:rPr>
          <w:rFonts w:ascii="Georgia" w:hAnsi="Georgia"/>
        </w:rPr>
        <w:t>foarte apreciată</w:t>
      </w:r>
      <w:r w:rsidRPr="00A42B19">
        <w:rPr>
          <w:rFonts w:ascii="Georgia" w:hAnsi="Georgia"/>
        </w:rPr>
        <w:t xml:space="preserve">, dar în același timp </w:t>
      </w:r>
      <w:r w:rsidR="00310725">
        <w:rPr>
          <w:rFonts w:ascii="Georgia" w:hAnsi="Georgia"/>
        </w:rPr>
        <w:t>aspru</w:t>
      </w:r>
      <w:r w:rsidRPr="00A42B19">
        <w:rPr>
          <w:rFonts w:ascii="Georgia" w:hAnsi="Georgia"/>
        </w:rPr>
        <w:t xml:space="preserve"> criticată de </w:t>
      </w:r>
      <w:r w:rsidR="00310725">
        <w:rPr>
          <w:rFonts w:ascii="Georgia" w:hAnsi="Georgia"/>
        </w:rPr>
        <w:t xml:space="preserve">către </w:t>
      </w:r>
      <w:r w:rsidRPr="00A42B19">
        <w:rPr>
          <w:rFonts w:ascii="Georgia" w:hAnsi="Georgia"/>
        </w:rPr>
        <w:t>public, reticența oamenilor fiind, cel puțin pentru moment, superioară îmbrățișării lor. Lipsa unei reglementări spe</w:t>
      </w:r>
      <w:r w:rsidR="00310725">
        <w:rPr>
          <w:rFonts w:ascii="Georgia" w:hAnsi="Georgia"/>
        </w:rPr>
        <w:t xml:space="preserve">cifice în domeniul cripto </w:t>
      </w:r>
      <w:r w:rsidRPr="00A42B19">
        <w:rPr>
          <w:rFonts w:ascii="Georgia" w:hAnsi="Georgia"/>
        </w:rPr>
        <w:t xml:space="preserve">a încurajat </w:t>
      </w:r>
      <w:r w:rsidR="00310725">
        <w:rPr>
          <w:rFonts w:ascii="Georgia" w:hAnsi="Georgia"/>
        </w:rPr>
        <w:t>răspândirea</w:t>
      </w:r>
      <w:r w:rsidRPr="00A42B19">
        <w:rPr>
          <w:rFonts w:ascii="Georgia" w:hAnsi="Georgia"/>
        </w:rPr>
        <w:t xml:space="preserve"> speculațiilor și a escrocheriilor, iar persoanele care au căzut sub vraja </w:t>
      </w:r>
      <w:r w:rsidR="00310725">
        <w:rPr>
          <w:rFonts w:ascii="Georgia" w:hAnsi="Georgia"/>
        </w:rPr>
        <w:t>îmbogățirii</w:t>
      </w:r>
      <w:r w:rsidRPr="00A42B19">
        <w:rPr>
          <w:rFonts w:ascii="Georgia" w:hAnsi="Georgia"/>
        </w:rPr>
        <w:t xml:space="preserve"> peste noapte au devenit victime sigure. </w:t>
      </w:r>
      <w:r w:rsidR="00310725" w:rsidRPr="00310725">
        <w:rPr>
          <w:rFonts w:ascii="Georgia" w:hAnsi="Georgia"/>
        </w:rPr>
        <w:t xml:space="preserve">Mai mult, în practică, există multe voci care susțin că multe dintre </w:t>
      </w:r>
      <w:proofErr w:type="spellStart"/>
      <w:r w:rsidR="00310725" w:rsidRPr="00310725">
        <w:rPr>
          <w:rFonts w:ascii="Georgia" w:hAnsi="Georgia"/>
        </w:rPr>
        <w:t>criptoactive</w:t>
      </w:r>
      <w:proofErr w:type="spellEnd"/>
      <w:r w:rsidR="00310725" w:rsidRPr="00310725">
        <w:rPr>
          <w:rFonts w:ascii="Georgia" w:hAnsi="Georgia"/>
        </w:rPr>
        <w:t xml:space="preserve"> </w:t>
      </w:r>
      <w:r w:rsidR="00FE6C6B">
        <w:rPr>
          <w:rFonts w:ascii="Georgia" w:hAnsi="Georgia"/>
        </w:rPr>
        <w:t>reprezintă o nouă formă de jocuri</w:t>
      </w:r>
      <w:r w:rsidR="00310725" w:rsidRPr="00310725">
        <w:rPr>
          <w:rFonts w:ascii="Georgia" w:hAnsi="Georgia"/>
        </w:rPr>
        <w:t xml:space="preserve"> de noroc.</w:t>
      </w:r>
    </w:p>
    <w:p w:rsidR="00FE6C6B" w:rsidRDefault="00310725">
      <w:pPr>
        <w:rPr>
          <w:rFonts w:ascii="Georgia" w:hAnsi="Georgia"/>
        </w:rPr>
      </w:pPr>
      <w:r>
        <w:rPr>
          <w:rFonts w:ascii="Georgia" w:hAnsi="Georgia"/>
        </w:rPr>
        <w:t>O categorie</w:t>
      </w:r>
      <w:r w:rsidRPr="00310725">
        <w:rPr>
          <w:rFonts w:ascii="Georgia" w:hAnsi="Georgia"/>
        </w:rPr>
        <w:t xml:space="preserve"> foarte cunoscut</w:t>
      </w:r>
      <w:r>
        <w:rPr>
          <w:rFonts w:ascii="Georgia" w:hAnsi="Georgia"/>
        </w:rPr>
        <w:t>ă</w:t>
      </w:r>
      <w:r w:rsidRPr="00310725">
        <w:rPr>
          <w:rFonts w:ascii="Georgia" w:hAnsi="Georgia"/>
        </w:rPr>
        <w:t xml:space="preserve"> de cripto</w:t>
      </w:r>
      <w:r>
        <w:rPr>
          <w:rFonts w:ascii="Georgia" w:hAnsi="Georgia"/>
        </w:rPr>
        <w:t>active</w:t>
      </w:r>
      <w:r w:rsidRPr="00310725">
        <w:rPr>
          <w:rFonts w:ascii="Georgia" w:hAnsi="Georgia"/>
        </w:rPr>
        <w:t xml:space="preserve">, care a fost un subiect </w:t>
      </w:r>
      <w:r>
        <w:rPr>
          <w:rFonts w:ascii="Georgia" w:hAnsi="Georgia"/>
        </w:rPr>
        <w:t>de mare interes</w:t>
      </w:r>
      <w:r w:rsidRPr="00310725">
        <w:rPr>
          <w:rFonts w:ascii="Georgia" w:hAnsi="Georgia"/>
        </w:rPr>
        <w:t xml:space="preserve"> în ultima </w:t>
      </w:r>
      <w:r>
        <w:rPr>
          <w:rFonts w:ascii="Georgia" w:hAnsi="Georgia"/>
        </w:rPr>
        <w:t>perioadă</w:t>
      </w:r>
      <w:r w:rsidRPr="00310725">
        <w:rPr>
          <w:rFonts w:ascii="Georgia" w:hAnsi="Georgia"/>
        </w:rPr>
        <w:t xml:space="preserve">, este </w:t>
      </w:r>
      <w:r>
        <w:rPr>
          <w:rFonts w:ascii="Georgia" w:hAnsi="Georgia"/>
        </w:rPr>
        <w:t xml:space="preserve">cea a </w:t>
      </w:r>
      <w:r w:rsidRPr="00310725">
        <w:rPr>
          <w:rFonts w:ascii="Georgia" w:hAnsi="Georgia"/>
        </w:rPr>
        <w:t>criptomoned</w:t>
      </w:r>
      <w:r>
        <w:rPr>
          <w:rFonts w:ascii="Georgia" w:hAnsi="Georgia"/>
        </w:rPr>
        <w:t xml:space="preserve">elor. Acestea din urmă </w:t>
      </w:r>
      <w:r w:rsidR="0024018B">
        <w:rPr>
          <w:rFonts w:ascii="Georgia" w:hAnsi="Georgia"/>
        </w:rPr>
        <w:t xml:space="preserve">reprezintă </w:t>
      </w:r>
      <w:r w:rsidRPr="00F21ED0">
        <w:rPr>
          <w:rFonts w:ascii="Georgia" w:hAnsi="Georgia"/>
        </w:rPr>
        <w:t>moned</w:t>
      </w:r>
      <w:r>
        <w:rPr>
          <w:rFonts w:ascii="Georgia" w:hAnsi="Georgia"/>
        </w:rPr>
        <w:t>e</w:t>
      </w:r>
      <w:r w:rsidRPr="00F21ED0">
        <w:rPr>
          <w:rFonts w:ascii="Georgia" w:hAnsi="Georgia"/>
        </w:rPr>
        <w:t xml:space="preserve"> digital</w:t>
      </w:r>
      <w:r>
        <w:rPr>
          <w:rFonts w:ascii="Georgia" w:hAnsi="Georgia"/>
        </w:rPr>
        <w:t>e</w:t>
      </w:r>
      <w:r w:rsidRPr="00F21ED0">
        <w:rPr>
          <w:rFonts w:ascii="Georgia" w:hAnsi="Georgia"/>
        </w:rPr>
        <w:t xml:space="preserve"> sau virtual</w:t>
      </w:r>
      <w:r>
        <w:rPr>
          <w:rFonts w:ascii="Georgia" w:hAnsi="Georgia"/>
        </w:rPr>
        <w:t>e</w:t>
      </w:r>
      <w:r w:rsidR="0024018B">
        <w:rPr>
          <w:rFonts w:ascii="Georgia" w:hAnsi="Georgia"/>
        </w:rPr>
        <w:t>,</w:t>
      </w:r>
      <w:r w:rsidRPr="00F21ED0">
        <w:rPr>
          <w:rFonts w:ascii="Georgia" w:hAnsi="Georgia"/>
        </w:rPr>
        <w:t xml:space="preserve"> securizat</w:t>
      </w:r>
      <w:r>
        <w:rPr>
          <w:rFonts w:ascii="Georgia" w:hAnsi="Georgia"/>
        </w:rPr>
        <w:t>e</w:t>
      </w:r>
      <w:r w:rsidRPr="00F21ED0">
        <w:rPr>
          <w:rFonts w:ascii="Georgia" w:hAnsi="Georgia"/>
        </w:rPr>
        <w:t xml:space="preserve"> prin criptografie, </w:t>
      </w:r>
      <w:r w:rsidR="0024018B">
        <w:rPr>
          <w:rFonts w:ascii="Georgia" w:hAnsi="Georgia"/>
        </w:rPr>
        <w:t>care operează pe</w:t>
      </w:r>
      <w:r w:rsidR="0024018B" w:rsidRPr="00310725">
        <w:rPr>
          <w:rFonts w:ascii="Georgia" w:hAnsi="Georgia"/>
        </w:rPr>
        <w:t xml:space="preserve"> rețele descentralizate </w:t>
      </w:r>
      <w:r w:rsidR="0024018B">
        <w:rPr>
          <w:rFonts w:ascii="Georgia" w:hAnsi="Georgia"/>
        </w:rPr>
        <w:t xml:space="preserve">bazate pe tehnologia </w:t>
      </w:r>
      <w:proofErr w:type="spellStart"/>
      <w:r w:rsidR="0024018B">
        <w:rPr>
          <w:rFonts w:ascii="Georgia" w:hAnsi="Georgia"/>
        </w:rPr>
        <w:lastRenderedPageBreak/>
        <w:t>blockchain</w:t>
      </w:r>
      <w:proofErr w:type="spellEnd"/>
      <w:r w:rsidR="0024018B">
        <w:rPr>
          <w:rStyle w:val="FootnoteReference"/>
          <w:rFonts w:ascii="Georgia" w:hAnsi="Georgia"/>
        </w:rPr>
        <w:footnoteReference w:id="2"/>
      </w:r>
      <w:r w:rsidR="0024018B">
        <w:rPr>
          <w:rFonts w:ascii="Georgia" w:hAnsi="Georgia"/>
        </w:rPr>
        <w:t>,</w:t>
      </w:r>
      <w:r w:rsidR="0024018B" w:rsidRPr="00310725">
        <w:rPr>
          <w:rFonts w:ascii="Georgia" w:hAnsi="Georgia"/>
        </w:rPr>
        <w:t xml:space="preserve"> </w:t>
      </w:r>
      <w:r w:rsidR="0024018B">
        <w:rPr>
          <w:rFonts w:ascii="Georgia" w:hAnsi="Georgia"/>
        </w:rPr>
        <w:t xml:space="preserve">devenind </w:t>
      </w:r>
      <w:r w:rsidRPr="00F21ED0">
        <w:rPr>
          <w:rFonts w:ascii="Georgia" w:hAnsi="Georgia"/>
        </w:rPr>
        <w:t>a</w:t>
      </w:r>
      <w:r>
        <w:rPr>
          <w:rFonts w:ascii="Georgia" w:hAnsi="Georgia"/>
        </w:rPr>
        <w:t>proape imposibil de falsificat</w:t>
      </w:r>
      <w:r w:rsidRPr="00310725">
        <w:rPr>
          <w:rFonts w:ascii="Georgia" w:hAnsi="Georgia"/>
        </w:rPr>
        <w:t xml:space="preserve">. O </w:t>
      </w:r>
      <w:r>
        <w:rPr>
          <w:rFonts w:ascii="Georgia" w:hAnsi="Georgia"/>
        </w:rPr>
        <w:t>trăsătură</w:t>
      </w:r>
      <w:r w:rsidRPr="00310725">
        <w:rPr>
          <w:rFonts w:ascii="Georgia" w:hAnsi="Georgia"/>
        </w:rPr>
        <w:t xml:space="preserve"> </w:t>
      </w:r>
      <w:r w:rsidR="0024018B">
        <w:rPr>
          <w:rFonts w:ascii="Georgia" w:hAnsi="Georgia"/>
        </w:rPr>
        <w:t>esențială</w:t>
      </w:r>
      <w:r w:rsidRPr="00310725">
        <w:rPr>
          <w:rFonts w:ascii="Georgia" w:hAnsi="Georgia"/>
        </w:rPr>
        <w:t xml:space="preserve"> a </w:t>
      </w:r>
      <w:proofErr w:type="spellStart"/>
      <w:r w:rsidRPr="00310725">
        <w:rPr>
          <w:rFonts w:ascii="Georgia" w:hAnsi="Georgia"/>
        </w:rPr>
        <w:t>criptomonedelor</w:t>
      </w:r>
      <w:proofErr w:type="spellEnd"/>
      <w:r w:rsidRPr="00310725">
        <w:rPr>
          <w:rFonts w:ascii="Georgia" w:hAnsi="Georgia"/>
        </w:rPr>
        <w:t xml:space="preserve"> este că</w:t>
      </w:r>
      <w:r w:rsidR="009E4CA0">
        <w:rPr>
          <w:rFonts w:ascii="Georgia" w:hAnsi="Georgia"/>
        </w:rPr>
        <w:t xml:space="preserve"> </w:t>
      </w:r>
      <w:r w:rsidRPr="00310725">
        <w:rPr>
          <w:rFonts w:ascii="Georgia" w:hAnsi="Georgia"/>
        </w:rPr>
        <w:t>nu sunt emise de o autoritate centrală, ceea ce le face</w:t>
      </w:r>
      <w:r w:rsidR="00FE6C6B">
        <w:rPr>
          <w:rFonts w:ascii="Georgia" w:hAnsi="Georgia"/>
        </w:rPr>
        <w:t>,</w:t>
      </w:r>
      <w:r w:rsidRPr="00310725">
        <w:rPr>
          <w:rFonts w:ascii="Georgia" w:hAnsi="Georgia"/>
        </w:rPr>
        <w:t xml:space="preserve"> </w:t>
      </w:r>
      <w:r w:rsidR="009E4CA0">
        <w:rPr>
          <w:rFonts w:ascii="Georgia" w:hAnsi="Georgia"/>
        </w:rPr>
        <w:t>în teorie</w:t>
      </w:r>
      <w:r w:rsidR="00FE6C6B">
        <w:rPr>
          <w:rFonts w:ascii="Georgia" w:hAnsi="Georgia"/>
        </w:rPr>
        <w:t>,</w:t>
      </w:r>
      <w:r w:rsidRPr="00310725">
        <w:rPr>
          <w:rFonts w:ascii="Georgia" w:hAnsi="Georgia"/>
        </w:rPr>
        <w:t xml:space="preserve"> imune la interferențe sau </w:t>
      </w:r>
      <w:r w:rsidR="0024018B">
        <w:rPr>
          <w:rFonts w:ascii="Georgia" w:hAnsi="Georgia"/>
        </w:rPr>
        <w:t>intruziuni</w:t>
      </w:r>
      <w:r w:rsidRPr="00310725">
        <w:rPr>
          <w:rFonts w:ascii="Georgia" w:hAnsi="Georgia"/>
        </w:rPr>
        <w:t xml:space="preserve"> </w:t>
      </w:r>
      <w:r w:rsidR="0024018B">
        <w:rPr>
          <w:rFonts w:ascii="Georgia" w:hAnsi="Georgia"/>
        </w:rPr>
        <w:t>arbitrare</w:t>
      </w:r>
      <w:r w:rsidRPr="00310725">
        <w:rPr>
          <w:rFonts w:ascii="Georgia" w:hAnsi="Georgia"/>
        </w:rPr>
        <w:t xml:space="preserve">. </w:t>
      </w:r>
      <w:r w:rsidR="009E4CA0">
        <w:rPr>
          <w:rFonts w:ascii="Georgia" w:hAnsi="Georgia"/>
        </w:rPr>
        <w:t xml:space="preserve">Personajele principale în </w:t>
      </w:r>
      <w:r w:rsidR="0024018B">
        <w:rPr>
          <w:rFonts w:ascii="Georgia" w:hAnsi="Georgia"/>
        </w:rPr>
        <w:t>sfera</w:t>
      </w:r>
      <w:r w:rsidR="009E4CA0">
        <w:rPr>
          <w:rFonts w:ascii="Georgia" w:hAnsi="Georgia"/>
        </w:rPr>
        <w:t xml:space="preserve"> </w:t>
      </w:r>
      <w:proofErr w:type="spellStart"/>
      <w:r w:rsidRPr="00310725">
        <w:rPr>
          <w:rFonts w:ascii="Georgia" w:hAnsi="Georgia"/>
        </w:rPr>
        <w:t>criptomonedelor</w:t>
      </w:r>
      <w:proofErr w:type="spellEnd"/>
      <w:r w:rsidRPr="00310725">
        <w:rPr>
          <w:rFonts w:ascii="Georgia" w:hAnsi="Georgia"/>
        </w:rPr>
        <w:t xml:space="preserve"> sunt</w:t>
      </w:r>
      <w:r w:rsidR="00FE6C6B">
        <w:rPr>
          <w:rFonts w:ascii="Georgia" w:hAnsi="Georgia"/>
        </w:rPr>
        <w:t>,</w:t>
      </w:r>
      <w:r w:rsidRPr="00310725">
        <w:rPr>
          <w:rFonts w:ascii="Georgia" w:hAnsi="Georgia"/>
        </w:rPr>
        <w:t xml:space="preserve"> </w:t>
      </w:r>
      <w:r w:rsidR="00245514">
        <w:rPr>
          <w:rFonts w:ascii="Georgia" w:hAnsi="Georgia"/>
        </w:rPr>
        <w:t>desigur</w:t>
      </w:r>
      <w:r w:rsidR="00FE6C6B">
        <w:rPr>
          <w:rFonts w:ascii="Georgia" w:hAnsi="Georgia"/>
        </w:rPr>
        <w:t>,</w:t>
      </w:r>
      <w:r w:rsidRPr="00310725">
        <w:rPr>
          <w:rFonts w:ascii="Georgia" w:hAnsi="Georgia"/>
        </w:rPr>
        <w:t xml:space="preserve"> </w:t>
      </w:r>
      <w:proofErr w:type="spellStart"/>
      <w:r w:rsidRPr="00310725">
        <w:rPr>
          <w:rFonts w:ascii="Georgia" w:hAnsi="Georgia"/>
        </w:rPr>
        <w:t>Bitcoin</w:t>
      </w:r>
      <w:proofErr w:type="spellEnd"/>
      <w:r w:rsidRPr="00310725">
        <w:rPr>
          <w:rFonts w:ascii="Georgia" w:hAnsi="Georgia"/>
        </w:rPr>
        <w:t xml:space="preserve"> și </w:t>
      </w:r>
      <w:proofErr w:type="spellStart"/>
      <w:r w:rsidRPr="00310725">
        <w:rPr>
          <w:rFonts w:ascii="Georgia" w:hAnsi="Georgia"/>
        </w:rPr>
        <w:t>Ethereum</w:t>
      </w:r>
      <w:proofErr w:type="spellEnd"/>
      <w:r w:rsidRPr="00310725">
        <w:rPr>
          <w:rFonts w:ascii="Georgia" w:hAnsi="Georgia"/>
        </w:rPr>
        <w:t>, care au căpătat multă popularitate</w:t>
      </w:r>
      <w:r w:rsidR="00245514">
        <w:rPr>
          <w:rFonts w:ascii="Georgia" w:hAnsi="Georgia"/>
        </w:rPr>
        <w:t xml:space="preserve"> și susținere</w:t>
      </w:r>
      <w:r w:rsidRPr="00310725">
        <w:rPr>
          <w:rFonts w:ascii="Georgia" w:hAnsi="Georgia"/>
        </w:rPr>
        <w:t xml:space="preserve"> în întreaga lume. </w:t>
      </w:r>
    </w:p>
    <w:p w:rsidR="00A42B19" w:rsidRDefault="00310725">
      <w:pPr>
        <w:rPr>
          <w:rFonts w:ascii="Georgia" w:hAnsi="Georgia"/>
        </w:rPr>
      </w:pPr>
      <w:r w:rsidRPr="00310725">
        <w:rPr>
          <w:rFonts w:ascii="Georgia" w:hAnsi="Georgia"/>
        </w:rPr>
        <w:t>Cu toate acestea, v</w:t>
      </w:r>
      <w:r w:rsidR="00245514">
        <w:rPr>
          <w:rFonts w:ascii="Georgia" w:hAnsi="Georgia"/>
        </w:rPr>
        <w:t>olatilitatea</w:t>
      </w:r>
      <w:r w:rsidRPr="00310725">
        <w:rPr>
          <w:rFonts w:ascii="Georgia" w:hAnsi="Georgia"/>
        </w:rPr>
        <w:t xml:space="preserve"> </w:t>
      </w:r>
      <w:r w:rsidR="00FE6C6B">
        <w:rPr>
          <w:rFonts w:ascii="Georgia" w:hAnsi="Georgia"/>
        </w:rPr>
        <w:t>specific</w:t>
      </w:r>
      <w:r w:rsidR="00942086">
        <w:rPr>
          <w:rFonts w:ascii="Georgia" w:hAnsi="Georgia"/>
        </w:rPr>
        <w:t>ă i</w:t>
      </w:r>
      <w:r w:rsidR="00245514">
        <w:rPr>
          <w:rFonts w:ascii="Georgia" w:hAnsi="Georgia"/>
        </w:rPr>
        <w:t>ndustriei cripto</w:t>
      </w:r>
      <w:r w:rsidR="00FE6C6B">
        <w:rPr>
          <w:rFonts w:ascii="Georgia" w:hAnsi="Georgia"/>
        </w:rPr>
        <w:t xml:space="preserve"> țin</w:t>
      </w:r>
      <w:r w:rsidR="00942086">
        <w:rPr>
          <w:rFonts w:ascii="Georgia" w:hAnsi="Georgia"/>
        </w:rPr>
        <w:t>e</w:t>
      </w:r>
      <w:r w:rsidRPr="00310725">
        <w:rPr>
          <w:rFonts w:ascii="Georgia" w:hAnsi="Georgia"/>
        </w:rPr>
        <w:t xml:space="preserve"> </w:t>
      </w:r>
      <w:r w:rsidR="00245514">
        <w:rPr>
          <w:rFonts w:ascii="Georgia" w:hAnsi="Georgia"/>
        </w:rPr>
        <w:t xml:space="preserve">în tensiune continuă </w:t>
      </w:r>
      <w:r w:rsidRPr="00310725">
        <w:rPr>
          <w:rFonts w:ascii="Georgia" w:hAnsi="Georgia"/>
        </w:rPr>
        <w:t>participanți</w:t>
      </w:r>
      <w:r w:rsidR="00245514">
        <w:rPr>
          <w:rFonts w:ascii="Georgia" w:hAnsi="Georgia"/>
        </w:rPr>
        <w:t>i</w:t>
      </w:r>
      <w:r w:rsidRPr="00310725">
        <w:rPr>
          <w:rFonts w:ascii="Georgia" w:hAnsi="Georgia"/>
        </w:rPr>
        <w:t>, observatori</w:t>
      </w:r>
      <w:r w:rsidR="00245514">
        <w:rPr>
          <w:rFonts w:ascii="Georgia" w:hAnsi="Georgia"/>
        </w:rPr>
        <w:t>i</w:t>
      </w:r>
      <w:r w:rsidRPr="00310725">
        <w:rPr>
          <w:rFonts w:ascii="Georgia" w:hAnsi="Georgia"/>
        </w:rPr>
        <w:t xml:space="preserve"> și autoritățile de reglementare. </w:t>
      </w:r>
      <w:r w:rsidR="00245514">
        <w:rPr>
          <w:rFonts w:ascii="Georgia" w:hAnsi="Georgia"/>
        </w:rPr>
        <w:t xml:space="preserve">Un exemplu elocvent îl reprezintă </w:t>
      </w:r>
      <w:r w:rsidRPr="00310725">
        <w:rPr>
          <w:rFonts w:ascii="Georgia" w:hAnsi="Georgia"/>
        </w:rPr>
        <w:t>prăbușirea</w:t>
      </w:r>
      <w:r w:rsidR="00102E0A">
        <w:rPr>
          <w:rStyle w:val="FootnoteReference"/>
          <w:rFonts w:ascii="Georgia" w:hAnsi="Georgia"/>
        </w:rPr>
        <w:footnoteReference w:id="3"/>
      </w:r>
      <w:r w:rsidRPr="00310725">
        <w:rPr>
          <w:rFonts w:ascii="Georgia" w:hAnsi="Georgia"/>
        </w:rPr>
        <w:t xml:space="preserve"> bursei de </w:t>
      </w:r>
      <w:proofErr w:type="spellStart"/>
      <w:r w:rsidRPr="00310725">
        <w:rPr>
          <w:rFonts w:ascii="Georgia" w:hAnsi="Georgia"/>
        </w:rPr>
        <w:t>criptomonede</w:t>
      </w:r>
      <w:proofErr w:type="spellEnd"/>
      <w:r w:rsidRPr="00310725">
        <w:rPr>
          <w:rFonts w:ascii="Georgia" w:hAnsi="Georgia"/>
        </w:rPr>
        <w:t xml:space="preserve"> FTX, </w:t>
      </w:r>
      <w:r w:rsidR="00942086">
        <w:rPr>
          <w:rFonts w:ascii="Georgia" w:hAnsi="Georgia"/>
        </w:rPr>
        <w:t xml:space="preserve">eveniment </w:t>
      </w:r>
      <w:r w:rsidR="00245514">
        <w:rPr>
          <w:rFonts w:ascii="Georgia" w:hAnsi="Georgia"/>
        </w:rPr>
        <w:t>care</w:t>
      </w:r>
      <w:r w:rsidR="00942086">
        <w:rPr>
          <w:rFonts w:ascii="Georgia" w:hAnsi="Georgia"/>
        </w:rPr>
        <w:t>,</w:t>
      </w:r>
      <w:r w:rsidR="00245514">
        <w:rPr>
          <w:rFonts w:ascii="Georgia" w:hAnsi="Georgia"/>
        </w:rPr>
        <w:t xml:space="preserve"> </w:t>
      </w:r>
      <w:r w:rsidR="00942086">
        <w:rPr>
          <w:rFonts w:ascii="Georgia" w:hAnsi="Georgia"/>
        </w:rPr>
        <w:t xml:space="preserve">fără îndoială, </w:t>
      </w:r>
      <w:r w:rsidRPr="00310725">
        <w:rPr>
          <w:rFonts w:ascii="Georgia" w:hAnsi="Georgia"/>
        </w:rPr>
        <w:t xml:space="preserve">a </w:t>
      </w:r>
      <w:r w:rsidR="00942086">
        <w:rPr>
          <w:rFonts w:ascii="Georgia" w:hAnsi="Georgia"/>
        </w:rPr>
        <w:t xml:space="preserve">accentuat </w:t>
      </w:r>
      <w:r w:rsidRPr="00310725">
        <w:rPr>
          <w:rFonts w:ascii="Georgia" w:hAnsi="Georgia"/>
        </w:rPr>
        <w:t xml:space="preserve">ideea că spațiul cripto </w:t>
      </w:r>
      <w:r w:rsidR="00FE6C6B">
        <w:rPr>
          <w:rFonts w:ascii="Georgia" w:hAnsi="Georgia"/>
        </w:rPr>
        <w:t>ar putea fi p</w:t>
      </w:r>
      <w:r w:rsidR="00942086">
        <w:rPr>
          <w:rFonts w:ascii="Georgia" w:hAnsi="Georgia"/>
        </w:rPr>
        <w:t>erceput</w:t>
      </w:r>
      <w:r w:rsidR="00FE6C6B">
        <w:rPr>
          <w:rFonts w:ascii="Georgia" w:hAnsi="Georgia"/>
        </w:rPr>
        <w:t xml:space="preserve"> ca </w:t>
      </w:r>
      <w:r w:rsidRPr="00310725">
        <w:rPr>
          <w:rFonts w:ascii="Georgia" w:hAnsi="Georgia"/>
        </w:rPr>
        <w:t xml:space="preserve">efemer și </w:t>
      </w:r>
      <w:r w:rsidR="00102E0A">
        <w:rPr>
          <w:rFonts w:ascii="Georgia" w:hAnsi="Georgia"/>
        </w:rPr>
        <w:t>nesigur</w:t>
      </w:r>
      <w:r w:rsidRPr="00310725">
        <w:rPr>
          <w:rFonts w:ascii="Georgia" w:hAnsi="Georgia"/>
        </w:rPr>
        <w:t>.</w:t>
      </w:r>
    </w:p>
    <w:p w:rsidR="00E77F31" w:rsidRPr="00E77F31" w:rsidRDefault="00FE6C6B" w:rsidP="00E77F31">
      <w:pPr>
        <w:rPr>
          <w:rFonts w:ascii="Georgia" w:hAnsi="Georgia"/>
        </w:rPr>
      </w:pPr>
      <w:r w:rsidRPr="0067728B">
        <w:rPr>
          <w:rFonts w:ascii="Georgia" w:hAnsi="Georgia"/>
        </w:rPr>
        <w:t>În acest sens</w:t>
      </w:r>
      <w:r w:rsidR="00E77F31" w:rsidRPr="0067728B">
        <w:rPr>
          <w:rFonts w:ascii="Georgia" w:hAnsi="Georgia"/>
        </w:rPr>
        <w:t xml:space="preserve">, </w:t>
      </w:r>
      <w:r w:rsidR="005609E2">
        <w:rPr>
          <w:rFonts w:ascii="Georgia" w:hAnsi="Georgia"/>
        </w:rPr>
        <w:t>se cristalizează ideea potrivit căreia</w:t>
      </w:r>
      <w:r w:rsidR="0067728B" w:rsidRPr="0067728B">
        <w:rPr>
          <w:rFonts w:ascii="Georgia" w:hAnsi="Georgia"/>
        </w:rPr>
        <w:t xml:space="preserve"> </w:t>
      </w:r>
      <w:r w:rsidR="005609E2">
        <w:rPr>
          <w:rFonts w:ascii="Georgia" w:hAnsi="Georgia"/>
        </w:rPr>
        <w:t xml:space="preserve">există o </w:t>
      </w:r>
      <w:r w:rsidR="00E77F31" w:rsidRPr="0067728B">
        <w:rPr>
          <w:rFonts w:ascii="Georgia" w:hAnsi="Georgia"/>
        </w:rPr>
        <w:t>nevoi</w:t>
      </w:r>
      <w:r w:rsidR="0067728B" w:rsidRPr="0067728B">
        <w:rPr>
          <w:rFonts w:ascii="Georgia" w:hAnsi="Georgia"/>
        </w:rPr>
        <w:t>e</w:t>
      </w:r>
      <w:r w:rsidR="00E77F31" w:rsidRPr="0067728B">
        <w:rPr>
          <w:rFonts w:ascii="Georgia" w:hAnsi="Georgia"/>
        </w:rPr>
        <w:t xml:space="preserve"> </w:t>
      </w:r>
      <w:r w:rsidR="0067728B" w:rsidRPr="0067728B">
        <w:rPr>
          <w:rFonts w:ascii="Georgia" w:hAnsi="Georgia"/>
        </w:rPr>
        <w:t>semnificativă</w:t>
      </w:r>
      <w:r w:rsidR="00E77F31" w:rsidRPr="0067728B">
        <w:rPr>
          <w:rFonts w:ascii="Georgia" w:hAnsi="Georgia"/>
        </w:rPr>
        <w:t xml:space="preserve"> </w:t>
      </w:r>
      <w:r w:rsidR="005609E2">
        <w:rPr>
          <w:rFonts w:ascii="Georgia" w:hAnsi="Georgia"/>
        </w:rPr>
        <w:t>c</w:t>
      </w:r>
      <w:r w:rsidR="0067728B">
        <w:rPr>
          <w:rFonts w:ascii="Georgia" w:hAnsi="Georgia"/>
        </w:rPr>
        <w:t>a industri</w:t>
      </w:r>
      <w:r w:rsidR="005609E2">
        <w:rPr>
          <w:rFonts w:ascii="Georgia" w:hAnsi="Georgia"/>
        </w:rPr>
        <w:t>a</w:t>
      </w:r>
      <w:r w:rsidR="0067728B">
        <w:rPr>
          <w:rFonts w:ascii="Georgia" w:hAnsi="Georgia"/>
        </w:rPr>
        <w:t xml:space="preserve"> cripto </w:t>
      </w:r>
      <w:r w:rsidR="005609E2">
        <w:rPr>
          <w:rFonts w:ascii="Georgia" w:hAnsi="Georgia"/>
        </w:rPr>
        <w:t>să</w:t>
      </w:r>
      <w:r w:rsidR="00E77F31" w:rsidRPr="0067728B">
        <w:rPr>
          <w:rFonts w:ascii="Georgia" w:hAnsi="Georgia"/>
        </w:rPr>
        <w:t xml:space="preserve"> reconstru</w:t>
      </w:r>
      <w:bookmarkStart w:id="0" w:name="_GoBack"/>
      <w:bookmarkEnd w:id="0"/>
      <w:r w:rsidR="00E77F31" w:rsidRPr="0067728B">
        <w:rPr>
          <w:rFonts w:ascii="Georgia" w:hAnsi="Georgia"/>
        </w:rPr>
        <w:t>i</w:t>
      </w:r>
      <w:r w:rsidR="005609E2">
        <w:rPr>
          <w:rFonts w:ascii="Georgia" w:hAnsi="Georgia"/>
        </w:rPr>
        <w:t>ască</w:t>
      </w:r>
      <w:r w:rsidR="00E77F31" w:rsidRPr="0067728B">
        <w:rPr>
          <w:rFonts w:ascii="Georgia" w:hAnsi="Georgia"/>
        </w:rPr>
        <w:t xml:space="preserve"> încreder</w:t>
      </w:r>
      <w:r w:rsidR="005609E2">
        <w:rPr>
          <w:rFonts w:ascii="Georgia" w:hAnsi="Georgia"/>
        </w:rPr>
        <w:t>ea</w:t>
      </w:r>
      <w:r w:rsidR="00E77F31" w:rsidRPr="0067728B">
        <w:rPr>
          <w:rFonts w:ascii="Georgia" w:hAnsi="Georgia"/>
        </w:rPr>
        <w:t xml:space="preserve"> oamenilor, </w:t>
      </w:r>
      <w:r w:rsidR="005609E2">
        <w:rPr>
          <w:rFonts w:ascii="Georgia" w:hAnsi="Georgia"/>
        </w:rPr>
        <w:t>în scopul de a permite</w:t>
      </w:r>
      <w:r w:rsidR="00E77F31" w:rsidRPr="0067728B">
        <w:rPr>
          <w:rFonts w:ascii="Georgia" w:hAnsi="Georgia"/>
        </w:rPr>
        <w:t xml:space="preserve"> </w:t>
      </w:r>
      <w:r w:rsidR="005609E2">
        <w:rPr>
          <w:rFonts w:ascii="Georgia" w:hAnsi="Georgia"/>
        </w:rPr>
        <w:t>aspectelor</w:t>
      </w:r>
      <w:r w:rsidR="000D2A5F" w:rsidRPr="0067728B">
        <w:rPr>
          <w:rFonts w:ascii="Georgia" w:hAnsi="Georgia"/>
        </w:rPr>
        <w:t xml:space="preserve"> pozitiv</w:t>
      </w:r>
      <w:r w:rsidR="0067728B">
        <w:rPr>
          <w:rFonts w:ascii="Georgia" w:hAnsi="Georgia"/>
        </w:rPr>
        <w:t>e</w:t>
      </w:r>
      <w:r w:rsidR="000D2A5F" w:rsidRPr="0067728B">
        <w:rPr>
          <w:rFonts w:ascii="Georgia" w:hAnsi="Georgia"/>
        </w:rPr>
        <w:t xml:space="preserve"> </w:t>
      </w:r>
      <w:r w:rsidR="0067728B">
        <w:rPr>
          <w:rFonts w:ascii="Georgia" w:hAnsi="Georgia"/>
        </w:rPr>
        <w:t xml:space="preserve">aferente </w:t>
      </w:r>
      <w:r w:rsidR="00E77F31" w:rsidRPr="0067728B">
        <w:rPr>
          <w:rFonts w:ascii="Georgia" w:hAnsi="Georgia"/>
        </w:rPr>
        <w:t xml:space="preserve">să </w:t>
      </w:r>
      <w:r w:rsidR="005609E2">
        <w:rPr>
          <w:rFonts w:ascii="Georgia" w:hAnsi="Georgia"/>
        </w:rPr>
        <w:t>înlăture</w:t>
      </w:r>
      <w:r w:rsidR="0067728B">
        <w:rPr>
          <w:rFonts w:ascii="Georgia" w:hAnsi="Georgia"/>
        </w:rPr>
        <w:t xml:space="preserve"> </w:t>
      </w:r>
      <w:r w:rsidR="00E77F31" w:rsidRPr="0067728B">
        <w:rPr>
          <w:rFonts w:ascii="Georgia" w:hAnsi="Georgia"/>
        </w:rPr>
        <w:t xml:space="preserve">bulele speculative </w:t>
      </w:r>
      <w:r w:rsidR="0067728B">
        <w:rPr>
          <w:rFonts w:ascii="Georgia" w:hAnsi="Georgia"/>
        </w:rPr>
        <w:t>existente</w:t>
      </w:r>
      <w:r w:rsidR="00E77F31" w:rsidRPr="0067728B">
        <w:rPr>
          <w:rFonts w:ascii="Georgia" w:hAnsi="Georgia"/>
        </w:rPr>
        <w:t>.</w:t>
      </w:r>
    </w:p>
    <w:p w:rsidR="00F21ED0" w:rsidRPr="00F21ED0" w:rsidRDefault="00E77F31" w:rsidP="00E77F31">
      <w:pPr>
        <w:rPr>
          <w:rFonts w:ascii="Georgia" w:hAnsi="Georgia"/>
        </w:rPr>
      </w:pPr>
      <w:r w:rsidRPr="00E77F31">
        <w:rPr>
          <w:rFonts w:ascii="Georgia" w:hAnsi="Georgia"/>
        </w:rPr>
        <w:t xml:space="preserve">Trebuie remarcat faptul </w:t>
      </w:r>
      <w:r w:rsidRPr="0067728B">
        <w:rPr>
          <w:rFonts w:ascii="Georgia" w:hAnsi="Georgia"/>
        </w:rPr>
        <w:t xml:space="preserve">că </w:t>
      </w:r>
      <w:r w:rsidR="0067728B">
        <w:rPr>
          <w:rFonts w:ascii="Georgia" w:hAnsi="Georgia"/>
        </w:rPr>
        <w:t>sistemele</w:t>
      </w:r>
      <w:r w:rsidRPr="0067728B">
        <w:rPr>
          <w:rFonts w:ascii="Georgia" w:hAnsi="Georgia"/>
        </w:rPr>
        <w:t xml:space="preserve"> de monedă virtuală se află în atenția</w:t>
      </w:r>
      <w:r w:rsidRPr="00E77F31">
        <w:rPr>
          <w:rFonts w:ascii="Georgia" w:hAnsi="Georgia"/>
        </w:rPr>
        <w:t xml:space="preserve"> autorităților și instituțiilor, cum ar fi Banca Centrală Europeană (denumită în continuare "</w:t>
      </w:r>
      <w:r w:rsidRPr="000D2A5F">
        <w:rPr>
          <w:rFonts w:ascii="Georgia" w:hAnsi="Georgia"/>
          <w:b/>
        </w:rPr>
        <w:t>BCE</w:t>
      </w:r>
      <w:r w:rsidRPr="00E77F31">
        <w:rPr>
          <w:rFonts w:ascii="Georgia" w:hAnsi="Georgia"/>
        </w:rPr>
        <w:t xml:space="preserve">"), încă din 2011, când BCE a început să analizeze apariția </w:t>
      </w:r>
      <w:r w:rsidR="0067728B">
        <w:rPr>
          <w:rFonts w:ascii="Georgia" w:hAnsi="Georgia"/>
        </w:rPr>
        <w:t>acestor sisteme</w:t>
      </w:r>
      <w:r w:rsidRPr="00E77F31">
        <w:rPr>
          <w:rFonts w:ascii="Georgia" w:hAnsi="Georgia"/>
        </w:rPr>
        <w:t xml:space="preserve">, anticipând </w:t>
      </w:r>
      <w:r w:rsidR="0067728B">
        <w:rPr>
          <w:rFonts w:ascii="Georgia" w:hAnsi="Georgia"/>
        </w:rPr>
        <w:t>creșterea atenției din</w:t>
      </w:r>
      <w:r w:rsidRPr="00E77F31">
        <w:rPr>
          <w:rFonts w:ascii="Georgia" w:hAnsi="Georgia"/>
        </w:rPr>
        <w:t xml:space="preserve"> media</w:t>
      </w:r>
      <w:r w:rsidR="000D2A5F">
        <w:rPr>
          <w:rFonts w:ascii="Georgia" w:hAnsi="Georgia"/>
        </w:rPr>
        <w:t>, precum</w:t>
      </w:r>
      <w:r w:rsidRPr="00E77F31">
        <w:rPr>
          <w:rFonts w:ascii="Georgia" w:hAnsi="Georgia"/>
        </w:rPr>
        <w:t xml:space="preserve"> și ca răspuns la solicitările publicului, ale presei și ale autorităților publice.</w:t>
      </w:r>
    </w:p>
    <w:p w:rsidR="00F21ED0" w:rsidRPr="00F21ED0" w:rsidRDefault="000D2A5F" w:rsidP="00F21ED0">
      <w:pPr>
        <w:rPr>
          <w:rFonts w:ascii="Georgia" w:hAnsi="Georgia"/>
        </w:rPr>
      </w:pPr>
      <w:r w:rsidRPr="000D2A5F">
        <w:rPr>
          <w:rFonts w:ascii="Georgia" w:hAnsi="Georgia"/>
        </w:rPr>
        <w:t xml:space="preserve">Evaluarea </w:t>
      </w:r>
      <w:r w:rsidR="005609E2">
        <w:rPr>
          <w:rFonts w:ascii="Georgia" w:hAnsi="Georgia"/>
        </w:rPr>
        <w:t xml:space="preserve">desfășurată de </w:t>
      </w:r>
      <w:r w:rsidRPr="000D2A5F">
        <w:rPr>
          <w:rFonts w:ascii="Georgia" w:hAnsi="Georgia"/>
        </w:rPr>
        <w:t xml:space="preserve">BCE a </w:t>
      </w:r>
      <w:r>
        <w:rPr>
          <w:rFonts w:ascii="Georgia" w:hAnsi="Georgia"/>
        </w:rPr>
        <w:t>con</w:t>
      </w:r>
      <w:r w:rsidRPr="000D2A5F">
        <w:rPr>
          <w:rFonts w:ascii="Georgia" w:hAnsi="Georgia"/>
        </w:rPr>
        <w:t xml:space="preserve">dus la publicarea mai multor rapoarte </w:t>
      </w:r>
      <w:r w:rsidRPr="00421A56">
        <w:rPr>
          <w:rFonts w:ascii="Georgia" w:hAnsi="Georgia"/>
        </w:rPr>
        <w:t xml:space="preserve">privind sistemele de monedă virtuală, </w:t>
      </w:r>
      <w:r w:rsidR="00421A56">
        <w:rPr>
          <w:rFonts w:ascii="Georgia" w:hAnsi="Georgia"/>
        </w:rPr>
        <w:t xml:space="preserve">care au reținut </w:t>
      </w:r>
      <w:r w:rsidRPr="00421A56">
        <w:rPr>
          <w:rFonts w:ascii="Georgia" w:hAnsi="Georgia"/>
        </w:rPr>
        <w:t>c</w:t>
      </w:r>
      <w:r w:rsidRPr="000D2A5F">
        <w:rPr>
          <w:rFonts w:ascii="Georgia" w:hAnsi="Georgia"/>
        </w:rPr>
        <w:t>oncluzi</w:t>
      </w:r>
      <w:r w:rsidR="005609E2">
        <w:rPr>
          <w:rFonts w:ascii="Georgia" w:hAnsi="Georgia"/>
        </w:rPr>
        <w:t>a</w:t>
      </w:r>
      <w:r w:rsidRPr="000D2A5F">
        <w:rPr>
          <w:rFonts w:ascii="Georgia" w:hAnsi="Georgia"/>
        </w:rPr>
        <w:t xml:space="preserve"> generală că, deși </w:t>
      </w:r>
      <w:r w:rsidRPr="00421A56">
        <w:rPr>
          <w:rFonts w:ascii="Georgia" w:hAnsi="Georgia"/>
        </w:rPr>
        <w:t>sistemele de monedă virtuală</w:t>
      </w:r>
      <w:r w:rsidRPr="000D2A5F">
        <w:rPr>
          <w:rFonts w:ascii="Georgia" w:hAnsi="Georgia"/>
        </w:rPr>
        <w:t xml:space="preserve"> "</w:t>
      </w:r>
      <w:r w:rsidRPr="000D2A5F">
        <w:rPr>
          <w:rFonts w:ascii="Georgia" w:hAnsi="Georgia"/>
          <w:i/>
        </w:rPr>
        <w:t>pot avea aspecte pozitive în ceea ce privește inovarea financiară și oferirea de alternative suplimentare de plată pentru consumator</w:t>
      </w:r>
      <w:r w:rsidRPr="000D2A5F">
        <w:rPr>
          <w:rFonts w:ascii="Georgia" w:hAnsi="Georgia"/>
        </w:rPr>
        <w:t>i", acestea implică și riscuri. De asemenea, BCE a susținut că "</w:t>
      </w:r>
      <w:r w:rsidRPr="000D2A5F">
        <w:rPr>
          <w:rFonts w:ascii="Georgia" w:hAnsi="Georgia"/>
          <w:i/>
        </w:rPr>
        <w:t>în ceea ce privește sarcinile băncilor centrale, cum ar fi asigurarea stabilității prețurilor și a stabilității financiare, materializarea acestor riscuri depinde de volumul emis, de legătura cu economia reală, de volumul tranzacționat și de acceptarea de către utilizatori</w:t>
      </w:r>
      <w:r>
        <w:rPr>
          <w:rFonts w:ascii="Georgia" w:hAnsi="Georgia"/>
        </w:rPr>
        <w:t>"</w:t>
      </w:r>
      <w:r w:rsidR="00421A56">
        <w:rPr>
          <w:rStyle w:val="FootnoteReference"/>
          <w:rFonts w:ascii="Georgia" w:hAnsi="Georgia"/>
        </w:rPr>
        <w:footnoteReference w:id="4"/>
      </w:r>
      <w:r>
        <w:rPr>
          <w:rFonts w:ascii="Georgia" w:hAnsi="Georgia"/>
        </w:rPr>
        <w:t>.</w:t>
      </w:r>
    </w:p>
    <w:p w:rsidR="000D2A5F" w:rsidRPr="000D2A5F" w:rsidRDefault="001B32F2" w:rsidP="000D2A5F">
      <w:pPr>
        <w:rPr>
          <w:rFonts w:ascii="Georgia" w:hAnsi="Georgia"/>
        </w:rPr>
      </w:pPr>
      <w:r>
        <w:rPr>
          <w:rFonts w:ascii="Georgia" w:hAnsi="Georgia"/>
        </w:rPr>
        <w:t>Subliniem faptul</w:t>
      </w:r>
      <w:r w:rsidR="00421A56">
        <w:rPr>
          <w:rFonts w:ascii="Georgia" w:hAnsi="Georgia"/>
        </w:rPr>
        <w:t xml:space="preserve"> că</w:t>
      </w:r>
      <w:r>
        <w:rPr>
          <w:rFonts w:ascii="Georgia" w:hAnsi="Georgia"/>
        </w:rPr>
        <w:t>,</w:t>
      </w:r>
      <w:r w:rsidR="00421A56">
        <w:rPr>
          <w:rFonts w:ascii="Georgia" w:hAnsi="Georgia"/>
        </w:rPr>
        <w:t xml:space="preserve"> î</w:t>
      </w:r>
      <w:r w:rsidR="000D2A5F" w:rsidRPr="000D2A5F">
        <w:rPr>
          <w:rFonts w:ascii="Georgia" w:hAnsi="Georgia"/>
        </w:rPr>
        <w:t xml:space="preserve">n România, </w:t>
      </w:r>
      <w:r w:rsidR="000D2A5F">
        <w:rPr>
          <w:rFonts w:ascii="Georgia" w:hAnsi="Georgia"/>
        </w:rPr>
        <w:t xml:space="preserve">ca regulă, </w:t>
      </w:r>
      <w:r w:rsidR="00421A56">
        <w:rPr>
          <w:rFonts w:ascii="Georgia" w:hAnsi="Georgia"/>
        </w:rPr>
        <w:t xml:space="preserve">poziția </w:t>
      </w:r>
      <w:r w:rsidR="000D2A5F" w:rsidRPr="000D2A5F">
        <w:rPr>
          <w:rFonts w:ascii="Georgia" w:hAnsi="Georgia"/>
        </w:rPr>
        <w:t>Bănc</w:t>
      </w:r>
      <w:r w:rsidR="00421A56">
        <w:rPr>
          <w:rFonts w:ascii="Georgia" w:hAnsi="Georgia"/>
        </w:rPr>
        <w:t>ii</w:t>
      </w:r>
      <w:r w:rsidR="000D2A5F" w:rsidRPr="000D2A5F">
        <w:rPr>
          <w:rFonts w:ascii="Georgia" w:hAnsi="Georgia"/>
        </w:rPr>
        <w:t xml:space="preserve"> Național</w:t>
      </w:r>
      <w:r w:rsidR="00421A56">
        <w:rPr>
          <w:rFonts w:ascii="Georgia" w:hAnsi="Georgia"/>
        </w:rPr>
        <w:t>e</w:t>
      </w:r>
      <w:r w:rsidR="000D2A5F" w:rsidRPr="000D2A5F">
        <w:rPr>
          <w:rFonts w:ascii="Georgia" w:hAnsi="Georgia"/>
        </w:rPr>
        <w:t xml:space="preserve"> a României </w:t>
      </w:r>
      <w:r w:rsidR="00421A56">
        <w:rPr>
          <w:rFonts w:ascii="Georgia" w:hAnsi="Georgia"/>
        </w:rPr>
        <w:t>a urmat</w:t>
      </w:r>
      <w:r w:rsidR="000D2A5F" w:rsidRPr="000D2A5F">
        <w:rPr>
          <w:rFonts w:ascii="Georgia" w:hAnsi="Georgia"/>
        </w:rPr>
        <w:t xml:space="preserve"> abordarea</w:t>
      </w:r>
      <w:r w:rsidR="000D2A5F">
        <w:rPr>
          <w:rFonts w:ascii="Georgia" w:hAnsi="Georgia"/>
        </w:rPr>
        <w:t xml:space="preserve"> </w:t>
      </w:r>
      <w:r w:rsidR="000D2A5F" w:rsidRPr="000D2A5F">
        <w:rPr>
          <w:rFonts w:ascii="Georgia" w:hAnsi="Georgia"/>
        </w:rPr>
        <w:t xml:space="preserve">BCE. </w:t>
      </w:r>
    </w:p>
    <w:p w:rsidR="00F21ED0" w:rsidRDefault="000D2A5F" w:rsidP="000D2A5F">
      <w:pPr>
        <w:rPr>
          <w:rFonts w:ascii="Georgia" w:hAnsi="Georgia"/>
        </w:rPr>
      </w:pPr>
      <w:r w:rsidRPr="000D2A5F">
        <w:rPr>
          <w:rFonts w:ascii="Georgia" w:hAnsi="Georgia"/>
        </w:rPr>
        <w:t xml:space="preserve">La nivel european, </w:t>
      </w:r>
      <w:r>
        <w:rPr>
          <w:rFonts w:ascii="Georgia" w:hAnsi="Georgia"/>
        </w:rPr>
        <w:t xml:space="preserve">însă, </w:t>
      </w:r>
      <w:r w:rsidRPr="000D2A5F">
        <w:rPr>
          <w:rFonts w:ascii="Georgia" w:hAnsi="Georgia"/>
        </w:rPr>
        <w:t xml:space="preserve">UE a făcut deja pași importanți pentru a </w:t>
      </w:r>
      <w:r w:rsidR="004802C7">
        <w:rPr>
          <w:rFonts w:ascii="Georgia" w:hAnsi="Georgia"/>
        </w:rPr>
        <w:t>împiedica producerea</w:t>
      </w:r>
      <w:r w:rsidRPr="000D2A5F">
        <w:rPr>
          <w:rFonts w:ascii="Georgia" w:hAnsi="Georgia"/>
        </w:rPr>
        <w:t xml:space="preserve"> </w:t>
      </w:r>
      <w:r w:rsidR="004802C7">
        <w:rPr>
          <w:rFonts w:ascii="Georgia" w:hAnsi="Georgia"/>
        </w:rPr>
        <w:t xml:space="preserve">unor prejudicii care ar putea fi </w:t>
      </w:r>
      <w:r w:rsidRPr="000D2A5F">
        <w:rPr>
          <w:rFonts w:ascii="Georgia" w:hAnsi="Georgia"/>
        </w:rPr>
        <w:t>cauzate de escrocherii</w:t>
      </w:r>
      <w:r w:rsidR="004802C7">
        <w:rPr>
          <w:rFonts w:ascii="Georgia" w:hAnsi="Georgia"/>
        </w:rPr>
        <w:t xml:space="preserve"> în spațiul cripto, </w:t>
      </w:r>
      <w:r w:rsidRPr="000D2A5F">
        <w:rPr>
          <w:rFonts w:ascii="Georgia" w:hAnsi="Georgia"/>
        </w:rPr>
        <w:t>prin crearea unui act normativ uniform (</w:t>
      </w:r>
      <w:r w:rsidR="00421A56" w:rsidRPr="00421A56">
        <w:rPr>
          <w:rFonts w:ascii="Georgia" w:hAnsi="Georgia"/>
          <w:i/>
        </w:rPr>
        <w:t>i.e.</w:t>
      </w:r>
      <w:r w:rsidR="00421A56">
        <w:rPr>
          <w:rFonts w:ascii="Georgia" w:hAnsi="Georgia"/>
        </w:rPr>
        <w:t>,</w:t>
      </w:r>
      <w:r w:rsidRPr="000D2A5F">
        <w:rPr>
          <w:rFonts w:ascii="Georgia" w:hAnsi="Georgia"/>
        </w:rPr>
        <w:t xml:space="preserve"> </w:t>
      </w:r>
      <w:r w:rsidRPr="00421A56">
        <w:rPr>
          <w:rFonts w:ascii="Georgia" w:hAnsi="Georgia"/>
        </w:rPr>
        <w:t xml:space="preserve">Regulamentul </w:t>
      </w:r>
      <w:proofErr w:type="spellStart"/>
      <w:r w:rsidRPr="00421A56">
        <w:rPr>
          <w:rFonts w:ascii="Georgia" w:hAnsi="Georgia"/>
        </w:rPr>
        <w:t>MiCA</w:t>
      </w:r>
      <w:proofErr w:type="spellEnd"/>
      <w:r w:rsidRPr="000D2A5F">
        <w:rPr>
          <w:rFonts w:ascii="Georgia" w:hAnsi="Georgia"/>
        </w:rPr>
        <w:t xml:space="preserve">), care va fi aplicabil tuturor statelor membre ale UE. Cu toate acestea, </w:t>
      </w:r>
      <w:r w:rsidR="004802C7">
        <w:rPr>
          <w:rFonts w:ascii="Georgia" w:hAnsi="Georgia"/>
        </w:rPr>
        <w:t>deși</w:t>
      </w:r>
      <w:r w:rsidRPr="000D2A5F">
        <w:rPr>
          <w:rFonts w:ascii="Georgia" w:hAnsi="Georgia"/>
        </w:rPr>
        <w:t xml:space="preserve"> existau mari așteptări din partea </w:t>
      </w:r>
      <w:r w:rsidR="004802C7">
        <w:rPr>
          <w:rFonts w:ascii="Georgia" w:hAnsi="Georgia"/>
        </w:rPr>
        <w:t>susținătorilor</w:t>
      </w:r>
      <w:r w:rsidRPr="000D2A5F">
        <w:rPr>
          <w:rFonts w:ascii="Georgia" w:hAnsi="Georgia"/>
        </w:rPr>
        <w:t xml:space="preserve"> </w:t>
      </w:r>
      <w:r w:rsidR="00421A56">
        <w:rPr>
          <w:rFonts w:ascii="Georgia" w:hAnsi="Georgia"/>
        </w:rPr>
        <w:t>ca</w:t>
      </w:r>
      <w:r w:rsidRPr="000D2A5F">
        <w:rPr>
          <w:rFonts w:ascii="Georgia" w:hAnsi="Georgia"/>
        </w:rPr>
        <w:t xml:space="preserve"> Regulamentul MiCA să fie votat de Parlamentul European în luna februarie</w:t>
      </w:r>
      <w:r w:rsidR="00421A56">
        <w:rPr>
          <w:rFonts w:ascii="Georgia" w:hAnsi="Georgia"/>
        </w:rPr>
        <w:t xml:space="preserve"> a acestui an</w:t>
      </w:r>
      <w:r w:rsidRPr="000D2A5F">
        <w:rPr>
          <w:rFonts w:ascii="Georgia" w:hAnsi="Georgia"/>
        </w:rPr>
        <w:t xml:space="preserve">, potrivit ultimelor știri, se pare că votul </w:t>
      </w:r>
      <w:r w:rsidR="004802C7">
        <w:rPr>
          <w:rFonts w:ascii="Georgia" w:hAnsi="Georgia"/>
        </w:rPr>
        <w:lastRenderedPageBreak/>
        <w:t xml:space="preserve">Parlamentului European </w:t>
      </w:r>
      <w:r w:rsidRPr="000D2A5F">
        <w:rPr>
          <w:rFonts w:ascii="Georgia" w:hAnsi="Georgia"/>
        </w:rPr>
        <w:t xml:space="preserve">a fost amânat pentru luna aprilie a acestui an, ceea ce ne face să ne întrebăm dacă </w:t>
      </w:r>
      <w:r w:rsidR="00421A56">
        <w:rPr>
          <w:rFonts w:ascii="Georgia" w:hAnsi="Georgia"/>
        </w:rPr>
        <w:t xml:space="preserve">Regulamentul </w:t>
      </w:r>
      <w:proofErr w:type="spellStart"/>
      <w:r w:rsidRPr="000D2A5F">
        <w:rPr>
          <w:rFonts w:ascii="Georgia" w:hAnsi="Georgia"/>
        </w:rPr>
        <w:t>MiCA</w:t>
      </w:r>
      <w:proofErr w:type="spellEnd"/>
      <w:r w:rsidRPr="000D2A5F">
        <w:rPr>
          <w:rFonts w:ascii="Georgia" w:hAnsi="Georgia"/>
        </w:rPr>
        <w:t xml:space="preserve"> </w:t>
      </w:r>
      <w:r w:rsidR="00421A56">
        <w:rPr>
          <w:rFonts w:ascii="Georgia" w:hAnsi="Georgia"/>
        </w:rPr>
        <w:t>va mai</w:t>
      </w:r>
      <w:r w:rsidRPr="000D2A5F">
        <w:rPr>
          <w:rFonts w:ascii="Georgia" w:hAnsi="Georgia"/>
        </w:rPr>
        <w:t xml:space="preserve"> intr</w:t>
      </w:r>
      <w:r w:rsidR="004802C7">
        <w:rPr>
          <w:rFonts w:ascii="Georgia" w:hAnsi="Georgia"/>
        </w:rPr>
        <w:t>a</w:t>
      </w:r>
      <w:r w:rsidR="00421A56">
        <w:rPr>
          <w:rFonts w:ascii="Georgia" w:hAnsi="Georgia"/>
        </w:rPr>
        <w:t xml:space="preserve"> într-adevăr</w:t>
      </w:r>
      <w:r w:rsidRPr="000D2A5F">
        <w:rPr>
          <w:rFonts w:ascii="Georgia" w:hAnsi="Georgia"/>
        </w:rPr>
        <w:t xml:space="preserve"> în vigoare în </w:t>
      </w:r>
      <w:r w:rsidR="00421A56">
        <w:rPr>
          <w:rFonts w:ascii="Georgia" w:hAnsi="Georgia"/>
        </w:rPr>
        <w:t xml:space="preserve">anul </w:t>
      </w:r>
      <w:r w:rsidRPr="000D2A5F">
        <w:rPr>
          <w:rFonts w:ascii="Georgia" w:hAnsi="Georgia"/>
        </w:rPr>
        <w:t>2023.</w:t>
      </w:r>
    </w:p>
    <w:p w:rsidR="004802C7" w:rsidRDefault="004802C7" w:rsidP="000D2A5F">
      <w:pPr>
        <w:rPr>
          <w:rFonts w:ascii="Georgia" w:hAnsi="Georgia"/>
        </w:rPr>
      </w:pPr>
      <w:r w:rsidRPr="004802C7">
        <w:rPr>
          <w:rFonts w:ascii="Georgia" w:hAnsi="Georgia"/>
        </w:rPr>
        <w:t xml:space="preserve">În plus, </w:t>
      </w:r>
      <w:r>
        <w:rPr>
          <w:rFonts w:ascii="Georgia" w:hAnsi="Georgia"/>
        </w:rPr>
        <w:t>deși</w:t>
      </w:r>
      <w:r w:rsidRPr="004802C7">
        <w:rPr>
          <w:rFonts w:ascii="Georgia" w:hAnsi="Georgia"/>
        </w:rPr>
        <w:t xml:space="preserve"> </w:t>
      </w:r>
      <w:r>
        <w:rPr>
          <w:rFonts w:ascii="Georgia" w:hAnsi="Georgia"/>
        </w:rPr>
        <w:t>îndelung</w:t>
      </w:r>
      <w:r w:rsidRPr="004802C7">
        <w:rPr>
          <w:rFonts w:ascii="Georgia" w:hAnsi="Georgia"/>
        </w:rPr>
        <w:t xml:space="preserve"> așteptatul </w:t>
      </w:r>
      <w:r w:rsidR="00421A56">
        <w:rPr>
          <w:rFonts w:ascii="Georgia" w:hAnsi="Georgia"/>
        </w:rPr>
        <w:t>R</w:t>
      </w:r>
      <w:r w:rsidRPr="004802C7">
        <w:rPr>
          <w:rFonts w:ascii="Georgia" w:hAnsi="Georgia"/>
        </w:rPr>
        <w:t xml:space="preserve">egulament </w:t>
      </w:r>
      <w:proofErr w:type="spellStart"/>
      <w:r w:rsidRPr="004802C7">
        <w:rPr>
          <w:rFonts w:ascii="Georgia" w:hAnsi="Georgia"/>
        </w:rPr>
        <w:t>MiCA</w:t>
      </w:r>
      <w:proofErr w:type="spellEnd"/>
      <w:r w:rsidRPr="004802C7">
        <w:rPr>
          <w:rFonts w:ascii="Georgia" w:hAnsi="Georgia"/>
        </w:rPr>
        <w:t xml:space="preserve"> abordează elemente </w:t>
      </w:r>
      <w:r w:rsidR="00802226">
        <w:rPr>
          <w:rFonts w:ascii="Georgia" w:hAnsi="Georgia"/>
        </w:rPr>
        <w:t>esențiale din spațiul cr</w:t>
      </w:r>
      <w:r w:rsidR="001B32F2">
        <w:rPr>
          <w:rFonts w:ascii="Georgia" w:hAnsi="Georgia"/>
        </w:rPr>
        <w:t>i</w:t>
      </w:r>
      <w:r w:rsidR="00802226">
        <w:rPr>
          <w:rFonts w:ascii="Georgia" w:hAnsi="Georgia"/>
        </w:rPr>
        <w:t>pto</w:t>
      </w:r>
      <w:r w:rsidRPr="004802C7">
        <w:rPr>
          <w:rFonts w:ascii="Georgia" w:hAnsi="Georgia"/>
        </w:rPr>
        <w:t xml:space="preserve">, cum ar fi protecția consumatorilor, combaterea spălării banilor, impactul asupra mediului și responsabilitatea întreprinderilor, </w:t>
      </w:r>
      <w:r w:rsidR="00802226">
        <w:rPr>
          <w:rFonts w:ascii="Georgia" w:hAnsi="Georgia"/>
        </w:rPr>
        <w:t>este foarte posibil ca acesta să nu reflecte o anal</w:t>
      </w:r>
      <w:r w:rsidR="001B32F2">
        <w:rPr>
          <w:rFonts w:ascii="Georgia" w:hAnsi="Georgia"/>
        </w:rPr>
        <w:t>i</w:t>
      </w:r>
      <w:r w:rsidR="00802226">
        <w:rPr>
          <w:rFonts w:ascii="Georgia" w:hAnsi="Georgia"/>
        </w:rPr>
        <w:t>ză exhaustivă a industriei</w:t>
      </w:r>
      <w:r w:rsidRPr="004802C7">
        <w:rPr>
          <w:rFonts w:ascii="Georgia" w:hAnsi="Georgia"/>
        </w:rPr>
        <w:t xml:space="preserve">, </w:t>
      </w:r>
      <w:r w:rsidR="00421A56">
        <w:rPr>
          <w:rFonts w:ascii="Georgia" w:hAnsi="Georgia"/>
        </w:rPr>
        <w:t>dat fiind faptul că</w:t>
      </w:r>
      <w:r w:rsidRPr="004802C7">
        <w:rPr>
          <w:rFonts w:ascii="Georgia" w:hAnsi="Georgia"/>
        </w:rPr>
        <w:t xml:space="preserve"> unele specii de criptoactive (de exemplu, NFT</w:t>
      </w:r>
      <w:r w:rsidR="00802226">
        <w:rPr>
          <w:rFonts w:ascii="Georgia" w:hAnsi="Georgia"/>
        </w:rPr>
        <w:t>-urile</w:t>
      </w:r>
      <w:r w:rsidRPr="004802C7">
        <w:rPr>
          <w:rFonts w:ascii="Georgia" w:hAnsi="Georgia"/>
        </w:rPr>
        <w:t xml:space="preserve">) nu sunt analizate și reglementate în detaliu. </w:t>
      </w:r>
      <w:r w:rsidR="00802226">
        <w:rPr>
          <w:rFonts w:ascii="Georgia" w:hAnsi="Georgia"/>
        </w:rPr>
        <w:t>Astfel</w:t>
      </w:r>
      <w:r w:rsidRPr="004802C7">
        <w:rPr>
          <w:rFonts w:ascii="Georgia" w:hAnsi="Georgia"/>
        </w:rPr>
        <w:t xml:space="preserve">, anumite concepte </w:t>
      </w:r>
      <w:r w:rsidR="00802226">
        <w:rPr>
          <w:rFonts w:ascii="Georgia" w:hAnsi="Georgia"/>
        </w:rPr>
        <w:t xml:space="preserve">din industria cripto </w:t>
      </w:r>
      <w:r w:rsidRPr="004802C7">
        <w:rPr>
          <w:rFonts w:ascii="Georgia" w:hAnsi="Georgia"/>
        </w:rPr>
        <w:t xml:space="preserve">nu vor putea fi controlate în totalitate, </w:t>
      </w:r>
      <w:r w:rsidR="00802226">
        <w:rPr>
          <w:rFonts w:ascii="Georgia" w:hAnsi="Georgia"/>
        </w:rPr>
        <w:t xml:space="preserve">fapt ce va </w:t>
      </w:r>
      <w:r w:rsidR="00421A56">
        <w:rPr>
          <w:rFonts w:ascii="Georgia" w:hAnsi="Georgia"/>
        </w:rPr>
        <w:t xml:space="preserve">putea antama </w:t>
      </w:r>
      <w:r w:rsidRPr="004802C7">
        <w:rPr>
          <w:rFonts w:ascii="Georgia" w:hAnsi="Georgia"/>
        </w:rPr>
        <w:t xml:space="preserve">în continuare </w:t>
      </w:r>
      <w:r w:rsidR="00421A56">
        <w:rPr>
          <w:rFonts w:ascii="Georgia" w:hAnsi="Georgia"/>
        </w:rPr>
        <w:t>anumite</w:t>
      </w:r>
      <w:r w:rsidR="00802226">
        <w:rPr>
          <w:rFonts w:ascii="Georgia" w:hAnsi="Georgia"/>
        </w:rPr>
        <w:t xml:space="preserve"> </w:t>
      </w:r>
      <w:r w:rsidRPr="004802C7">
        <w:rPr>
          <w:rFonts w:ascii="Georgia" w:hAnsi="Georgia"/>
        </w:rPr>
        <w:t>riscuri.</w:t>
      </w:r>
    </w:p>
    <w:p w:rsidR="00802226" w:rsidRPr="00802226" w:rsidRDefault="00802226" w:rsidP="00802226">
      <w:pPr>
        <w:rPr>
          <w:rFonts w:ascii="Georgia" w:hAnsi="Georgia"/>
        </w:rPr>
      </w:pPr>
      <w:r w:rsidRPr="00802226">
        <w:rPr>
          <w:rFonts w:ascii="Georgia" w:hAnsi="Georgia"/>
        </w:rPr>
        <w:t xml:space="preserve">NFT-urile sunt </w:t>
      </w:r>
      <w:r>
        <w:rPr>
          <w:rFonts w:ascii="Georgia" w:hAnsi="Georgia"/>
        </w:rPr>
        <w:t>extrem</w:t>
      </w:r>
      <w:r w:rsidRPr="00802226">
        <w:rPr>
          <w:rFonts w:ascii="Georgia" w:hAnsi="Georgia"/>
        </w:rPr>
        <w:t xml:space="preserve"> de importante, </w:t>
      </w:r>
      <w:r w:rsidR="00421A56">
        <w:rPr>
          <w:rFonts w:ascii="Georgia" w:hAnsi="Georgia"/>
        </w:rPr>
        <w:t>reprezentând</w:t>
      </w:r>
      <w:r w:rsidRPr="00802226">
        <w:rPr>
          <w:rFonts w:ascii="Georgia" w:hAnsi="Georgia"/>
        </w:rPr>
        <w:t xml:space="preserve"> criptoactive </w:t>
      </w:r>
      <w:r>
        <w:rPr>
          <w:rFonts w:ascii="Georgia" w:hAnsi="Georgia"/>
        </w:rPr>
        <w:t>sub formă</w:t>
      </w:r>
      <w:r w:rsidRPr="00802226">
        <w:rPr>
          <w:rFonts w:ascii="Georgia" w:hAnsi="Georgia"/>
        </w:rPr>
        <w:t xml:space="preserve"> de artă, muzică, obiecte din jocuri, videoclipuri sau altele</w:t>
      </w:r>
      <w:r w:rsidR="00421A56">
        <w:rPr>
          <w:rFonts w:ascii="Georgia" w:hAnsi="Georgia"/>
        </w:rPr>
        <w:t>, care</w:t>
      </w:r>
      <w:r w:rsidRPr="00802226">
        <w:rPr>
          <w:rFonts w:ascii="Georgia" w:hAnsi="Georgia"/>
        </w:rPr>
        <w:t xml:space="preserve"> pot fi cumpărate și vândute online, </w:t>
      </w:r>
      <w:r w:rsidR="00421A56">
        <w:rPr>
          <w:rFonts w:ascii="Georgia" w:hAnsi="Georgia"/>
        </w:rPr>
        <w:t>în principal</w:t>
      </w:r>
      <w:r w:rsidRPr="00802226">
        <w:rPr>
          <w:rFonts w:ascii="Georgia" w:hAnsi="Georgia"/>
        </w:rPr>
        <w:t xml:space="preserve"> cu </w:t>
      </w:r>
      <w:proofErr w:type="spellStart"/>
      <w:r w:rsidRPr="00802226">
        <w:rPr>
          <w:rFonts w:ascii="Georgia" w:hAnsi="Georgia"/>
        </w:rPr>
        <w:t>criptomonede</w:t>
      </w:r>
      <w:proofErr w:type="spellEnd"/>
      <w:r w:rsidRPr="00802226">
        <w:rPr>
          <w:rFonts w:ascii="Georgia" w:hAnsi="Georgia"/>
        </w:rPr>
        <w:t xml:space="preserve">. </w:t>
      </w:r>
      <w:r>
        <w:rPr>
          <w:rFonts w:ascii="Georgia" w:hAnsi="Georgia"/>
        </w:rPr>
        <w:t>Ca regulă</w:t>
      </w:r>
      <w:r w:rsidRPr="00802226">
        <w:rPr>
          <w:rFonts w:ascii="Georgia" w:hAnsi="Georgia"/>
        </w:rPr>
        <w:t xml:space="preserve">, acestea sunt codificate cu același software de bază ca și multe alte </w:t>
      </w:r>
      <w:proofErr w:type="spellStart"/>
      <w:r w:rsidRPr="00802226">
        <w:rPr>
          <w:rFonts w:ascii="Georgia" w:hAnsi="Georgia"/>
        </w:rPr>
        <w:t>criptoactive</w:t>
      </w:r>
      <w:proofErr w:type="spellEnd"/>
      <w:r w:rsidR="001B32F2">
        <w:rPr>
          <w:rFonts w:ascii="Georgia" w:hAnsi="Georgia"/>
        </w:rPr>
        <w:t>,</w:t>
      </w:r>
      <w:r w:rsidRPr="00802226">
        <w:rPr>
          <w:rFonts w:ascii="Georgia" w:hAnsi="Georgia"/>
        </w:rPr>
        <w:t xml:space="preserve"> </w:t>
      </w:r>
      <w:r w:rsidR="001B32F2">
        <w:rPr>
          <w:rFonts w:ascii="Georgia" w:hAnsi="Georgia"/>
        </w:rPr>
        <w:t>fiind</w:t>
      </w:r>
      <w:r w:rsidRPr="00802226">
        <w:rPr>
          <w:rFonts w:ascii="Georgia" w:hAnsi="Georgia"/>
        </w:rPr>
        <w:t xml:space="preserve"> </w:t>
      </w:r>
      <w:r w:rsidR="001B32F2">
        <w:rPr>
          <w:rFonts w:ascii="Georgia" w:hAnsi="Georgia"/>
        </w:rPr>
        <w:t>expus</w:t>
      </w:r>
      <w:r w:rsidRPr="00802226">
        <w:rPr>
          <w:rFonts w:ascii="Georgia" w:hAnsi="Georgia"/>
        </w:rPr>
        <w:t xml:space="preserve">e </w:t>
      </w:r>
      <w:r w:rsidR="001B32F2">
        <w:rPr>
          <w:rFonts w:ascii="Georgia" w:hAnsi="Georgia"/>
        </w:rPr>
        <w:t>aceluiași</w:t>
      </w:r>
      <w:r w:rsidRPr="00802226">
        <w:rPr>
          <w:rFonts w:ascii="Georgia" w:hAnsi="Georgia"/>
        </w:rPr>
        <w:t xml:space="preserve"> tip de comportament abuziv care afectează piețele financiare, cum ar fi manipularea prețurilor.</w:t>
      </w:r>
    </w:p>
    <w:p w:rsidR="00802226" w:rsidRDefault="00802226" w:rsidP="00802226">
      <w:pPr>
        <w:rPr>
          <w:rFonts w:ascii="Georgia" w:hAnsi="Georgia"/>
        </w:rPr>
      </w:pPr>
      <w:r w:rsidRPr="00802226">
        <w:rPr>
          <w:rFonts w:ascii="Georgia" w:hAnsi="Georgia"/>
        </w:rPr>
        <w:t xml:space="preserve">În prezent, în România, Parlamentul nu a emis încă </w:t>
      </w:r>
      <w:r w:rsidR="00CA6BC2">
        <w:rPr>
          <w:rFonts w:ascii="Georgia" w:hAnsi="Georgia"/>
        </w:rPr>
        <w:t>acte normative</w:t>
      </w:r>
      <w:r w:rsidRPr="00802226">
        <w:rPr>
          <w:rFonts w:ascii="Georgia" w:hAnsi="Georgia"/>
        </w:rPr>
        <w:t xml:space="preserve"> referitoare la spațiul cripto, cu excepția </w:t>
      </w:r>
      <w:r w:rsidR="00CA6BC2">
        <w:rPr>
          <w:rFonts w:ascii="Georgia" w:hAnsi="Georgia"/>
        </w:rPr>
        <w:t>unor</w:t>
      </w:r>
      <w:r w:rsidRPr="00802226">
        <w:rPr>
          <w:rFonts w:ascii="Georgia" w:hAnsi="Georgia"/>
        </w:rPr>
        <w:t xml:space="preserve"> prevederi referitoare la (i) impozitul pe veniturile </w:t>
      </w:r>
      <w:r>
        <w:rPr>
          <w:rFonts w:ascii="Georgia" w:hAnsi="Georgia"/>
        </w:rPr>
        <w:t xml:space="preserve">obținute din </w:t>
      </w:r>
      <w:r w:rsidRPr="00802226">
        <w:rPr>
          <w:rFonts w:ascii="Georgia" w:hAnsi="Georgia"/>
        </w:rPr>
        <w:t>cripto</w:t>
      </w:r>
      <w:r>
        <w:rPr>
          <w:rFonts w:ascii="Georgia" w:hAnsi="Georgia"/>
        </w:rPr>
        <w:t>monede</w:t>
      </w:r>
      <w:r w:rsidRPr="00802226">
        <w:rPr>
          <w:rFonts w:ascii="Georgia" w:hAnsi="Georgia"/>
        </w:rPr>
        <w:t xml:space="preserve"> și (ii) raportarea către </w:t>
      </w:r>
      <w:r>
        <w:rPr>
          <w:rFonts w:ascii="Georgia" w:hAnsi="Georgia"/>
        </w:rPr>
        <w:t>Oficiul Național de Prevenire și Combatere a Spălării Banilor</w:t>
      </w:r>
      <w:r w:rsidRPr="00802226">
        <w:rPr>
          <w:rFonts w:ascii="Georgia" w:hAnsi="Georgia"/>
        </w:rPr>
        <w:t xml:space="preserve"> a anumitor </w:t>
      </w:r>
      <w:r>
        <w:rPr>
          <w:rFonts w:ascii="Georgia" w:hAnsi="Georgia"/>
        </w:rPr>
        <w:t>tranzacții</w:t>
      </w:r>
      <w:r w:rsidRPr="00802226">
        <w:rPr>
          <w:rFonts w:ascii="Georgia" w:hAnsi="Georgia"/>
        </w:rPr>
        <w:t xml:space="preserve"> care implică cripto</w:t>
      </w:r>
      <w:r>
        <w:rPr>
          <w:rFonts w:ascii="Georgia" w:hAnsi="Georgia"/>
        </w:rPr>
        <w:t>monedele</w:t>
      </w:r>
      <w:r w:rsidRPr="00802226">
        <w:rPr>
          <w:rFonts w:ascii="Georgia" w:hAnsi="Georgia"/>
        </w:rPr>
        <w:t>.</w:t>
      </w:r>
    </w:p>
    <w:p w:rsidR="003B238B" w:rsidRPr="003B238B" w:rsidRDefault="003B238B" w:rsidP="003B238B">
      <w:pPr>
        <w:rPr>
          <w:rFonts w:ascii="Georgia" w:hAnsi="Georgia"/>
        </w:rPr>
      </w:pPr>
      <w:r w:rsidRPr="003B238B">
        <w:rPr>
          <w:rFonts w:ascii="Georgia" w:hAnsi="Georgia"/>
        </w:rPr>
        <w:t>Cu toate acestea, având în vedere că UE a făcut primul pas prin e</w:t>
      </w:r>
      <w:r>
        <w:rPr>
          <w:rFonts w:ascii="Georgia" w:hAnsi="Georgia"/>
        </w:rPr>
        <w:t>laborare</w:t>
      </w:r>
      <w:r w:rsidRPr="003B238B">
        <w:rPr>
          <w:rFonts w:ascii="Georgia" w:hAnsi="Georgia"/>
        </w:rPr>
        <w:t>a Regulamentului MiCA, este foarte probabil ca România, în calitate de stat membru al UE, să susțină acest fenomen</w:t>
      </w:r>
      <w:r w:rsidR="001B32F2">
        <w:rPr>
          <w:rFonts w:ascii="Georgia" w:hAnsi="Georgia"/>
        </w:rPr>
        <w:t>,</w:t>
      </w:r>
      <w:r w:rsidRPr="003B238B">
        <w:rPr>
          <w:rFonts w:ascii="Georgia" w:hAnsi="Georgia"/>
        </w:rPr>
        <w:t xml:space="preserve"> </w:t>
      </w:r>
      <w:r w:rsidR="007B21FC">
        <w:rPr>
          <w:rFonts w:ascii="Georgia" w:hAnsi="Georgia"/>
        </w:rPr>
        <w:t xml:space="preserve">urmărind </w:t>
      </w:r>
      <w:r w:rsidRPr="003B238B">
        <w:rPr>
          <w:rFonts w:ascii="Georgia" w:hAnsi="Georgia"/>
        </w:rPr>
        <w:t>asigurarea stab</w:t>
      </w:r>
      <w:r>
        <w:rPr>
          <w:rFonts w:ascii="Georgia" w:hAnsi="Georgia"/>
        </w:rPr>
        <w:t xml:space="preserve">ilității în spațiul cripto, </w:t>
      </w:r>
      <w:r w:rsidR="007B21FC">
        <w:rPr>
          <w:rFonts w:ascii="Georgia" w:hAnsi="Georgia"/>
        </w:rPr>
        <w:t xml:space="preserve">prin </w:t>
      </w:r>
      <w:r w:rsidRPr="003B238B">
        <w:rPr>
          <w:rFonts w:ascii="Georgia" w:hAnsi="Georgia"/>
        </w:rPr>
        <w:t>adopt</w:t>
      </w:r>
      <w:r w:rsidR="007B21FC">
        <w:rPr>
          <w:rFonts w:ascii="Georgia" w:hAnsi="Georgia"/>
        </w:rPr>
        <w:t>area</w:t>
      </w:r>
      <w:r>
        <w:rPr>
          <w:rFonts w:ascii="Georgia" w:hAnsi="Georgia"/>
        </w:rPr>
        <w:t xml:space="preserve"> </w:t>
      </w:r>
      <w:r w:rsidR="007B21FC">
        <w:rPr>
          <w:rFonts w:ascii="Georgia" w:hAnsi="Georgia"/>
        </w:rPr>
        <w:t>de acte normative</w:t>
      </w:r>
      <w:r>
        <w:rPr>
          <w:rFonts w:ascii="Georgia" w:hAnsi="Georgia"/>
        </w:rPr>
        <w:t xml:space="preserve"> </w:t>
      </w:r>
      <w:r w:rsidRPr="003B238B">
        <w:rPr>
          <w:rFonts w:ascii="Georgia" w:hAnsi="Georgia"/>
        </w:rPr>
        <w:t>care să fundamenteze norma europeană.</w:t>
      </w:r>
    </w:p>
    <w:p w:rsidR="003B238B" w:rsidRDefault="001B32F2" w:rsidP="007B21FC">
      <w:pPr>
        <w:rPr>
          <w:rFonts w:ascii="Georgia" w:hAnsi="Georgia"/>
        </w:rPr>
      </w:pPr>
      <w:r>
        <w:rPr>
          <w:rFonts w:ascii="Georgia" w:hAnsi="Georgia"/>
        </w:rPr>
        <w:t>Astfel</w:t>
      </w:r>
      <w:r w:rsidR="003B238B" w:rsidRPr="003B238B">
        <w:rPr>
          <w:rFonts w:ascii="Georgia" w:hAnsi="Georgia"/>
        </w:rPr>
        <w:t xml:space="preserve">, având în vedere că Regulamentul MiCA va fi direct aplicabil în România, implementarea sa practică va presupune, cel mai probabil, o perioadă de tranziție, </w:t>
      </w:r>
      <w:r w:rsidR="003B238B">
        <w:rPr>
          <w:rFonts w:ascii="Georgia" w:hAnsi="Georgia"/>
        </w:rPr>
        <w:t xml:space="preserve">în </w:t>
      </w:r>
      <w:r>
        <w:rPr>
          <w:rFonts w:ascii="Georgia" w:hAnsi="Georgia"/>
        </w:rPr>
        <w:t>timpul căreia vor fi</w:t>
      </w:r>
      <w:r w:rsidR="003B238B" w:rsidRPr="003B238B">
        <w:rPr>
          <w:rFonts w:ascii="Georgia" w:hAnsi="Georgia"/>
        </w:rPr>
        <w:t xml:space="preserve"> </w:t>
      </w:r>
      <w:r w:rsidR="003B238B">
        <w:rPr>
          <w:rFonts w:ascii="Georgia" w:hAnsi="Georgia"/>
        </w:rPr>
        <w:t>întâmpinate multe probleme</w:t>
      </w:r>
      <w:r w:rsidR="003B238B" w:rsidRPr="003B238B">
        <w:rPr>
          <w:rFonts w:ascii="Georgia" w:hAnsi="Georgia"/>
        </w:rPr>
        <w:t xml:space="preserve"> practice.</w:t>
      </w:r>
    </w:p>
    <w:p w:rsidR="003B238B" w:rsidRPr="001B32F2" w:rsidRDefault="003417DC" w:rsidP="007B21FC">
      <w:pPr>
        <w:rPr>
          <w:rFonts w:ascii="Georgia" w:hAnsi="Georgia"/>
        </w:rPr>
      </w:pPr>
      <w:r>
        <w:rPr>
          <w:rFonts w:ascii="Georgia" w:hAnsi="Georgia"/>
        </w:rPr>
        <w:t>În acest sens, prin raportare la eventualele apanaje de aplicabilitate și interpretare</w:t>
      </w:r>
      <w:r w:rsidR="003B238B" w:rsidRPr="001B32F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eterogenă cu care ne-am confruntat în situații similare, </w:t>
      </w:r>
      <w:r w:rsidR="007B21FC" w:rsidRPr="001B32F2">
        <w:rPr>
          <w:rFonts w:ascii="Georgia" w:hAnsi="Georgia"/>
        </w:rPr>
        <w:t xml:space="preserve">considerăm că sistemul </w:t>
      </w:r>
      <w:r w:rsidR="003B238B" w:rsidRPr="001B32F2">
        <w:rPr>
          <w:rFonts w:ascii="Georgia" w:hAnsi="Georgia"/>
        </w:rPr>
        <w:t>legislativ din România</w:t>
      </w:r>
      <w:r w:rsidR="007B21FC" w:rsidRPr="001B32F2">
        <w:rPr>
          <w:rFonts w:ascii="Georgia" w:hAnsi="Georgia"/>
        </w:rPr>
        <w:t xml:space="preserve"> ar trebui</w:t>
      </w:r>
      <w:r w:rsidR="003B238B" w:rsidRPr="001B32F2">
        <w:rPr>
          <w:rFonts w:ascii="Georgia" w:hAnsi="Georgia"/>
        </w:rPr>
        <w:t xml:space="preserve"> să aibă în vedere </w:t>
      </w:r>
      <w:r w:rsidR="007B21FC" w:rsidRPr="001B32F2">
        <w:rPr>
          <w:rFonts w:ascii="Georgia" w:hAnsi="Georgia"/>
        </w:rPr>
        <w:t xml:space="preserve">la momentul conceperii actelor normative care vor reglementa spațiul cripto </w:t>
      </w:r>
      <w:r w:rsidR="003B238B" w:rsidRPr="001B32F2">
        <w:rPr>
          <w:rFonts w:ascii="Georgia" w:hAnsi="Georgia"/>
        </w:rPr>
        <w:t>următoarele aspecte:</w:t>
      </w:r>
    </w:p>
    <w:p w:rsidR="003B238B" w:rsidRPr="000D16A1" w:rsidRDefault="003B238B" w:rsidP="007B21FC">
      <w:pPr>
        <w:pStyle w:val="ListParagraph"/>
        <w:numPr>
          <w:ilvl w:val="0"/>
          <w:numId w:val="1"/>
        </w:numPr>
        <w:ind w:left="709" w:hanging="709"/>
        <w:contextualSpacing w:val="0"/>
        <w:rPr>
          <w:rFonts w:ascii="Georgia" w:hAnsi="Georgia"/>
        </w:rPr>
      </w:pPr>
      <w:r w:rsidRPr="000D16A1">
        <w:rPr>
          <w:rFonts w:ascii="Georgia" w:hAnsi="Georgia"/>
          <w:b/>
          <w:i/>
        </w:rPr>
        <w:t>claritatea normelor</w:t>
      </w:r>
      <w:r w:rsidRPr="000D16A1">
        <w:rPr>
          <w:rFonts w:ascii="Georgia" w:hAnsi="Georgia"/>
        </w:rPr>
        <w:t xml:space="preserve"> - legislația ar trebui să fie </w:t>
      </w:r>
      <w:r w:rsidR="001821B2" w:rsidRPr="000D16A1">
        <w:rPr>
          <w:rFonts w:ascii="Georgia" w:hAnsi="Georgia"/>
        </w:rPr>
        <w:t>ex</w:t>
      </w:r>
      <w:r w:rsidR="003417DC" w:rsidRPr="000D16A1">
        <w:rPr>
          <w:rFonts w:ascii="Georgia" w:hAnsi="Georgia"/>
        </w:rPr>
        <w:t>h</w:t>
      </w:r>
      <w:r w:rsidR="001821B2" w:rsidRPr="000D16A1">
        <w:rPr>
          <w:rFonts w:ascii="Georgia" w:hAnsi="Georgia"/>
        </w:rPr>
        <w:t xml:space="preserve">austivă, </w:t>
      </w:r>
      <w:r w:rsidRPr="000D16A1">
        <w:rPr>
          <w:rFonts w:ascii="Georgia" w:hAnsi="Georgia"/>
        </w:rPr>
        <w:t>suficient de detaliată</w:t>
      </w:r>
      <w:r w:rsidR="003417DC" w:rsidRPr="000D16A1">
        <w:rPr>
          <w:rFonts w:ascii="Georgia" w:hAnsi="Georgia"/>
        </w:rPr>
        <w:t>, fără a face</w:t>
      </w:r>
      <w:r w:rsidRPr="000D16A1">
        <w:rPr>
          <w:rFonts w:ascii="Georgia" w:hAnsi="Georgia"/>
        </w:rPr>
        <w:t xml:space="preserve"> obiectul unor interpretări</w:t>
      </w:r>
      <w:r w:rsidR="003417DC" w:rsidRPr="000D16A1">
        <w:rPr>
          <w:rFonts w:ascii="Georgia" w:hAnsi="Georgia"/>
        </w:rPr>
        <w:t xml:space="preserve"> divergente</w:t>
      </w:r>
      <w:r w:rsidRPr="000D16A1">
        <w:rPr>
          <w:rFonts w:ascii="Georgia" w:hAnsi="Georgia"/>
        </w:rPr>
        <w:t>; acest lucru va asigura o înțelegere corectă și o implementare practică eficientă;</w:t>
      </w:r>
    </w:p>
    <w:p w:rsidR="003B238B" w:rsidRPr="000D16A1" w:rsidRDefault="003B238B" w:rsidP="007B21FC">
      <w:pPr>
        <w:pStyle w:val="ListParagraph"/>
        <w:numPr>
          <w:ilvl w:val="0"/>
          <w:numId w:val="1"/>
        </w:numPr>
        <w:ind w:left="709" w:hanging="709"/>
        <w:contextualSpacing w:val="0"/>
        <w:rPr>
          <w:rFonts w:ascii="Georgia" w:hAnsi="Georgia"/>
        </w:rPr>
      </w:pPr>
      <w:r w:rsidRPr="000D16A1">
        <w:rPr>
          <w:rFonts w:ascii="Georgia" w:hAnsi="Georgia"/>
          <w:b/>
          <w:i/>
        </w:rPr>
        <w:t>securitatea și protecția intereselor și drepturilor părților interesate</w:t>
      </w:r>
      <w:r w:rsidRPr="000D16A1">
        <w:rPr>
          <w:rFonts w:ascii="Georgia" w:hAnsi="Georgia"/>
        </w:rPr>
        <w:t xml:space="preserve"> - acest lucru este vital atât pentru consumatori, cât și pentru întreprinderi; </w:t>
      </w:r>
      <w:r w:rsidR="001821B2" w:rsidRPr="000D16A1">
        <w:rPr>
          <w:rFonts w:ascii="Georgia" w:hAnsi="Georgia"/>
        </w:rPr>
        <w:t>astfel</w:t>
      </w:r>
      <w:r w:rsidRPr="000D16A1">
        <w:rPr>
          <w:rFonts w:ascii="Georgia" w:hAnsi="Georgia"/>
        </w:rPr>
        <w:t xml:space="preserve">, ar trebui </w:t>
      </w:r>
      <w:r w:rsidRPr="000D16A1">
        <w:rPr>
          <w:rFonts w:ascii="Georgia" w:hAnsi="Georgia"/>
        </w:rPr>
        <w:lastRenderedPageBreak/>
        <w:t>implementate sisteme și proceduri care să protejeze securitatea, integritatea și confidențialitatea informațiilor;</w:t>
      </w:r>
    </w:p>
    <w:p w:rsidR="003B238B" w:rsidRPr="000D16A1" w:rsidRDefault="003B238B" w:rsidP="007B21FC">
      <w:pPr>
        <w:pStyle w:val="ListParagraph"/>
        <w:numPr>
          <w:ilvl w:val="0"/>
          <w:numId w:val="1"/>
        </w:numPr>
        <w:ind w:left="709" w:hanging="709"/>
        <w:contextualSpacing w:val="0"/>
        <w:rPr>
          <w:rFonts w:ascii="Georgia" w:hAnsi="Georgia"/>
        </w:rPr>
      </w:pPr>
      <w:r w:rsidRPr="000D16A1">
        <w:rPr>
          <w:rFonts w:ascii="Georgia" w:hAnsi="Georgia"/>
          <w:b/>
          <w:i/>
        </w:rPr>
        <w:t>transparenț</w:t>
      </w:r>
      <w:r w:rsidR="007B21FC" w:rsidRPr="000D16A1">
        <w:rPr>
          <w:rFonts w:ascii="Georgia" w:hAnsi="Georgia"/>
          <w:b/>
          <w:i/>
        </w:rPr>
        <w:t>a</w:t>
      </w:r>
      <w:r w:rsidRPr="000D16A1">
        <w:rPr>
          <w:rFonts w:ascii="Georgia" w:hAnsi="Georgia"/>
        </w:rPr>
        <w:t xml:space="preserve"> - necesitatea de a asigura linii de responsabilitate transparente și consecvente</w:t>
      </w:r>
      <w:r w:rsidR="001821B2" w:rsidRPr="000D16A1">
        <w:rPr>
          <w:rFonts w:ascii="Georgia" w:hAnsi="Georgia"/>
        </w:rPr>
        <w:t>, precum</w:t>
      </w:r>
      <w:r w:rsidRPr="000D16A1">
        <w:rPr>
          <w:rFonts w:ascii="Georgia" w:hAnsi="Georgia"/>
        </w:rPr>
        <w:t xml:space="preserve"> și procese eficiente de identificare, gestionare, monitorizare și raportare a riscurilor</w:t>
      </w:r>
      <w:r w:rsidR="000D16A1" w:rsidRPr="000D16A1">
        <w:rPr>
          <w:rFonts w:ascii="Georgia" w:hAnsi="Georgia"/>
        </w:rPr>
        <w:t>, inclusiv trasabilitatea post-tranzacționar</w:t>
      </w:r>
      <w:r w:rsidRPr="000D16A1">
        <w:rPr>
          <w:rFonts w:ascii="Georgia" w:hAnsi="Georgia"/>
        </w:rPr>
        <w:t>e.</w:t>
      </w:r>
    </w:p>
    <w:p w:rsidR="001821B2" w:rsidRPr="00F21ED0" w:rsidRDefault="00601C55" w:rsidP="003B238B">
      <w:pPr>
        <w:rPr>
          <w:rFonts w:ascii="Georgia" w:hAnsi="Georgia"/>
        </w:rPr>
      </w:pPr>
      <w:r w:rsidRPr="000D16A1">
        <w:rPr>
          <w:rFonts w:ascii="Georgia" w:hAnsi="Georgia"/>
        </w:rPr>
        <w:t>Astfel, î</w:t>
      </w:r>
      <w:r w:rsidR="001821B2" w:rsidRPr="000D16A1">
        <w:rPr>
          <w:rFonts w:ascii="Georgia" w:hAnsi="Georgia"/>
        </w:rPr>
        <w:t xml:space="preserve">n lumina celor expuse mai sus și ținând cont de particularitățile pieței </w:t>
      </w:r>
      <w:r w:rsidR="000D16A1" w:rsidRPr="000D16A1">
        <w:rPr>
          <w:rFonts w:ascii="Georgia" w:hAnsi="Georgia"/>
        </w:rPr>
        <w:t>din România</w:t>
      </w:r>
      <w:r w:rsidR="001821B2" w:rsidRPr="000D16A1">
        <w:rPr>
          <w:rFonts w:ascii="Georgia" w:hAnsi="Georgia"/>
        </w:rPr>
        <w:t xml:space="preserve">, precum și de legislația </w:t>
      </w:r>
      <w:r w:rsidR="000D16A1" w:rsidRPr="000D16A1">
        <w:rPr>
          <w:rFonts w:ascii="Georgia" w:hAnsi="Georgia"/>
        </w:rPr>
        <w:t>aplicabilă</w:t>
      </w:r>
      <w:r w:rsidR="001821B2" w:rsidRPr="000D16A1">
        <w:rPr>
          <w:rFonts w:ascii="Georgia" w:hAnsi="Georgia"/>
        </w:rPr>
        <w:t xml:space="preserve"> în vigoare, considerăm că un rol foarte important pentru industria cripto îl vor juca legislația</w:t>
      </w:r>
      <w:r w:rsidR="000D16A1" w:rsidRPr="000D16A1">
        <w:rPr>
          <w:rFonts w:ascii="Georgia" w:hAnsi="Georgia"/>
        </w:rPr>
        <w:t xml:space="preserve"> subsecventă</w:t>
      </w:r>
      <w:r w:rsidR="001821B2" w:rsidRPr="000D16A1">
        <w:rPr>
          <w:rFonts w:ascii="Georgia" w:hAnsi="Georgia"/>
        </w:rPr>
        <w:t>, normele</w:t>
      </w:r>
      <w:r w:rsidR="000D16A1" w:rsidRPr="000D16A1">
        <w:rPr>
          <w:rFonts w:ascii="Georgia" w:hAnsi="Georgia"/>
        </w:rPr>
        <w:t>, ghidurile</w:t>
      </w:r>
      <w:r w:rsidR="001821B2" w:rsidRPr="000D16A1">
        <w:rPr>
          <w:rFonts w:ascii="Georgia" w:hAnsi="Georgia"/>
        </w:rPr>
        <w:t xml:space="preserve"> și orientările </w:t>
      </w:r>
      <w:r w:rsidR="000D16A1" w:rsidRPr="000D16A1">
        <w:rPr>
          <w:rFonts w:ascii="Georgia" w:hAnsi="Georgia"/>
        </w:rPr>
        <w:t>ce vor fi emise ulterior</w:t>
      </w:r>
      <w:r w:rsidR="001821B2" w:rsidRPr="000D16A1">
        <w:rPr>
          <w:rFonts w:ascii="Georgia" w:hAnsi="Georgia"/>
        </w:rPr>
        <w:t xml:space="preserve">, care vor fi </w:t>
      </w:r>
      <w:r w:rsidR="000D16A1">
        <w:rPr>
          <w:rFonts w:ascii="Georgia" w:hAnsi="Georgia"/>
        </w:rPr>
        <w:t>esențiale</w:t>
      </w:r>
      <w:r w:rsidR="001821B2" w:rsidRPr="000D16A1">
        <w:rPr>
          <w:rFonts w:ascii="Georgia" w:hAnsi="Georgia"/>
        </w:rPr>
        <w:t xml:space="preserve"> pentru agenții economici, consumatori, avocați și specialiști.</w:t>
      </w:r>
    </w:p>
    <w:sectPr w:rsidR="001821B2" w:rsidRPr="00F21ED0" w:rsidSect="00EC6E8A">
      <w:headerReference w:type="default" r:id="rId8"/>
      <w:headerReference w:type="first" r:id="rId9"/>
      <w:footerReference w:type="first" r:id="rId10"/>
      <w:pgSz w:w="12240" w:h="15840"/>
      <w:pgMar w:top="144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D0" w:rsidRDefault="00F21ED0" w:rsidP="00F21ED0">
      <w:pPr>
        <w:spacing w:after="0" w:line="240" w:lineRule="auto"/>
      </w:pPr>
      <w:r>
        <w:separator/>
      </w:r>
    </w:p>
  </w:endnote>
  <w:endnote w:type="continuationSeparator" w:id="0">
    <w:p w:rsidR="00F21ED0" w:rsidRDefault="00F21ED0" w:rsidP="00F2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713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9B4" w:rsidRDefault="00B70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9B4" w:rsidRDefault="00B70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D0" w:rsidRDefault="00F21ED0" w:rsidP="00F21ED0">
      <w:pPr>
        <w:spacing w:after="0" w:line="240" w:lineRule="auto"/>
      </w:pPr>
      <w:r>
        <w:separator/>
      </w:r>
    </w:p>
  </w:footnote>
  <w:footnote w:type="continuationSeparator" w:id="0">
    <w:p w:rsidR="00F21ED0" w:rsidRDefault="00F21ED0" w:rsidP="00F21ED0">
      <w:pPr>
        <w:spacing w:after="0" w:line="240" w:lineRule="auto"/>
      </w:pPr>
      <w:r>
        <w:continuationSeparator/>
      </w:r>
    </w:p>
  </w:footnote>
  <w:footnote w:id="1">
    <w:p w:rsidR="00E230FF" w:rsidRPr="00E230FF" w:rsidRDefault="00E230FF">
      <w:pPr>
        <w:pStyle w:val="FootnoteText"/>
        <w:rPr>
          <w:rFonts w:ascii="Georgia" w:hAnsi="Georgia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230FF">
        <w:rPr>
          <w:rFonts w:ascii="Georgia" w:hAnsi="Georgia"/>
          <w:sz w:val="16"/>
          <w:szCs w:val="16"/>
        </w:rPr>
        <w:t xml:space="preserve">realitate virtuală care combină caracteristici ale rețelelor sociale, jocurilor online, </w:t>
      </w:r>
      <w:r>
        <w:rPr>
          <w:rFonts w:ascii="Georgia" w:hAnsi="Georgia"/>
          <w:sz w:val="16"/>
          <w:szCs w:val="16"/>
        </w:rPr>
        <w:t>inteligenței artificiale</w:t>
      </w:r>
      <w:r w:rsidRPr="00E230FF">
        <w:rPr>
          <w:rFonts w:ascii="Georgia" w:hAnsi="Georgia"/>
          <w:sz w:val="16"/>
          <w:szCs w:val="16"/>
        </w:rPr>
        <w:t xml:space="preserve"> (A</w:t>
      </w:r>
      <w:r>
        <w:rPr>
          <w:rFonts w:ascii="Georgia" w:hAnsi="Georgia"/>
          <w:sz w:val="16"/>
          <w:szCs w:val="16"/>
        </w:rPr>
        <w:t>I</w:t>
      </w:r>
      <w:r w:rsidRPr="00E230FF">
        <w:rPr>
          <w:rFonts w:ascii="Georgia" w:hAnsi="Georgia"/>
          <w:sz w:val="16"/>
          <w:szCs w:val="16"/>
        </w:rPr>
        <w:t>), realității virtuale (VR) și criptomonede, pentru a permite utilizatorilor să interacționeze virtual.</w:t>
      </w:r>
    </w:p>
  </w:footnote>
  <w:footnote w:id="2">
    <w:p w:rsidR="0024018B" w:rsidRPr="003D23FF" w:rsidRDefault="0024018B" w:rsidP="0024018B">
      <w:pPr>
        <w:pStyle w:val="FootnoteText"/>
        <w:rPr>
          <w:rFonts w:ascii="Georgia" w:hAnsi="Georgia"/>
          <w:sz w:val="16"/>
          <w:szCs w:val="16"/>
        </w:rPr>
      </w:pPr>
      <w:r w:rsidRPr="003D23FF">
        <w:rPr>
          <w:rStyle w:val="FootnoteReference"/>
          <w:rFonts w:ascii="Georgia" w:hAnsi="Georgia"/>
          <w:sz w:val="16"/>
          <w:szCs w:val="16"/>
        </w:rPr>
        <w:footnoteRef/>
      </w:r>
      <w:r w:rsidRPr="003D23FF">
        <w:rPr>
          <w:rFonts w:ascii="Georgia" w:hAnsi="Georgia"/>
          <w:sz w:val="16"/>
          <w:szCs w:val="16"/>
        </w:rPr>
        <w:t xml:space="preserve"> </w:t>
      </w:r>
      <w:r w:rsidRPr="00E230FF">
        <w:rPr>
          <w:rFonts w:ascii="Georgia" w:hAnsi="Georgia"/>
          <w:sz w:val="16"/>
          <w:szCs w:val="16"/>
        </w:rPr>
        <w:t>registru partajat, descentralizat și imuabil</w:t>
      </w:r>
      <w:r>
        <w:rPr>
          <w:rFonts w:ascii="Georgia" w:hAnsi="Georgia"/>
          <w:sz w:val="16"/>
          <w:szCs w:val="16"/>
        </w:rPr>
        <w:t>,</w:t>
      </w:r>
      <w:r w:rsidRPr="00E230FF">
        <w:rPr>
          <w:rFonts w:ascii="Georgia" w:hAnsi="Georgia"/>
          <w:sz w:val="16"/>
          <w:szCs w:val="16"/>
        </w:rPr>
        <w:t xml:space="preserve"> care facilitează procesul de înregistrare a tranzacțiilor și de urmărire a activelor într-o rețea virtuală.</w:t>
      </w:r>
    </w:p>
  </w:footnote>
  <w:footnote w:id="3">
    <w:p w:rsidR="00102E0A" w:rsidRPr="00102E0A" w:rsidRDefault="00102E0A">
      <w:pPr>
        <w:pStyle w:val="FootnoteText"/>
        <w:rPr>
          <w:rFonts w:ascii="Georgia" w:hAnsi="Georgia"/>
          <w:sz w:val="16"/>
          <w:szCs w:val="16"/>
        </w:rPr>
      </w:pPr>
      <w:r w:rsidRPr="00102E0A">
        <w:rPr>
          <w:rStyle w:val="FootnoteReference"/>
          <w:rFonts w:ascii="Georgia" w:hAnsi="Georgia"/>
          <w:sz w:val="16"/>
          <w:szCs w:val="16"/>
        </w:rPr>
        <w:footnoteRef/>
      </w:r>
      <w:r w:rsidRPr="00102E0A">
        <w:rPr>
          <w:rFonts w:ascii="Georgia" w:hAnsi="Georgia"/>
          <w:sz w:val="16"/>
          <w:szCs w:val="16"/>
        </w:rPr>
        <w:t xml:space="preserve"> bursa de </w:t>
      </w:r>
      <w:proofErr w:type="spellStart"/>
      <w:r w:rsidRPr="00102E0A">
        <w:rPr>
          <w:rFonts w:ascii="Georgia" w:hAnsi="Georgia"/>
          <w:sz w:val="16"/>
          <w:szCs w:val="16"/>
        </w:rPr>
        <w:t>criptomonede</w:t>
      </w:r>
      <w:proofErr w:type="spellEnd"/>
      <w:r w:rsidRPr="00102E0A">
        <w:rPr>
          <w:rFonts w:ascii="Georgia" w:hAnsi="Georgia"/>
          <w:sz w:val="16"/>
          <w:szCs w:val="16"/>
        </w:rPr>
        <w:t xml:space="preserve"> FTX a anunțat că a </w:t>
      </w:r>
      <w:r>
        <w:rPr>
          <w:rFonts w:ascii="Georgia" w:hAnsi="Georgia"/>
          <w:sz w:val="16"/>
          <w:szCs w:val="16"/>
        </w:rPr>
        <w:t>intrat în</w:t>
      </w:r>
      <w:r w:rsidRPr="00102E0A">
        <w:rPr>
          <w:rFonts w:ascii="Georgia" w:hAnsi="Georgia"/>
          <w:sz w:val="16"/>
          <w:szCs w:val="16"/>
        </w:rPr>
        <w:t xml:space="preserve"> faliment. Prăbușirea FTX a dus, de asemenea, la o cădere liberă a prețurilor </w:t>
      </w:r>
      <w:r>
        <w:rPr>
          <w:rFonts w:ascii="Georgia" w:hAnsi="Georgia"/>
          <w:sz w:val="16"/>
          <w:szCs w:val="16"/>
        </w:rPr>
        <w:t xml:space="preserve">din piața </w:t>
      </w:r>
      <w:r w:rsidRPr="00102E0A">
        <w:rPr>
          <w:rFonts w:ascii="Georgia" w:hAnsi="Georgia"/>
          <w:sz w:val="16"/>
          <w:szCs w:val="16"/>
        </w:rPr>
        <w:t xml:space="preserve">cripto, </w:t>
      </w:r>
      <w:r>
        <w:rPr>
          <w:rFonts w:ascii="Georgia" w:hAnsi="Georgia"/>
          <w:sz w:val="16"/>
          <w:szCs w:val="16"/>
        </w:rPr>
        <w:t>criptomonedele înregistrând</w:t>
      </w:r>
      <w:r w:rsidRPr="00102E0A">
        <w:rPr>
          <w:rFonts w:ascii="Georgia" w:hAnsi="Georgia"/>
          <w:sz w:val="16"/>
          <w:szCs w:val="16"/>
        </w:rPr>
        <w:t xml:space="preserve"> cel mai scăzut nivel din ultimii </w:t>
      </w:r>
      <w:r>
        <w:rPr>
          <w:rFonts w:ascii="Georgia" w:hAnsi="Georgia"/>
          <w:sz w:val="16"/>
          <w:szCs w:val="16"/>
        </w:rPr>
        <w:t>2 (</w:t>
      </w:r>
      <w:r w:rsidRPr="00102E0A">
        <w:rPr>
          <w:rFonts w:ascii="Georgia" w:hAnsi="Georgia"/>
          <w:sz w:val="16"/>
          <w:szCs w:val="16"/>
        </w:rPr>
        <w:t>doi</w:t>
      </w:r>
      <w:r>
        <w:rPr>
          <w:rFonts w:ascii="Georgia" w:hAnsi="Georgia"/>
          <w:sz w:val="16"/>
          <w:szCs w:val="16"/>
        </w:rPr>
        <w:t>)</w:t>
      </w:r>
      <w:r w:rsidRPr="00102E0A">
        <w:rPr>
          <w:rFonts w:ascii="Georgia" w:hAnsi="Georgia"/>
          <w:sz w:val="16"/>
          <w:szCs w:val="16"/>
        </w:rPr>
        <w:t xml:space="preserve"> ani.</w:t>
      </w:r>
    </w:p>
  </w:footnote>
  <w:footnote w:id="4">
    <w:p w:rsidR="00421A56" w:rsidRDefault="00421A56" w:rsidP="00421A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hAnsi="Georgia"/>
          <w:sz w:val="16"/>
          <w:szCs w:val="16"/>
        </w:rPr>
        <w:t>Rapoartele BCE</w:t>
      </w:r>
      <w:r w:rsidRPr="003B238B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disponibile la</w:t>
      </w:r>
      <w:r w:rsidRPr="003B238B">
        <w:rPr>
          <w:rFonts w:ascii="Georgia" w:hAnsi="Georgia"/>
          <w:sz w:val="16"/>
          <w:szCs w:val="16"/>
        </w:rPr>
        <w:t xml:space="preserve"> </w:t>
      </w:r>
      <w:hyperlink r:id="rId1" w:history="1">
        <w:r w:rsidRPr="003B238B">
          <w:rPr>
            <w:rStyle w:val="Hyperlink"/>
            <w:rFonts w:ascii="Georgia" w:hAnsi="Georgia"/>
            <w:sz w:val="16"/>
            <w:szCs w:val="16"/>
          </w:rPr>
          <w:t xml:space="preserve">Virtual </w:t>
        </w:r>
        <w:proofErr w:type="spellStart"/>
        <w:r w:rsidRPr="003B238B">
          <w:rPr>
            <w:rStyle w:val="Hyperlink"/>
            <w:rFonts w:ascii="Georgia" w:hAnsi="Georgia"/>
            <w:sz w:val="16"/>
            <w:szCs w:val="16"/>
          </w:rPr>
          <w:t>currency</w:t>
        </w:r>
        <w:proofErr w:type="spellEnd"/>
        <w:r w:rsidRPr="003B238B">
          <w:rPr>
            <w:rStyle w:val="Hyperlink"/>
            <w:rFonts w:ascii="Georgia" w:hAnsi="Georgia"/>
            <w:sz w:val="16"/>
            <w:szCs w:val="16"/>
          </w:rPr>
          <w:t xml:space="preserve"> </w:t>
        </w:r>
        <w:proofErr w:type="spellStart"/>
        <w:r w:rsidRPr="003B238B">
          <w:rPr>
            <w:rStyle w:val="Hyperlink"/>
            <w:rFonts w:ascii="Georgia" w:hAnsi="Georgia"/>
            <w:sz w:val="16"/>
            <w:szCs w:val="16"/>
          </w:rPr>
          <w:t>schemes</w:t>
        </w:r>
        <w:proofErr w:type="spellEnd"/>
        <w:r w:rsidRPr="003B238B">
          <w:rPr>
            <w:rStyle w:val="Hyperlink"/>
            <w:rFonts w:ascii="Georgia" w:hAnsi="Georgia"/>
            <w:sz w:val="16"/>
            <w:szCs w:val="16"/>
          </w:rPr>
          <w:t xml:space="preserve"> - a </w:t>
        </w:r>
        <w:proofErr w:type="spellStart"/>
        <w:r w:rsidRPr="003B238B">
          <w:rPr>
            <w:rStyle w:val="Hyperlink"/>
            <w:rFonts w:ascii="Georgia" w:hAnsi="Georgia"/>
            <w:sz w:val="16"/>
            <w:szCs w:val="16"/>
          </w:rPr>
          <w:t>further</w:t>
        </w:r>
        <w:proofErr w:type="spellEnd"/>
        <w:r w:rsidRPr="003B238B">
          <w:rPr>
            <w:rStyle w:val="Hyperlink"/>
            <w:rFonts w:ascii="Georgia" w:hAnsi="Georgia"/>
            <w:sz w:val="16"/>
            <w:szCs w:val="16"/>
          </w:rPr>
          <w:t xml:space="preserve"> </w:t>
        </w:r>
        <w:proofErr w:type="spellStart"/>
        <w:r w:rsidRPr="003B238B">
          <w:rPr>
            <w:rStyle w:val="Hyperlink"/>
            <w:rFonts w:ascii="Georgia" w:hAnsi="Georgia"/>
            <w:sz w:val="16"/>
            <w:szCs w:val="16"/>
          </w:rPr>
          <w:t>analysis</w:t>
        </w:r>
        <w:proofErr w:type="spellEnd"/>
        <w:r w:rsidRPr="003B238B">
          <w:rPr>
            <w:rStyle w:val="Hyperlink"/>
            <w:rFonts w:ascii="Georgia" w:hAnsi="Georgia"/>
            <w:sz w:val="16"/>
            <w:szCs w:val="16"/>
          </w:rPr>
          <w:t xml:space="preserve"> (europa.eu)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B4" w:rsidRPr="009255F4" w:rsidRDefault="00B709B4" w:rsidP="00B709B4">
    <w:pPr>
      <w:pStyle w:val="Header"/>
      <w:jc w:val="center"/>
      <w:rPr>
        <w:rFonts w:ascii="Georgia" w:hAnsi="Georgia"/>
      </w:rPr>
    </w:pPr>
    <w:r w:rsidRPr="009255F4">
      <w:rPr>
        <w:rFonts w:ascii="Georgia" w:hAnsi="Georgia"/>
        <w:noProof/>
        <w:lang w:val="en-US"/>
      </w:rPr>
      <w:drawing>
        <wp:inline distT="0" distB="0" distL="0" distR="0" wp14:anchorId="2920AADD" wp14:editId="6547AEBC">
          <wp:extent cx="2638425" cy="523875"/>
          <wp:effectExtent l="0" t="0" r="9525" b="952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9B4" w:rsidRDefault="00B70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B4" w:rsidRPr="009255F4" w:rsidRDefault="00B709B4" w:rsidP="00B709B4">
    <w:pPr>
      <w:pStyle w:val="Header"/>
      <w:jc w:val="center"/>
      <w:rPr>
        <w:rFonts w:ascii="Georgia" w:hAnsi="Georgia"/>
      </w:rPr>
    </w:pPr>
    <w:r w:rsidRPr="009255F4">
      <w:rPr>
        <w:rFonts w:ascii="Georgia" w:hAnsi="Georgia"/>
        <w:noProof/>
        <w:lang w:val="en-US"/>
      </w:rPr>
      <w:drawing>
        <wp:inline distT="0" distB="0" distL="0" distR="0" wp14:anchorId="2920AADD" wp14:editId="6547AEBC">
          <wp:extent cx="2638425" cy="523875"/>
          <wp:effectExtent l="0" t="0" r="9525" b="952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9B4" w:rsidRPr="009255F4" w:rsidRDefault="00B709B4" w:rsidP="00B709B4">
    <w:pPr>
      <w:pStyle w:val="Header"/>
      <w:jc w:val="center"/>
      <w:rPr>
        <w:rFonts w:ascii="Georgia" w:hAnsi="Georgia"/>
      </w:rPr>
    </w:pPr>
  </w:p>
  <w:p w:rsidR="00B709B4" w:rsidRPr="009255F4" w:rsidRDefault="00B709B4" w:rsidP="00B709B4">
    <w:pPr>
      <w:pStyle w:val="Header"/>
      <w:jc w:val="center"/>
      <w:rPr>
        <w:rFonts w:ascii="Georgia" w:hAnsi="Georgia"/>
        <w:sz w:val="18"/>
      </w:rPr>
    </w:pPr>
    <w:r w:rsidRPr="009255F4">
      <w:rPr>
        <w:rFonts w:ascii="Georgia" w:hAnsi="Georgia"/>
        <w:sz w:val="18"/>
      </w:rPr>
      <w:t>B-dul Aviatorilor, nr. 43, sector 1, cod 011853, Bucure</w:t>
    </w:r>
    <w:r>
      <w:rPr>
        <w:rFonts w:ascii="Georgia" w:hAnsi="Georgia"/>
        <w:sz w:val="18"/>
      </w:rPr>
      <w:t>ști, ROMÂ</w:t>
    </w:r>
    <w:r w:rsidRPr="009255F4">
      <w:rPr>
        <w:rFonts w:ascii="Georgia" w:hAnsi="Georgia"/>
        <w:sz w:val="18"/>
      </w:rPr>
      <w:t>NIA</w:t>
    </w:r>
  </w:p>
  <w:p w:rsidR="00B709B4" w:rsidRPr="00DC3721" w:rsidRDefault="00B709B4" w:rsidP="00B709B4">
    <w:pPr>
      <w:pStyle w:val="Header"/>
      <w:pBdr>
        <w:bottom w:val="single" w:sz="4" w:space="1" w:color="auto"/>
      </w:pBdr>
      <w:jc w:val="center"/>
      <w:rPr>
        <w:rFonts w:ascii="Georgia" w:hAnsi="Georgia"/>
        <w:sz w:val="18"/>
      </w:rPr>
    </w:pPr>
    <w:r w:rsidRPr="009255F4">
      <w:rPr>
        <w:rFonts w:ascii="Georgia" w:hAnsi="Georgia"/>
        <w:sz w:val="18"/>
      </w:rPr>
      <w:t xml:space="preserve">Tel: (40-21) 202 5900; Fax: (40-21) 223 3957; 223 0495; E-mail: </w:t>
    </w:r>
    <w:hyperlink r:id="rId2" w:history="1">
      <w:r w:rsidRPr="009255F4">
        <w:rPr>
          <w:rStyle w:val="Hyperlink"/>
          <w:rFonts w:ascii="Georgia" w:hAnsi="Georgia"/>
          <w:sz w:val="18"/>
        </w:rPr>
        <w:t>general@musat.ro</w:t>
      </w:r>
    </w:hyperlink>
    <w:r w:rsidRPr="009255F4">
      <w:rPr>
        <w:rFonts w:ascii="Georgia" w:hAnsi="Georgia"/>
        <w:sz w:val="18"/>
      </w:rPr>
      <w:t xml:space="preserve">; Website: </w:t>
    </w:r>
    <w:hyperlink r:id="rId3" w:history="1">
      <w:r w:rsidRPr="009255F4">
        <w:rPr>
          <w:rStyle w:val="Hyperlink"/>
          <w:rFonts w:ascii="Georgia" w:hAnsi="Georgia"/>
          <w:sz w:val="18"/>
        </w:rPr>
        <w:t>www.musat.ro</w:t>
      </w:r>
    </w:hyperlink>
    <w:r w:rsidRPr="00DC3721">
      <w:rPr>
        <w:rFonts w:ascii="Georgia" w:hAnsi="Georgia"/>
        <w:sz w:val="18"/>
      </w:rPr>
      <w:t xml:space="preserve"> </w:t>
    </w:r>
  </w:p>
  <w:p w:rsidR="00B709B4" w:rsidRPr="00DC3721" w:rsidRDefault="00B709B4" w:rsidP="00B709B4">
    <w:pPr>
      <w:pStyle w:val="Header"/>
      <w:pBdr>
        <w:bottom w:val="single" w:sz="4" w:space="1" w:color="auto"/>
      </w:pBdr>
      <w:jc w:val="center"/>
      <w:rPr>
        <w:rFonts w:ascii="Georgia" w:hAnsi="Georgia"/>
        <w:sz w:val="18"/>
      </w:rPr>
    </w:pPr>
  </w:p>
  <w:p w:rsidR="00B709B4" w:rsidRDefault="00B709B4" w:rsidP="00B709B4">
    <w:pPr>
      <w:pStyle w:val="Header"/>
    </w:pPr>
  </w:p>
  <w:p w:rsidR="00B709B4" w:rsidRPr="00F157F7" w:rsidRDefault="00B709B4" w:rsidP="00B709B4">
    <w:pPr>
      <w:pStyle w:val="Header"/>
    </w:pPr>
  </w:p>
  <w:p w:rsidR="00B709B4" w:rsidRDefault="00B70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0E7"/>
    <w:multiLevelType w:val="hybridMultilevel"/>
    <w:tmpl w:val="783A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9074A"/>
    <w:multiLevelType w:val="hybridMultilevel"/>
    <w:tmpl w:val="6DA60114"/>
    <w:lvl w:ilvl="0" w:tplc="8F68231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03"/>
    <w:rsid w:val="000575B1"/>
    <w:rsid w:val="000B688D"/>
    <w:rsid w:val="000C0B24"/>
    <w:rsid w:val="000D16A1"/>
    <w:rsid w:val="000D2A5F"/>
    <w:rsid w:val="00102E0A"/>
    <w:rsid w:val="001821B2"/>
    <w:rsid w:val="001B32F2"/>
    <w:rsid w:val="0024018B"/>
    <w:rsid w:val="00245514"/>
    <w:rsid w:val="002D7FD2"/>
    <w:rsid w:val="00310725"/>
    <w:rsid w:val="003417DC"/>
    <w:rsid w:val="00391E3D"/>
    <w:rsid w:val="003B238B"/>
    <w:rsid w:val="003D23FF"/>
    <w:rsid w:val="003F6B17"/>
    <w:rsid w:val="00421A56"/>
    <w:rsid w:val="00426287"/>
    <w:rsid w:val="004802C7"/>
    <w:rsid w:val="004F2E1F"/>
    <w:rsid w:val="00520951"/>
    <w:rsid w:val="005609E2"/>
    <w:rsid w:val="00601C55"/>
    <w:rsid w:val="0067728B"/>
    <w:rsid w:val="00713A24"/>
    <w:rsid w:val="007B21FC"/>
    <w:rsid w:val="007F6AC3"/>
    <w:rsid w:val="00802226"/>
    <w:rsid w:val="008853EF"/>
    <w:rsid w:val="00942086"/>
    <w:rsid w:val="00944342"/>
    <w:rsid w:val="00977966"/>
    <w:rsid w:val="009E4CA0"/>
    <w:rsid w:val="009F690A"/>
    <w:rsid w:val="00A34952"/>
    <w:rsid w:val="00A42B19"/>
    <w:rsid w:val="00AB5C68"/>
    <w:rsid w:val="00B5470C"/>
    <w:rsid w:val="00B709B4"/>
    <w:rsid w:val="00CA6BC2"/>
    <w:rsid w:val="00D23303"/>
    <w:rsid w:val="00D2693A"/>
    <w:rsid w:val="00DA0E5A"/>
    <w:rsid w:val="00E230FF"/>
    <w:rsid w:val="00E77F31"/>
    <w:rsid w:val="00EC6E8A"/>
    <w:rsid w:val="00ED04B8"/>
    <w:rsid w:val="00F21ED0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BB24EC-F37A-4018-8408-2F83590D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0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1E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ED0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21E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47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1F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7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09B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7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B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b.europa.eu/pub/pdf/other/virtualcurrencyschemes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at.ro" TargetMode="External"/><Relationship Id="rId2" Type="http://schemas.openxmlformats.org/officeDocument/2006/relationships/hyperlink" Target="mailto:general@musat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90E9-D8C5-4DF5-AFC5-79C438F3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 &amp; Asociatii</dc:creator>
  <cp:keywords/>
  <dc:description/>
  <cp:lastModifiedBy>M&amp;A</cp:lastModifiedBy>
  <cp:revision>12</cp:revision>
  <dcterms:created xsi:type="dcterms:W3CDTF">2023-01-17T15:06:00Z</dcterms:created>
  <dcterms:modified xsi:type="dcterms:W3CDTF">2023-01-23T08:34:00Z</dcterms:modified>
</cp:coreProperties>
</file>