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25AB" w14:textId="77777777" w:rsidR="00174A9A" w:rsidRPr="0009754A" w:rsidRDefault="00174A9A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30E0632A" w14:textId="77777777" w:rsidR="00174A9A" w:rsidRPr="0009754A" w:rsidRDefault="00174A9A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2A3011A6" w14:textId="77777777" w:rsidR="00174A9A" w:rsidRPr="0009754A" w:rsidRDefault="00174A9A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5C3D2D28" w14:textId="77777777" w:rsidR="00174A9A" w:rsidRPr="0009754A" w:rsidRDefault="00174A9A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20196C77" w14:textId="3073E32C" w:rsidR="00174A9A" w:rsidRPr="00B325BF" w:rsidRDefault="0080551C" w:rsidP="0080551C">
      <w:pPr>
        <w:spacing w:before="120"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>
        <w:rPr>
          <w:rFonts w:asciiTheme="majorHAnsi" w:hAnsiTheme="majorHAnsi" w:cstheme="majorHAnsi"/>
          <w:b/>
          <w:bCs/>
          <w:lang w:val="ro-RO"/>
        </w:rPr>
        <w:t xml:space="preserve">Perioadele 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e</w:t>
      </w:r>
      <w:r w:rsidR="00CD49EE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>conomi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ce</w:t>
      </w:r>
      <w:r w:rsidR="00CD49EE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</w:t>
      </w:r>
      <w:r w:rsidR="006F4E44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>marcate de</w:t>
      </w:r>
      <w:r w:rsidR="008E1F1D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turbulențe</w:t>
      </w:r>
      <w:r w:rsidR="00CD49EE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generează riscuri operaționale </w:t>
      </w:r>
      <w:r w:rsidR="006F4E44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>nedorite</w:t>
      </w:r>
      <w:r w:rsidR="00CD49EE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. Cum pot companiile să </w:t>
      </w:r>
      <w:r w:rsidR="00072A97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prevină </w:t>
      </w:r>
      <w:r w:rsidR="00CD49EE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>fraud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a</w:t>
      </w:r>
      <w:r w:rsidR="00CD49EE" w:rsidRPr="00B325B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în contextul inflaționist actual?</w:t>
      </w:r>
    </w:p>
    <w:p w14:paraId="54A5D924" w14:textId="77777777" w:rsidR="0080551C" w:rsidRDefault="0080551C">
      <w:pPr>
        <w:spacing w:before="120" w:after="120" w:line="276" w:lineRule="auto"/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</w:p>
    <w:p w14:paraId="71652FFA" w14:textId="7C228DC6" w:rsidR="00174A9A" w:rsidRPr="00B325BF" w:rsidRDefault="00CD49EE">
      <w:pPr>
        <w:spacing w:before="120" w:after="120" w:line="276" w:lineRule="auto"/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  <w:r w:rsidRPr="00B325BF">
        <w:rPr>
          <w:rFonts w:asciiTheme="majorHAnsi" w:hAnsiTheme="majorHAnsi" w:cstheme="majorHAnsi"/>
          <w:i/>
          <w:iCs/>
          <w:sz w:val="20"/>
          <w:szCs w:val="20"/>
          <w:lang w:val="ro-RO"/>
        </w:rPr>
        <w:t>Articol de opinie de Burcin Atakan, Partener Consultanță Financiară, Deloitte România</w:t>
      </w:r>
    </w:p>
    <w:p w14:paraId="0CA81202" w14:textId="77777777" w:rsidR="00174A9A" w:rsidRPr="00B325BF" w:rsidRDefault="00174A9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42DE471C" w14:textId="1EC33C90" w:rsidR="00174A9A" w:rsidRPr="00B325BF" w:rsidRDefault="00CD49EE" w:rsidP="4CF66B4C">
      <w:pPr>
        <w:spacing w:before="120" w:after="120" w:line="276" w:lineRule="auto"/>
        <w:jc w:val="both"/>
        <w:rPr>
          <w:rFonts w:asciiTheme="majorHAnsi" w:hAnsiTheme="majorHAnsi" w:cstheme="majorBidi"/>
          <w:sz w:val="20"/>
          <w:szCs w:val="20"/>
          <w:lang w:val="ro-RO"/>
        </w:rPr>
      </w:pP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În prezent, lumea se confruntă cu 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>un nivel ridicat al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>inflați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>e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>i,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care afectează semnificativ regiunea Balcanilor, precum și 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 xml:space="preserve">întreaga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economi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>e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europeană și 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 xml:space="preserve">cea </w:t>
      </w:r>
      <w:r w:rsidR="00007C14" w:rsidRPr="00B325BF">
        <w:rPr>
          <w:rFonts w:asciiTheme="majorHAnsi" w:hAnsiTheme="majorHAnsi" w:cstheme="majorBidi"/>
          <w:sz w:val="20"/>
          <w:szCs w:val="20"/>
          <w:lang w:val="ro-RO"/>
        </w:rPr>
        <w:t>americană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. În </w:t>
      </w:r>
      <w:r w:rsidR="00C16ABB">
        <w:rPr>
          <w:rFonts w:asciiTheme="majorHAnsi" w:hAnsiTheme="majorHAnsi" w:cstheme="majorBidi"/>
          <w:sz w:val="20"/>
          <w:szCs w:val="20"/>
          <w:lang w:val="ro-RO"/>
        </w:rPr>
        <w:t>octombrie</w:t>
      </w:r>
      <w:r w:rsidR="00C16ABB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2022, în Uniunea Europeană (U</w:t>
      </w:r>
      <w:r w:rsidR="00B9710D" w:rsidRPr="00B325BF">
        <w:rPr>
          <w:rFonts w:asciiTheme="majorHAnsi" w:hAnsiTheme="majorHAnsi" w:cstheme="majorBidi"/>
          <w:sz w:val="20"/>
          <w:szCs w:val="20"/>
          <w:lang w:val="ro-RO"/>
        </w:rPr>
        <w:t>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), rat</w:t>
      </w:r>
      <w:r w:rsidR="009018A3" w:rsidRPr="00B325BF">
        <w:rPr>
          <w:rFonts w:asciiTheme="majorHAnsi" w:hAnsiTheme="majorHAnsi" w:cstheme="majorBidi"/>
          <w:sz w:val="20"/>
          <w:szCs w:val="20"/>
          <w:lang w:val="ro-RO"/>
        </w:rPr>
        <w:t>a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inflației a </w:t>
      </w:r>
      <w:r w:rsidR="009018A3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variat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între 7,</w:t>
      </w:r>
      <w:r w:rsidR="00C16ABB">
        <w:rPr>
          <w:rFonts w:asciiTheme="majorHAnsi" w:hAnsiTheme="majorHAnsi" w:cstheme="majorBidi"/>
          <w:sz w:val="20"/>
          <w:szCs w:val="20"/>
          <w:lang w:val="ro-RO"/>
        </w:rPr>
        <w:t>1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% (</w:t>
      </w:r>
      <w:r w:rsidR="00C16ABB">
        <w:rPr>
          <w:rFonts w:asciiTheme="majorHAnsi" w:hAnsiTheme="majorHAnsi" w:cstheme="majorBidi"/>
          <w:sz w:val="20"/>
          <w:szCs w:val="20"/>
          <w:lang w:val="ro-RO"/>
        </w:rPr>
        <w:t>Franța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) și 2</w:t>
      </w:r>
      <w:r w:rsidR="00C16ABB">
        <w:rPr>
          <w:rFonts w:asciiTheme="majorHAnsi" w:hAnsiTheme="majorHAnsi" w:cstheme="majorBidi"/>
          <w:sz w:val="20"/>
          <w:szCs w:val="20"/>
          <w:lang w:val="ro-RO"/>
        </w:rPr>
        <w:t>2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,</w:t>
      </w:r>
      <w:r w:rsidR="00C16ABB">
        <w:rPr>
          <w:rFonts w:asciiTheme="majorHAnsi" w:hAnsiTheme="majorHAnsi" w:cstheme="majorBidi"/>
          <w:sz w:val="20"/>
          <w:szCs w:val="20"/>
          <w:lang w:val="ro-RO"/>
        </w:rPr>
        <w:t>5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% (Estonia)</w:t>
      </w:r>
      <w:r w:rsidR="008B670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, potrivit datelor </w:t>
      </w:r>
      <w:r w:rsidR="0014503A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publice </w:t>
      </w:r>
      <w:r w:rsidR="008B670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recente. Comparativ </w:t>
      </w:r>
      <w:r w:rsidR="0014503A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cu 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>datel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>e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8B670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înregistrate în anii anteriori, acestea sunt 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>valori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14503A" w:rsidRPr="00B325BF">
        <w:rPr>
          <w:rFonts w:asciiTheme="majorHAnsi" w:hAnsiTheme="majorHAnsi" w:cstheme="majorBidi"/>
          <w:sz w:val="20"/>
          <w:szCs w:val="20"/>
          <w:lang w:val="ro-RO"/>
        </w:rPr>
        <w:t>cu un impact semnificativ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. Astfel de condiții se reflectă </w:t>
      </w:r>
      <w:r w:rsidR="008B670C" w:rsidRPr="00B325BF">
        <w:rPr>
          <w:rFonts w:asciiTheme="majorHAnsi" w:hAnsiTheme="majorHAnsi" w:cstheme="majorBidi"/>
          <w:sz w:val="20"/>
          <w:szCs w:val="20"/>
          <w:lang w:val="ro-RO"/>
        </w:rPr>
        <w:t>și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în viața de zi cu zi a consumatorilor, precum și în deciziile strategice ale </w:t>
      </w:r>
      <w:r w:rsidR="001773E6" w:rsidRPr="00B325BF">
        <w:rPr>
          <w:rFonts w:asciiTheme="majorHAnsi" w:hAnsiTheme="majorHAnsi" w:cstheme="majorBidi"/>
          <w:sz w:val="20"/>
          <w:szCs w:val="20"/>
          <w:lang w:val="ro-RO"/>
        </w:rPr>
        <w:t>companiilor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.</w:t>
      </w:r>
    </w:p>
    <w:p w14:paraId="0F46B72E" w14:textId="55F7C2BF" w:rsidR="00174A9A" w:rsidRDefault="001E28A9" w:rsidP="4CF66B4C">
      <w:pPr>
        <w:spacing w:before="120" w:after="120" w:line="276" w:lineRule="auto"/>
        <w:jc w:val="both"/>
        <w:rPr>
          <w:rFonts w:asciiTheme="majorHAnsi" w:hAnsiTheme="majorHAnsi" w:cstheme="majorBidi"/>
          <w:sz w:val="20"/>
          <w:szCs w:val="20"/>
          <w:lang w:val="ro-RO"/>
        </w:rPr>
      </w:pP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Efectele contextului inflaționist actual </w:t>
      </w:r>
      <w:r w:rsidR="00E36C6A" w:rsidRPr="00B325BF">
        <w:rPr>
          <w:rFonts w:asciiTheme="majorHAnsi" w:hAnsiTheme="majorHAnsi" w:cstheme="majorBidi"/>
          <w:sz w:val="20"/>
          <w:szCs w:val="20"/>
          <w:lang w:val="ro-RO"/>
        </w:rPr>
        <w:t>asupra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mediul</w:t>
      </w:r>
      <w:r w:rsidR="00E36C6A" w:rsidRPr="00B325BF">
        <w:rPr>
          <w:rFonts w:asciiTheme="majorHAnsi" w:hAnsiTheme="majorHAnsi" w:cstheme="majorBidi"/>
          <w:sz w:val="20"/>
          <w:szCs w:val="20"/>
          <w:lang w:val="ro-RO"/>
        </w:rPr>
        <w:t>ui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de afaceri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072A97" w:rsidRPr="00F05D33">
        <w:rPr>
          <w:rFonts w:asciiTheme="majorHAnsi" w:hAnsiTheme="majorHAnsi" w:cstheme="majorBidi"/>
          <w:sz w:val="20"/>
          <w:szCs w:val="20"/>
          <w:lang w:val="ro-RO"/>
        </w:rPr>
        <w:t>sunt multiple</w:t>
      </w:r>
      <w:r w:rsidR="009018A3" w:rsidRPr="00B325BF">
        <w:rPr>
          <w:rFonts w:asciiTheme="majorHAnsi" w:hAnsiTheme="majorHAnsi" w:cstheme="majorBidi"/>
          <w:sz w:val="20"/>
          <w:szCs w:val="20"/>
          <w:lang w:val="ro-RO"/>
        </w:rPr>
        <w:t>. C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reșterea 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>riscu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>lui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>de</w:t>
      </w:r>
      <w:r w:rsidR="001773E6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apariți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 xml:space="preserve">e </w:t>
      </w:r>
      <w:r w:rsidR="001773E6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fraud</w:t>
      </w:r>
      <w:r w:rsidR="001773E6" w:rsidRPr="00B325BF">
        <w:rPr>
          <w:rFonts w:asciiTheme="majorHAnsi" w:hAnsiTheme="majorHAnsi" w:cstheme="majorBidi"/>
          <w:sz w:val="20"/>
          <w:szCs w:val="20"/>
          <w:lang w:val="ro-RO"/>
        </w:rPr>
        <w:t>elor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și </w:t>
      </w:r>
      <w:r w:rsidR="001773E6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corupție</w:t>
      </w:r>
      <w:r w:rsidR="001773E6" w:rsidRPr="00B325BF">
        <w:rPr>
          <w:rFonts w:asciiTheme="majorHAnsi" w:hAnsiTheme="majorHAnsi" w:cstheme="majorBidi"/>
          <w:sz w:val="20"/>
          <w:szCs w:val="20"/>
          <w:lang w:val="ro-RO"/>
        </w:rPr>
        <w:t>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4060F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se numără printre provocările </w:t>
      </w:r>
      <w:r w:rsidR="00E36C6A" w:rsidRPr="00B325BF">
        <w:rPr>
          <w:rFonts w:asciiTheme="majorHAnsi" w:hAnsiTheme="majorHAnsi" w:cstheme="majorBidi"/>
          <w:sz w:val="20"/>
          <w:szCs w:val="20"/>
          <w:lang w:val="ro-RO"/>
        </w:rPr>
        <w:t>cărora</w:t>
      </w:r>
      <w:r w:rsidR="004060F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o</w:t>
      </w:r>
      <w:r w:rsidR="000C64D5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rganizațiile </w:t>
      </w:r>
      <w:r w:rsidR="004060F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trebuie </w:t>
      </w:r>
      <w:r w:rsidR="000C64D5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să </w:t>
      </w:r>
      <w:r w:rsidR="00E36C6A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le </w:t>
      </w:r>
      <w:r w:rsidR="000C64D5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acorde o atenție </w:t>
      </w:r>
      <w:r w:rsidR="00F124EB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și </w:t>
      </w:r>
      <w:r w:rsidR="000C64D5" w:rsidRPr="00B325BF">
        <w:rPr>
          <w:rFonts w:asciiTheme="majorHAnsi" w:hAnsiTheme="majorHAnsi" w:cstheme="majorBidi"/>
          <w:sz w:val="20"/>
          <w:szCs w:val="20"/>
          <w:lang w:val="ro-RO"/>
        </w:rPr>
        <w:t>mai mare decât înainte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. Riscul de fraudă în cadrul unei organizații poate apărea sub diferite forme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 xml:space="preserve"> și în diverse departamente,</w:t>
      </w:r>
      <w:r w:rsidR="0080551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>cum ar fi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achiziții, 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>vânzări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, marketing, financiar-contabil, logistic sau chiar </w:t>
      </w:r>
      <w:r w:rsidR="00E36C6A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în </w:t>
      </w:r>
      <w:r w:rsidR="0080551C" w:rsidRPr="00B325BF">
        <w:rPr>
          <w:rFonts w:asciiTheme="majorHAnsi" w:hAnsiTheme="majorHAnsi" w:cstheme="majorBidi"/>
          <w:sz w:val="20"/>
          <w:szCs w:val="20"/>
          <w:lang w:val="ro-RO"/>
        </w:rPr>
        <w:t>ce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>l</w:t>
      </w:r>
      <w:r w:rsidR="0080551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2651B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de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salarizare și resurse umane. </w:t>
      </w:r>
      <w:r w:rsidR="001773E6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</w:p>
    <w:p w14:paraId="5504EADA" w14:textId="77777777" w:rsidR="00072A97" w:rsidRPr="00B325BF" w:rsidRDefault="00072A97" w:rsidP="4CF66B4C">
      <w:pPr>
        <w:spacing w:before="120" w:after="120" w:line="276" w:lineRule="auto"/>
        <w:jc w:val="both"/>
        <w:rPr>
          <w:rFonts w:asciiTheme="majorHAnsi" w:hAnsiTheme="majorHAnsi" w:cstheme="majorBidi"/>
          <w:sz w:val="20"/>
          <w:szCs w:val="20"/>
          <w:lang w:val="ro-RO"/>
        </w:rPr>
      </w:pPr>
    </w:p>
    <w:p w14:paraId="3A94B8DA" w14:textId="7237F973" w:rsidR="00174A9A" w:rsidRPr="00B325BF" w:rsidRDefault="00CD49EE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 w:rsidRPr="00B325B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Care sunt schemele tipice de fraudă </w:t>
      </w:r>
      <w:r w:rsidR="00CA5630" w:rsidRPr="00B325B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care apar </w:t>
      </w:r>
      <w:r w:rsidRPr="00B325B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în </w:t>
      </w:r>
      <w:r w:rsidR="00EE34B7" w:rsidRPr="00B325B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perioade economice </w:t>
      </w:r>
      <w:r w:rsidR="00866243" w:rsidRPr="00B325BF">
        <w:rPr>
          <w:rFonts w:asciiTheme="majorHAnsi" w:hAnsiTheme="majorHAnsi" w:cstheme="majorHAnsi"/>
          <w:b/>
          <w:bCs/>
          <w:sz w:val="20"/>
          <w:szCs w:val="20"/>
          <w:lang w:val="ro-RO"/>
        </w:rPr>
        <w:t>marcate de turbulențe</w:t>
      </w:r>
      <w:r w:rsidRPr="00B325BF">
        <w:rPr>
          <w:rFonts w:asciiTheme="majorHAnsi" w:hAnsiTheme="majorHAnsi" w:cstheme="majorHAnsi"/>
          <w:b/>
          <w:bCs/>
          <w:sz w:val="20"/>
          <w:szCs w:val="20"/>
          <w:lang w:val="ro-RO"/>
        </w:rPr>
        <w:t>?</w:t>
      </w:r>
    </w:p>
    <w:p w14:paraId="6EDD45D7" w14:textId="5A8A33C9" w:rsidR="00174A9A" w:rsidRPr="00B325BF" w:rsidRDefault="00CD49EE" w:rsidP="4CF66B4C">
      <w:pPr>
        <w:spacing w:before="120" w:after="120" w:line="276" w:lineRule="auto"/>
        <w:jc w:val="both"/>
        <w:rPr>
          <w:rFonts w:asciiTheme="majorHAnsi" w:hAnsiTheme="majorHAnsi" w:cstheme="majorBidi"/>
          <w:sz w:val="20"/>
          <w:szCs w:val="20"/>
          <w:lang w:val="ro-RO"/>
        </w:rPr>
      </w:pP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În </w:t>
      </w:r>
      <w:r w:rsidR="00411841">
        <w:rPr>
          <w:rFonts w:asciiTheme="majorHAnsi" w:hAnsiTheme="majorHAnsi" w:cstheme="majorBidi"/>
          <w:sz w:val="20"/>
          <w:szCs w:val="20"/>
          <w:lang w:val="ro-RO"/>
        </w:rPr>
        <w:t xml:space="preserve">astfel de </w:t>
      </w:r>
      <w:r w:rsidR="00EE34B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perioade </w:t>
      </w:r>
      <w:r w:rsidR="00ED648C">
        <w:rPr>
          <w:rFonts w:asciiTheme="majorHAnsi" w:hAnsiTheme="majorHAnsi" w:cstheme="majorBidi"/>
          <w:sz w:val="20"/>
          <w:szCs w:val="20"/>
          <w:lang w:val="ro-RO"/>
        </w:rPr>
        <w:t xml:space="preserve">turbulente din punct de vedere </w:t>
      </w:r>
      <w:r w:rsidR="00EE34B7" w:rsidRPr="00B325BF">
        <w:rPr>
          <w:rFonts w:asciiTheme="majorHAnsi" w:hAnsiTheme="majorHAnsi" w:cstheme="majorBidi"/>
          <w:sz w:val="20"/>
          <w:szCs w:val="20"/>
          <w:lang w:val="ro-RO"/>
        </w:rPr>
        <w:t>economic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, </w:t>
      </w:r>
      <w:r w:rsidR="00007C14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unele dintre fraudele interne pot fi </w:t>
      </w:r>
      <w:r w:rsidR="00866243" w:rsidRPr="00B325BF">
        <w:rPr>
          <w:rFonts w:asciiTheme="majorHAnsi" w:hAnsiTheme="majorHAnsi" w:cstheme="majorBidi"/>
          <w:sz w:val="20"/>
          <w:szCs w:val="20"/>
          <w:lang w:val="ro-RO"/>
        </w:rPr>
        <w:t>descoperite.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866243" w:rsidRPr="00B325BF">
        <w:rPr>
          <w:rFonts w:asciiTheme="majorHAnsi" w:hAnsiTheme="majorHAnsi" w:cstheme="majorBidi"/>
          <w:sz w:val="20"/>
          <w:szCs w:val="20"/>
          <w:lang w:val="ro-RO"/>
        </w:rPr>
        <w:t>Î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n </w:t>
      </w:r>
      <w:r w:rsidR="00EE34B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decurs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de </w:t>
      </w:r>
      <w:r w:rsidR="00091AC0" w:rsidRPr="00B325BF">
        <w:rPr>
          <w:rFonts w:asciiTheme="majorHAnsi" w:hAnsiTheme="majorHAnsi" w:cstheme="majorBidi"/>
          <w:sz w:val="20"/>
          <w:szCs w:val="20"/>
          <w:lang w:val="ro-RO"/>
        </w:rPr>
        <w:t>trei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-</w:t>
      </w:r>
      <w:r w:rsidR="00091AC0" w:rsidRPr="00B325BF">
        <w:rPr>
          <w:rFonts w:asciiTheme="majorHAnsi" w:hAnsiTheme="majorHAnsi" w:cstheme="majorBidi"/>
          <w:sz w:val="20"/>
          <w:szCs w:val="20"/>
          <w:lang w:val="ro-RO"/>
        </w:rPr>
        <w:t>șase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luni</w:t>
      </w:r>
      <w:r w:rsidR="00E36C6A" w:rsidRPr="00B325BF">
        <w:rPr>
          <w:rFonts w:asciiTheme="majorHAnsi" w:hAnsiTheme="majorHAnsi" w:cstheme="majorBidi"/>
          <w:sz w:val="20"/>
          <w:szCs w:val="20"/>
          <w:lang w:val="ro-RO"/>
        </w:rPr>
        <w:t>,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36C6A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unele tipare de fraudă </w:t>
      </w:r>
      <w:r w:rsidR="00866243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devin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vizibile 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 xml:space="preserve">pentru 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>departamentel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>e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de control</w:t>
      </w:r>
      <w:r w:rsidR="00866243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072A97">
        <w:rPr>
          <w:rFonts w:asciiTheme="majorHAnsi" w:hAnsiTheme="majorHAnsi" w:cstheme="majorBidi"/>
          <w:sz w:val="20"/>
          <w:szCs w:val="20"/>
          <w:lang w:val="ro-RO"/>
        </w:rPr>
        <w:t>din cadrul</w:t>
      </w:r>
      <w:r w:rsidR="00072A9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organizați</w:t>
      </w:r>
      <w:r w:rsidR="00E36C6A" w:rsidRPr="00B325BF">
        <w:rPr>
          <w:rFonts w:asciiTheme="majorHAnsi" w:hAnsiTheme="majorHAnsi" w:cstheme="majorBidi"/>
          <w:sz w:val="20"/>
          <w:szCs w:val="20"/>
          <w:lang w:val="ro-RO"/>
        </w:rPr>
        <w:t>e</w:t>
      </w:r>
      <w:r w:rsidR="00866243" w:rsidRPr="00B325BF">
        <w:rPr>
          <w:rFonts w:asciiTheme="majorHAnsi" w:hAnsiTheme="majorHAnsi" w:cstheme="majorBidi"/>
          <w:sz w:val="20"/>
          <w:szCs w:val="20"/>
          <w:lang w:val="ro-RO"/>
        </w:rPr>
        <w:t>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. </w:t>
      </w:r>
      <w:r w:rsidR="00866243" w:rsidRPr="00B325BF">
        <w:rPr>
          <w:rFonts w:asciiTheme="majorHAnsi" w:hAnsiTheme="majorHAnsi" w:cstheme="majorBidi"/>
          <w:sz w:val="20"/>
          <w:szCs w:val="20"/>
          <w:lang w:val="ro-RO"/>
        </w:rPr>
        <w:t>În astfel de situații, f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raudele </w:t>
      </w:r>
      <w:r w:rsidR="00866243" w:rsidRPr="00B325BF">
        <w:rPr>
          <w:rFonts w:asciiTheme="majorHAnsi" w:hAnsiTheme="majorHAnsi" w:cstheme="majorBidi"/>
          <w:sz w:val="20"/>
          <w:szCs w:val="20"/>
          <w:lang w:val="ro-RO"/>
        </w:rPr>
        <w:t>c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onstau în </w:t>
      </w:r>
      <w:r w:rsidR="00EE34B7" w:rsidRPr="00B325BF">
        <w:rPr>
          <w:rFonts w:asciiTheme="majorHAnsi" w:hAnsiTheme="majorHAnsi" w:cstheme="majorBidi"/>
          <w:sz w:val="20"/>
          <w:szCs w:val="20"/>
          <w:lang w:val="ro-RO"/>
        </w:rPr>
        <w:t>sustrageri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de</w:t>
      </w:r>
      <w:r w:rsidR="00411841">
        <w:rPr>
          <w:rFonts w:asciiTheme="majorHAnsi" w:hAnsiTheme="majorHAnsi" w:cstheme="majorBidi"/>
          <w:sz w:val="20"/>
          <w:szCs w:val="20"/>
          <w:lang w:val="ro-RO"/>
        </w:rPr>
        <w:t xml:space="preserve"> produse care se află pe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stoc, scheme </w:t>
      </w:r>
      <w:proofErr w:type="spellStart"/>
      <w:r w:rsidRPr="00B325BF">
        <w:rPr>
          <w:rFonts w:asciiTheme="majorHAnsi" w:hAnsiTheme="majorHAnsi" w:cstheme="majorBidi"/>
          <w:sz w:val="20"/>
          <w:szCs w:val="20"/>
          <w:lang w:val="ro-RO"/>
        </w:rPr>
        <w:t>Ponzi</w:t>
      </w:r>
      <w:proofErr w:type="spellEnd"/>
      <w:r w:rsidRPr="00B325BF">
        <w:rPr>
          <w:rFonts w:asciiTheme="majorHAnsi" w:hAnsiTheme="majorHAnsi" w:cstheme="majorBidi"/>
          <w:sz w:val="20"/>
          <w:szCs w:val="20"/>
          <w:lang w:val="ro-RO"/>
        </w:rPr>
        <w:t>, deturnări de active etc.</w:t>
      </w:r>
      <w:r w:rsidR="00CC793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U</w:t>
      </w:r>
      <w:r w:rsidR="00007C14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n </w:t>
      </w:r>
      <w:r w:rsidR="00091AC0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sistem solid </w:t>
      </w:r>
      <w:r w:rsidR="00411841">
        <w:rPr>
          <w:rFonts w:asciiTheme="majorHAnsi" w:hAnsiTheme="majorHAnsi" w:cstheme="majorBidi"/>
          <w:sz w:val="20"/>
          <w:szCs w:val="20"/>
          <w:lang w:val="ro-RO"/>
        </w:rPr>
        <w:t>de</w:t>
      </w:r>
      <w:r w:rsidR="00411841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management</w:t>
      </w:r>
      <w:r w:rsidR="00411841">
        <w:rPr>
          <w:rFonts w:asciiTheme="majorHAnsi" w:hAnsiTheme="majorHAnsi" w:cstheme="majorBidi"/>
          <w:sz w:val="20"/>
          <w:szCs w:val="20"/>
          <w:lang w:val="ro-RO"/>
        </w:rPr>
        <w:t xml:space="preserve"> al </w:t>
      </w:r>
      <w:r w:rsidR="00411841" w:rsidRPr="00B325BF">
        <w:rPr>
          <w:rFonts w:asciiTheme="majorHAnsi" w:hAnsiTheme="majorHAnsi" w:cstheme="majorBidi"/>
          <w:sz w:val="20"/>
          <w:szCs w:val="20"/>
          <w:lang w:val="ro-RO"/>
        </w:rPr>
        <w:t>riscu</w:t>
      </w:r>
      <w:r w:rsidR="00411841">
        <w:rPr>
          <w:rFonts w:asciiTheme="majorHAnsi" w:hAnsiTheme="majorHAnsi" w:cstheme="majorBidi"/>
          <w:sz w:val="20"/>
          <w:szCs w:val="20"/>
          <w:lang w:val="ro-RO"/>
        </w:rPr>
        <w:t xml:space="preserve">lui </w:t>
      </w:r>
      <w:r w:rsidR="00411841" w:rsidRPr="00B325BF">
        <w:rPr>
          <w:rFonts w:asciiTheme="majorHAnsi" w:hAnsiTheme="majorHAnsi" w:cstheme="majorBidi"/>
          <w:sz w:val="20"/>
          <w:szCs w:val="20"/>
          <w:lang w:val="ro-RO"/>
        </w:rPr>
        <w:t>poa</w:t>
      </w:r>
      <w:r w:rsidR="00411841">
        <w:rPr>
          <w:rFonts w:asciiTheme="majorHAnsi" w:hAnsiTheme="majorHAnsi" w:cstheme="majorBidi"/>
          <w:sz w:val="20"/>
          <w:szCs w:val="20"/>
          <w:lang w:val="ro-RO"/>
        </w:rPr>
        <w:t>t</w:t>
      </w:r>
      <w:r w:rsidR="00411841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e </w:t>
      </w:r>
      <w:r w:rsidR="00411841">
        <w:rPr>
          <w:rFonts w:asciiTheme="majorHAnsi" w:hAnsiTheme="majorHAnsi" w:cstheme="majorBidi"/>
          <w:sz w:val="20"/>
          <w:szCs w:val="20"/>
          <w:lang w:val="ro-RO"/>
        </w:rPr>
        <w:t>contribui la</w:t>
      </w:r>
      <w:r w:rsidR="00411841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866243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detectarea </w:t>
      </w:r>
      <w:r w:rsidR="00411841">
        <w:rPr>
          <w:rFonts w:asciiTheme="majorHAnsi" w:hAnsiTheme="majorHAnsi" w:cstheme="majorBidi"/>
          <w:sz w:val="20"/>
          <w:szCs w:val="20"/>
          <w:lang w:val="ro-RO"/>
        </w:rPr>
        <w:t xml:space="preserve">din timp a </w:t>
      </w:r>
      <w:r w:rsidR="00866243" w:rsidRPr="00B325BF">
        <w:rPr>
          <w:rFonts w:asciiTheme="majorHAnsi" w:hAnsiTheme="majorHAnsi" w:cstheme="majorBidi"/>
          <w:sz w:val="20"/>
          <w:szCs w:val="20"/>
          <w:lang w:val="ro-RO"/>
        </w:rPr>
        <w:t>acestor nereguli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.</w:t>
      </w:r>
    </w:p>
    <w:p w14:paraId="39CD2AF6" w14:textId="29D647E9" w:rsidR="00174A9A" w:rsidRPr="00B325BF" w:rsidRDefault="00411841" w:rsidP="4CF66B4C">
      <w:pPr>
        <w:spacing w:before="120" w:after="120" w:line="276" w:lineRule="auto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  <w:lang w:val="ro-RO"/>
        </w:rPr>
        <w:t>Unul dintre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efect</w:t>
      </w:r>
      <w:r>
        <w:rPr>
          <w:rFonts w:asciiTheme="majorHAnsi" w:hAnsiTheme="majorHAnsi" w:cstheme="majorBidi"/>
          <w:sz w:val="20"/>
          <w:szCs w:val="20"/>
          <w:lang w:val="ro-RO"/>
        </w:rPr>
        <w:t>ele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unei economii </w:t>
      </w:r>
      <w:r w:rsidR="00B32A27" w:rsidRPr="00B325BF">
        <w:rPr>
          <w:rFonts w:asciiTheme="majorHAnsi" w:hAnsiTheme="majorHAnsi" w:cstheme="majorBidi"/>
          <w:sz w:val="20"/>
          <w:szCs w:val="20"/>
          <w:lang w:val="ro-RO"/>
        </w:rPr>
        <w:t>marcate de turbulențe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este </w:t>
      </w:r>
      <w:r w:rsidRPr="00B325BF">
        <w:rPr>
          <w:rFonts w:asciiTheme="majorHAnsi" w:hAnsiTheme="majorHAnsi" w:cstheme="majorBidi"/>
          <w:b/>
          <w:bCs/>
          <w:sz w:val="20"/>
          <w:szCs w:val="20"/>
          <w:lang w:val="ro-RO"/>
        </w:rPr>
        <w:t>înrăutățirea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B32A27" w:rsidRPr="00B325BF">
        <w:rPr>
          <w:rFonts w:asciiTheme="majorHAnsi" w:hAnsiTheme="majorHAnsi" w:cstheme="majorBidi"/>
          <w:b/>
          <w:bCs/>
          <w:sz w:val="20"/>
          <w:szCs w:val="20"/>
          <w:lang w:val="ro-RO"/>
        </w:rPr>
        <w:t>situați</w:t>
      </w:r>
      <w:r>
        <w:rPr>
          <w:rFonts w:asciiTheme="majorHAnsi" w:hAnsiTheme="majorHAnsi" w:cstheme="majorBidi"/>
          <w:b/>
          <w:bCs/>
          <w:sz w:val="20"/>
          <w:szCs w:val="20"/>
          <w:lang w:val="ro-RO"/>
        </w:rPr>
        <w:t>e</w:t>
      </w:r>
      <w:r w:rsidR="00B32A27" w:rsidRPr="00B325BF">
        <w:rPr>
          <w:rFonts w:asciiTheme="majorHAnsi" w:hAnsiTheme="majorHAnsi" w:cstheme="majorBidi"/>
          <w:b/>
          <w:bCs/>
          <w:sz w:val="20"/>
          <w:szCs w:val="20"/>
          <w:lang w:val="ro-RO"/>
        </w:rPr>
        <w:t>i</w:t>
      </w:r>
      <w:r w:rsidR="00CD49EE" w:rsidRPr="00B325BF">
        <w:rPr>
          <w:rFonts w:asciiTheme="majorHAnsi" w:hAnsiTheme="majorHAnsi" w:cstheme="majorBidi"/>
          <w:b/>
          <w:bCs/>
          <w:sz w:val="20"/>
          <w:szCs w:val="20"/>
          <w:lang w:val="ro-RO"/>
        </w:rPr>
        <w:t xml:space="preserve"> financiar</w:t>
      </w:r>
      <w:r w:rsidR="00B32A27" w:rsidRPr="00B325BF">
        <w:rPr>
          <w:rFonts w:asciiTheme="majorHAnsi" w:hAnsiTheme="majorHAnsi" w:cstheme="majorBidi"/>
          <w:b/>
          <w:bCs/>
          <w:sz w:val="20"/>
          <w:szCs w:val="20"/>
          <w:lang w:val="ro-RO"/>
        </w:rPr>
        <w:t>e</w:t>
      </w:r>
      <w:r w:rsidR="00CD49EE" w:rsidRPr="00B325BF">
        <w:rPr>
          <w:rFonts w:asciiTheme="majorHAnsi" w:hAnsiTheme="majorHAnsi" w:cstheme="majorBidi"/>
          <w:b/>
          <w:bCs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Bidi"/>
          <w:b/>
          <w:bCs/>
          <w:sz w:val="20"/>
          <w:szCs w:val="20"/>
          <w:lang w:val="ro-RO"/>
        </w:rPr>
        <w:t>a unor</w:t>
      </w:r>
      <w:r w:rsidR="00B32A27" w:rsidRPr="00B325BF">
        <w:rPr>
          <w:rFonts w:asciiTheme="majorHAnsi" w:hAnsiTheme="majorHAnsi" w:cstheme="majorBidi"/>
          <w:b/>
          <w:bCs/>
          <w:sz w:val="20"/>
          <w:szCs w:val="20"/>
          <w:lang w:val="ro-RO"/>
        </w:rPr>
        <w:t xml:space="preserve"> </w:t>
      </w:r>
      <w:r w:rsidR="00CD49EE" w:rsidRPr="00B325BF">
        <w:rPr>
          <w:rFonts w:asciiTheme="majorHAnsi" w:hAnsiTheme="majorHAnsi" w:cstheme="majorBidi"/>
          <w:b/>
          <w:bCs/>
          <w:sz w:val="20"/>
          <w:szCs w:val="20"/>
          <w:lang w:val="ro-RO"/>
        </w:rPr>
        <w:t>angajați</w:t>
      </w:r>
      <w:r>
        <w:rPr>
          <w:rFonts w:asciiTheme="majorHAnsi" w:hAnsiTheme="majorHAnsi" w:cstheme="majorBidi"/>
          <w:b/>
          <w:bCs/>
          <w:sz w:val="20"/>
          <w:szCs w:val="20"/>
          <w:lang w:val="ro-RO"/>
        </w:rPr>
        <w:t>,</w:t>
      </w:r>
      <w:r w:rsidR="00BB5C8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Bidi"/>
          <w:sz w:val="20"/>
          <w:szCs w:val="20"/>
          <w:lang w:val="ro-RO"/>
        </w:rPr>
        <w:t>a unor membri ai echipei de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b/>
          <w:bCs/>
          <w:sz w:val="20"/>
          <w:szCs w:val="20"/>
          <w:lang w:val="ro-RO"/>
        </w:rPr>
        <w:t>manage</w:t>
      </w:r>
      <w:r>
        <w:rPr>
          <w:rFonts w:asciiTheme="majorHAnsi" w:hAnsiTheme="majorHAnsi" w:cstheme="majorBidi"/>
          <w:b/>
          <w:bCs/>
          <w:sz w:val="20"/>
          <w:szCs w:val="20"/>
          <w:lang w:val="ro-RO"/>
        </w:rPr>
        <w:t>ment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sau 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chiar </w:t>
      </w:r>
      <w:r>
        <w:rPr>
          <w:rFonts w:asciiTheme="majorHAnsi" w:hAnsiTheme="majorHAnsi" w:cstheme="majorBidi"/>
          <w:sz w:val="20"/>
          <w:szCs w:val="20"/>
          <w:lang w:val="ro-RO"/>
        </w:rPr>
        <w:t>a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Bidi"/>
          <w:b/>
          <w:bCs/>
          <w:sz w:val="20"/>
          <w:szCs w:val="20"/>
          <w:lang w:val="ro-RO"/>
        </w:rPr>
        <w:t>proprietarilor companiei</w:t>
      </w:r>
      <w:r w:rsidR="00CC793E" w:rsidRPr="00B325BF">
        <w:rPr>
          <w:rFonts w:asciiTheme="majorHAnsi" w:hAnsiTheme="majorHAnsi" w:cstheme="majorBidi"/>
          <w:sz w:val="20"/>
          <w:szCs w:val="20"/>
          <w:lang w:val="ro-RO"/>
        </w:rPr>
        <w:t>.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Un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ele dintre aceste persoane </w:t>
      </w:r>
      <w:r w:rsidR="00B32A27" w:rsidRPr="00B325BF">
        <w:rPr>
          <w:rFonts w:asciiTheme="majorHAnsi" w:hAnsiTheme="majorHAnsi" w:cstheme="majorBidi"/>
          <w:sz w:val="20"/>
          <w:szCs w:val="20"/>
          <w:lang w:val="ro-RO"/>
        </w:rPr>
        <w:t>ar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CC793E" w:rsidRPr="00B325BF">
        <w:rPr>
          <w:rFonts w:asciiTheme="majorHAnsi" w:hAnsiTheme="majorHAnsi" w:cstheme="majorBidi"/>
          <w:sz w:val="20"/>
          <w:szCs w:val="20"/>
          <w:lang w:val="ro-RO"/>
        </w:rPr>
        <w:t>p</w:t>
      </w:r>
      <w:r w:rsidR="00B32A27" w:rsidRPr="00B325BF">
        <w:rPr>
          <w:rFonts w:asciiTheme="majorHAnsi" w:hAnsiTheme="majorHAnsi" w:cstheme="majorBidi"/>
          <w:sz w:val="20"/>
          <w:szCs w:val="20"/>
          <w:lang w:val="ro-RO"/>
        </w:rPr>
        <w:t>utea</w:t>
      </w:r>
      <w:r w:rsidR="00CC793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>recurge la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 escrocherii </w:t>
      </w:r>
      <w:r w:rsidR="00BB5C8F" w:rsidRPr="00B325BF">
        <w:rPr>
          <w:rFonts w:asciiTheme="majorHAnsi" w:hAnsiTheme="majorHAnsi" w:cstheme="majorBidi"/>
          <w:sz w:val="20"/>
          <w:szCs w:val="20"/>
          <w:lang w:val="ro-RO"/>
        </w:rPr>
        <w:t>(</w:t>
      </w:r>
      <w:proofErr w:type="spellStart"/>
      <w:r w:rsidR="00CC793E" w:rsidRPr="00B325BF">
        <w:rPr>
          <w:rFonts w:asciiTheme="majorHAnsi" w:hAnsiTheme="majorHAnsi" w:cstheme="majorBidi"/>
          <w:i/>
          <w:iCs/>
          <w:sz w:val="20"/>
          <w:szCs w:val="20"/>
          <w:lang w:val="ro-RO"/>
        </w:rPr>
        <w:t>d</w:t>
      </w:r>
      <w:r w:rsidR="00CD49EE" w:rsidRPr="00B325BF">
        <w:rPr>
          <w:rFonts w:asciiTheme="majorHAnsi" w:hAnsiTheme="majorHAnsi" w:cstheme="majorBidi"/>
          <w:i/>
          <w:iCs/>
          <w:sz w:val="20"/>
          <w:szCs w:val="20"/>
          <w:lang w:val="ro-RO"/>
        </w:rPr>
        <w:t>efrauding</w:t>
      </w:r>
      <w:proofErr w:type="spellEnd"/>
      <w:r w:rsidR="00BB5C8F" w:rsidRPr="00B325BF">
        <w:rPr>
          <w:rFonts w:asciiTheme="majorHAnsi" w:hAnsiTheme="majorHAnsi" w:cstheme="majorBidi"/>
          <w:i/>
          <w:iCs/>
          <w:sz w:val="20"/>
          <w:szCs w:val="20"/>
          <w:lang w:val="ro-RO"/>
        </w:rPr>
        <w:t>)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, care 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se referă la tranzacții fraudulente ce implică 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scurgeri de </w:t>
      </w:r>
      <w:r>
        <w:rPr>
          <w:rFonts w:asciiTheme="majorHAnsi" w:hAnsiTheme="majorHAnsi" w:cstheme="majorBidi"/>
          <w:sz w:val="20"/>
          <w:szCs w:val="20"/>
          <w:lang w:val="ro-RO"/>
        </w:rPr>
        <w:t>bani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>, fals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>ificarea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situațiilor financiare, </w:t>
      </w:r>
      <w:r w:rsidR="004537D3" w:rsidRPr="00B325BF">
        <w:rPr>
          <w:rFonts w:asciiTheme="majorHAnsi" w:hAnsiTheme="majorHAnsi" w:cstheme="majorBidi"/>
          <w:sz w:val="20"/>
          <w:szCs w:val="20"/>
          <w:lang w:val="ro-RO"/>
        </w:rPr>
        <w:t>fraud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>e</w:t>
      </w:r>
      <w:r w:rsidR="004537D3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 xml:space="preserve">legate de 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>achiziții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B32A2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sau în relația cu 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furnizorii etc. </w:t>
      </w:r>
      <w:r w:rsidR="00B32A2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De asemenea, </w:t>
      </w:r>
      <w:r w:rsidR="001C5117" w:rsidRPr="00B325BF">
        <w:rPr>
          <w:rFonts w:asciiTheme="majorHAnsi" w:hAnsiTheme="majorHAnsi" w:cstheme="majorBidi"/>
          <w:sz w:val="20"/>
          <w:szCs w:val="20"/>
          <w:lang w:val="ro-RO"/>
        </w:rPr>
        <w:t>a</w:t>
      </w:r>
      <w:r w:rsidR="00EE34B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tunci când 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 xml:space="preserve">unele persoane recurg la </w:t>
      </w:r>
      <w:r w:rsidR="00EE34B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aceste tipuri de fraudă, 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 xml:space="preserve">ele au </w:t>
      </w:r>
      <w:r w:rsidR="004537D3" w:rsidRPr="00B325BF">
        <w:rPr>
          <w:rFonts w:asciiTheme="majorHAnsi" w:hAnsiTheme="majorHAnsi" w:cstheme="majorBidi"/>
          <w:sz w:val="20"/>
          <w:szCs w:val="20"/>
          <w:lang w:val="ro-RO"/>
        </w:rPr>
        <w:t>tendinț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>a</w:t>
      </w:r>
      <w:r w:rsidR="004537D3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 xml:space="preserve">de a încerca să </w:t>
      </w:r>
      <w:r w:rsidR="00ED648C">
        <w:rPr>
          <w:rFonts w:asciiTheme="majorHAnsi" w:hAnsiTheme="majorHAnsi" w:cstheme="majorBidi"/>
          <w:sz w:val="20"/>
          <w:szCs w:val="20"/>
          <w:lang w:val="ro-RO"/>
        </w:rPr>
        <w:t>comit</w:t>
      </w:r>
      <w:r w:rsidR="005970F0">
        <w:rPr>
          <w:rFonts w:asciiTheme="majorHAnsi" w:hAnsiTheme="majorHAnsi" w:cstheme="majorBidi"/>
          <w:sz w:val="20"/>
          <w:szCs w:val="20"/>
          <w:lang w:val="ro-RO"/>
        </w:rPr>
        <w:t>ă</w:t>
      </w:r>
      <w:r w:rsidR="00ED648C">
        <w:rPr>
          <w:rFonts w:asciiTheme="majorHAnsi" w:hAnsiTheme="majorHAnsi" w:cstheme="majorBidi"/>
          <w:sz w:val="20"/>
          <w:szCs w:val="20"/>
          <w:lang w:val="ro-RO"/>
        </w:rPr>
        <w:t xml:space="preserve"> acte de corup</w:t>
      </w:r>
      <w:r w:rsidR="005970F0">
        <w:rPr>
          <w:rFonts w:asciiTheme="majorHAnsi" w:hAnsiTheme="majorHAnsi" w:cstheme="majorBidi"/>
          <w:sz w:val="20"/>
          <w:szCs w:val="20"/>
          <w:lang w:val="ro-RO"/>
        </w:rPr>
        <w:t>ț</w:t>
      </w:r>
      <w:r w:rsidR="00ED648C">
        <w:rPr>
          <w:rFonts w:asciiTheme="majorHAnsi" w:hAnsiTheme="majorHAnsi" w:cstheme="majorBidi"/>
          <w:sz w:val="20"/>
          <w:szCs w:val="20"/>
          <w:lang w:val="ro-RO"/>
        </w:rPr>
        <w:t>ie</w:t>
      </w:r>
      <w:r w:rsidR="004537D3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sau 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 xml:space="preserve">de a folosi 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>scheme de relansare</w:t>
      </w:r>
      <w:r w:rsidR="00EE34B7" w:rsidRPr="00B325BF">
        <w:rPr>
          <w:rFonts w:asciiTheme="majorHAnsi" w:hAnsiTheme="majorHAnsi" w:cstheme="majorBidi"/>
          <w:sz w:val="20"/>
          <w:szCs w:val="20"/>
          <w:lang w:val="ro-RO"/>
        </w:rPr>
        <w:t>.</w:t>
      </w:r>
      <w:r w:rsidR="00CD49EE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4537D3" w:rsidRPr="00B325BF">
        <w:rPr>
          <w:rFonts w:asciiTheme="majorHAnsi" w:hAnsiTheme="majorHAnsi" w:cstheme="majorBidi"/>
          <w:sz w:val="20"/>
          <w:szCs w:val="20"/>
          <w:lang w:val="ro-RO"/>
        </w:rPr>
        <w:t>A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 xml:space="preserve">stfel de </w:t>
      </w:r>
      <w:r w:rsidR="001C5117" w:rsidRPr="00B325BF">
        <w:rPr>
          <w:rFonts w:asciiTheme="majorHAnsi" w:hAnsiTheme="majorHAnsi" w:cstheme="majorBidi"/>
          <w:sz w:val="20"/>
          <w:szCs w:val="20"/>
          <w:lang w:val="ro-RO"/>
        </w:rPr>
        <w:t>comportament</w:t>
      </w:r>
      <w:r w:rsidR="00FA3442" w:rsidRPr="00B325BF">
        <w:rPr>
          <w:rFonts w:asciiTheme="majorHAnsi" w:hAnsiTheme="majorHAnsi" w:cstheme="majorBidi"/>
          <w:sz w:val="20"/>
          <w:szCs w:val="20"/>
          <w:lang w:val="ro-RO"/>
        </w:rPr>
        <w:t>e</w:t>
      </w:r>
      <w:r w:rsidR="001C511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 xml:space="preserve">imorale </w:t>
      </w:r>
      <w:r w:rsidR="001C5117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pot fi detectate prin acțiuni de prevenție, cum ar fi politici și 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 xml:space="preserve">modalități stricte de </w:t>
      </w:r>
      <w:r w:rsidR="001C5117" w:rsidRPr="00B325BF">
        <w:rPr>
          <w:rFonts w:asciiTheme="majorHAnsi" w:hAnsiTheme="majorHAnsi" w:cstheme="majorBidi"/>
          <w:sz w:val="20"/>
          <w:szCs w:val="20"/>
          <w:lang w:val="ro-RO"/>
        </w:rPr>
        <w:t>contro</w:t>
      </w:r>
      <w:r w:rsidR="004537D3">
        <w:rPr>
          <w:rFonts w:asciiTheme="majorHAnsi" w:hAnsiTheme="majorHAnsi" w:cstheme="majorBidi"/>
          <w:sz w:val="20"/>
          <w:szCs w:val="20"/>
          <w:lang w:val="ro-RO"/>
        </w:rPr>
        <w:t>l</w:t>
      </w:r>
      <w:r w:rsidR="001C5117" w:rsidRPr="00B325BF">
        <w:rPr>
          <w:rFonts w:asciiTheme="majorHAnsi" w:hAnsiTheme="majorHAnsi" w:cstheme="majorBidi"/>
          <w:sz w:val="20"/>
          <w:szCs w:val="20"/>
          <w:lang w:val="ro-RO"/>
        </w:rPr>
        <w:t>.</w:t>
      </w:r>
    </w:p>
    <w:p w14:paraId="2CB2B78F" w14:textId="3502D4A5" w:rsidR="00174A9A" w:rsidRPr="00B325BF" w:rsidRDefault="004537D3" w:rsidP="00A3682B">
      <w:pPr>
        <w:pStyle w:val="pf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  <w:lang w:val="ro-RO"/>
        </w:rPr>
        <w:t>N</w:t>
      </w:r>
      <w:r w:rsidR="00744F60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u există o rețetă </w:t>
      </w:r>
      <w:r>
        <w:rPr>
          <w:rFonts w:asciiTheme="majorHAnsi" w:hAnsiTheme="majorHAnsi" w:cstheme="majorBidi"/>
          <w:sz w:val="20"/>
          <w:szCs w:val="20"/>
          <w:lang w:val="ro-RO"/>
        </w:rPr>
        <w:t>anume pe care echipele de management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o pot aplica pentru </w:t>
      </w:r>
      <w:r w:rsidR="00744F60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prevenirea și 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stoparea </w:t>
      </w:r>
      <w:r w:rsidR="00744F60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acțiunilor frauduloase,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>procesul decizional în acest sens</w:t>
      </w:r>
      <w:r w:rsidR="00925BE2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ține mai degrabă de </w:t>
      </w:r>
      <w:r w:rsidR="00007C14" w:rsidRPr="00B325BF">
        <w:rPr>
          <w:rFonts w:asciiTheme="majorHAnsi" w:hAnsiTheme="majorHAnsi" w:cstheme="majorBidi"/>
          <w:sz w:val="20"/>
          <w:szCs w:val="20"/>
          <w:lang w:val="ro-RO"/>
        </w:rPr>
        <w:t>evalu</w:t>
      </w:r>
      <w:r w:rsidR="00925BE2" w:rsidRPr="00B325BF">
        <w:rPr>
          <w:rFonts w:asciiTheme="majorHAnsi" w:hAnsiTheme="majorHAnsi" w:cstheme="majorBidi"/>
          <w:sz w:val="20"/>
          <w:szCs w:val="20"/>
          <w:lang w:val="ro-RO"/>
        </w:rPr>
        <w:t>are</w:t>
      </w:r>
      <w:r w:rsidR="00007C14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 businessului </w:t>
      </w:r>
      <w:r w:rsidR="00925BE2" w:rsidRPr="00B325BF">
        <w:rPr>
          <w:rFonts w:asciiTheme="majorHAnsi" w:hAnsiTheme="majorHAnsi" w:cstheme="majorBidi"/>
          <w:sz w:val="20"/>
          <w:szCs w:val="20"/>
          <w:lang w:val="ro-RO"/>
        </w:rPr>
        <w:t>în vederea</w:t>
      </w:r>
      <w:r w:rsidR="00007C14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identificării riscurilor de fraudă la care </w:t>
      </w:r>
      <w:r w:rsidR="00925BE2" w:rsidRPr="00B325BF">
        <w:rPr>
          <w:rFonts w:asciiTheme="majorHAnsi" w:hAnsiTheme="majorHAnsi" w:cstheme="majorBidi"/>
          <w:sz w:val="20"/>
          <w:szCs w:val="20"/>
          <w:lang w:val="ro-RO"/>
        </w:rPr>
        <w:t>compania</w:t>
      </w:r>
      <w:r w:rsidR="001108C2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007C14" w:rsidRPr="00B325BF">
        <w:rPr>
          <w:rFonts w:asciiTheme="majorHAnsi" w:hAnsiTheme="majorHAnsi" w:cstheme="majorBidi"/>
          <w:sz w:val="20"/>
          <w:szCs w:val="20"/>
          <w:lang w:val="ro-RO"/>
        </w:rPr>
        <w:t>este expus</w:t>
      </w:r>
      <w:r w:rsidR="001108C2" w:rsidRPr="00B325BF">
        <w:rPr>
          <w:rFonts w:asciiTheme="majorHAnsi" w:hAnsiTheme="majorHAnsi" w:cstheme="majorBidi"/>
          <w:sz w:val="20"/>
          <w:szCs w:val="20"/>
          <w:lang w:val="ro-RO"/>
        </w:rPr>
        <w:t>ă</w:t>
      </w:r>
      <w:r w:rsidR="00925BE2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>și</w:t>
      </w:r>
      <w:r w:rsidR="00925BE2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investirea în </w:t>
      </w:r>
      <w:r w:rsidR="00E442FF" w:rsidRPr="00B325BF">
        <w:rPr>
          <w:rFonts w:asciiTheme="majorHAnsi" w:hAnsiTheme="majorHAnsi" w:cstheme="majorBidi"/>
          <w:sz w:val="20"/>
          <w:szCs w:val="20"/>
          <w:lang w:val="ro-RO"/>
        </w:rPr>
        <w:t>resursel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>e</w:t>
      </w:r>
      <w:r w:rsidR="00E442F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925BE2" w:rsidRPr="00B325BF">
        <w:rPr>
          <w:rFonts w:asciiTheme="majorHAnsi" w:hAnsiTheme="majorHAnsi" w:cstheme="majorBidi"/>
          <w:sz w:val="20"/>
          <w:szCs w:val="20"/>
          <w:lang w:val="ro-RO"/>
        </w:rPr>
        <w:t>necesare pentru combaterea acestora.</w:t>
      </w:r>
      <w:r w:rsidR="007E1D8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</w:p>
    <w:p w14:paraId="3859516E" w14:textId="77777777" w:rsidR="00E442FF" w:rsidRDefault="00E442FF" w:rsidP="00A3682B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</w:p>
    <w:p w14:paraId="469A2239" w14:textId="6A7446F3" w:rsidR="00174A9A" w:rsidRPr="00B325BF" w:rsidRDefault="00CD49EE" w:rsidP="00A3682B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 w:rsidRPr="00B325B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Cum pot companiile </w:t>
      </w:r>
      <w:r w:rsidR="00E442F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să prevină </w:t>
      </w:r>
      <w:r w:rsidRPr="00B325B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astfel de </w:t>
      </w:r>
      <w:r w:rsidR="00E442FF">
        <w:rPr>
          <w:rFonts w:asciiTheme="majorHAnsi" w:hAnsiTheme="majorHAnsi" w:cstheme="majorHAnsi"/>
          <w:b/>
          <w:bCs/>
          <w:sz w:val="20"/>
          <w:szCs w:val="20"/>
          <w:lang w:val="ro-RO"/>
        </w:rPr>
        <w:t>situații</w:t>
      </w:r>
      <w:r w:rsidRPr="00B325B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? </w:t>
      </w:r>
    </w:p>
    <w:p w14:paraId="5520C89A" w14:textId="0CC30F96" w:rsidR="005F4B36" w:rsidRPr="00B325BF" w:rsidRDefault="00E442FF" w:rsidP="00A3682B">
      <w:pPr>
        <w:spacing w:line="276" w:lineRule="auto"/>
        <w:jc w:val="both"/>
        <w:rPr>
          <w:rFonts w:asciiTheme="majorHAnsi" w:hAnsiTheme="majorHAnsi" w:cstheme="majorBidi"/>
          <w:sz w:val="20"/>
          <w:szCs w:val="20"/>
          <w:lang w:val="ro-RO"/>
        </w:rPr>
      </w:pPr>
      <w:r>
        <w:rPr>
          <w:rFonts w:asciiTheme="majorHAnsi" w:hAnsiTheme="majorHAnsi" w:cstheme="majorBidi"/>
          <w:sz w:val="20"/>
          <w:szCs w:val="20"/>
          <w:lang w:val="ro-RO"/>
        </w:rPr>
        <w:lastRenderedPageBreak/>
        <w:t>P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>rim</w:t>
      </w:r>
      <w:r>
        <w:rPr>
          <w:rFonts w:asciiTheme="majorHAnsi" w:hAnsiTheme="majorHAnsi" w:cstheme="majorBidi"/>
          <w:sz w:val="20"/>
          <w:szCs w:val="20"/>
          <w:lang w:val="ro-RO"/>
        </w:rPr>
        <w:t>ii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pa</w:t>
      </w:r>
      <w:r>
        <w:rPr>
          <w:rFonts w:asciiTheme="majorHAnsi" w:hAnsiTheme="majorHAnsi" w:cstheme="majorBidi"/>
          <w:sz w:val="20"/>
          <w:szCs w:val="20"/>
          <w:lang w:val="ro-RO"/>
        </w:rPr>
        <w:t>și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Bidi"/>
          <w:sz w:val="20"/>
          <w:szCs w:val="20"/>
          <w:lang w:val="ro-RO"/>
        </w:rPr>
        <w:t>pentru a diminua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riscul </w:t>
      </w:r>
      <w:r w:rsidR="00F3490B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de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apariți</w:t>
      </w:r>
      <w:r>
        <w:rPr>
          <w:rFonts w:asciiTheme="majorHAnsi" w:hAnsiTheme="majorHAnsi" w:cstheme="majorBidi"/>
          <w:sz w:val="20"/>
          <w:szCs w:val="20"/>
          <w:lang w:val="ro-RO"/>
        </w:rPr>
        <w:t>e a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>fraud</w:t>
      </w:r>
      <w:r w:rsidR="00F3490B" w:rsidRPr="00B325BF">
        <w:rPr>
          <w:rFonts w:asciiTheme="majorHAnsi" w:hAnsiTheme="majorHAnsi" w:cstheme="majorBidi"/>
          <w:sz w:val="20"/>
          <w:szCs w:val="20"/>
          <w:lang w:val="ro-RO"/>
        </w:rPr>
        <w:t>ei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și 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a faptelor de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corupție </w:t>
      </w:r>
      <w:r>
        <w:rPr>
          <w:rFonts w:asciiTheme="majorHAnsi" w:hAnsiTheme="majorHAnsi" w:cstheme="majorBidi"/>
          <w:sz w:val="20"/>
          <w:szCs w:val="20"/>
          <w:lang w:val="ro-RO"/>
        </w:rPr>
        <w:t>sunt crearea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un</w:t>
      </w:r>
      <w:r>
        <w:rPr>
          <w:rFonts w:asciiTheme="majorHAnsi" w:hAnsiTheme="majorHAnsi" w:cstheme="majorBidi"/>
          <w:sz w:val="20"/>
          <w:szCs w:val="20"/>
          <w:lang w:val="ro-RO"/>
        </w:rPr>
        <w:t>ui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program intern eficient de prevenire</w:t>
      </w:r>
      <w:r w:rsidR="00436938" w:rsidRPr="00B325BF">
        <w:rPr>
          <w:rStyle w:val="cf01"/>
          <w:sz w:val="20"/>
          <w:szCs w:val="20"/>
        </w:rPr>
        <w:t xml:space="preserve"> </w:t>
      </w:r>
      <w:r w:rsidR="007E1D8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și </w:t>
      </w:r>
      <w:r w:rsidR="00386FFD" w:rsidRPr="00B325BF">
        <w:rPr>
          <w:rFonts w:asciiTheme="majorHAnsi" w:hAnsiTheme="majorHAnsi" w:cstheme="majorBidi"/>
          <w:sz w:val="20"/>
          <w:szCs w:val="20"/>
          <w:lang w:val="ro-RO"/>
        </w:rPr>
        <w:t>detectare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386FFD" w:rsidRPr="00B325BF">
        <w:rPr>
          <w:rFonts w:asciiTheme="majorHAnsi" w:hAnsiTheme="majorHAnsi" w:cstheme="majorBidi"/>
          <w:sz w:val="20"/>
          <w:szCs w:val="20"/>
          <w:lang w:val="ro-RO"/>
        </w:rPr>
        <w:t>a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fraudei</w:t>
      </w:r>
      <w:r w:rsidR="00DA2AD5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în organizație</w:t>
      </w:r>
      <w:r w:rsidR="007E1D8C" w:rsidRPr="00B325BF">
        <w:rPr>
          <w:rFonts w:asciiTheme="majorHAnsi" w:hAnsiTheme="majorHAnsi" w:cstheme="majorBidi"/>
          <w:sz w:val="20"/>
          <w:szCs w:val="20"/>
          <w:lang w:val="ro-RO"/>
        </w:rPr>
        <w:t>,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Bidi"/>
          <w:sz w:val="20"/>
          <w:szCs w:val="20"/>
          <w:lang w:val="ro-RO"/>
        </w:rPr>
        <w:t>care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FF4F39" w:rsidRPr="00B325BF">
        <w:rPr>
          <w:rFonts w:asciiTheme="majorHAnsi" w:hAnsiTheme="majorHAnsi" w:cstheme="majorBidi"/>
          <w:sz w:val="20"/>
          <w:szCs w:val="20"/>
          <w:lang w:val="ro-RO"/>
        </w:rPr>
        <w:t>s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ă 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includă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>zonele de risc</w:t>
      </w:r>
      <w:r w:rsidR="00FF4F39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,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indicatorii de </w:t>
      </w:r>
      <w:r w:rsidR="00FF4F39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acțiuni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>fraud</w:t>
      </w:r>
      <w:r w:rsidR="00FF4F39" w:rsidRPr="00B325BF">
        <w:rPr>
          <w:rFonts w:asciiTheme="majorHAnsi" w:hAnsiTheme="majorHAnsi" w:cstheme="majorBidi"/>
          <w:sz w:val="20"/>
          <w:szCs w:val="20"/>
          <w:lang w:val="ro-RO"/>
        </w:rPr>
        <w:t>uloase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și 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măsuri de diminuare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>a riscurilor</w:t>
      </w:r>
      <w:r>
        <w:rPr>
          <w:rFonts w:asciiTheme="majorHAnsi" w:hAnsiTheme="majorHAnsi" w:cstheme="majorBidi"/>
          <w:sz w:val="20"/>
          <w:szCs w:val="20"/>
          <w:lang w:val="ro-RO"/>
        </w:rPr>
        <w:t>,</w:t>
      </w:r>
      <w:r w:rsidR="00FF4F39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cre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area de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proceduri și politici interne privind guvernanța corporativă, </w:t>
      </w:r>
      <w:r>
        <w:rPr>
          <w:rFonts w:asciiTheme="majorHAnsi" w:hAnsiTheme="majorHAnsi" w:cstheme="majorBidi"/>
          <w:sz w:val="20"/>
          <w:szCs w:val="20"/>
          <w:lang w:val="ro-RO"/>
        </w:rPr>
        <w:t>precum și înființarea unei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lini</w:t>
      </w:r>
      <w:r>
        <w:rPr>
          <w:rFonts w:asciiTheme="majorHAnsi" w:hAnsiTheme="majorHAnsi" w:cstheme="majorBidi"/>
          <w:sz w:val="20"/>
          <w:szCs w:val="20"/>
          <w:lang w:val="ro-RO"/>
        </w:rPr>
        <w:t>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sigur</w:t>
      </w:r>
      <w:r>
        <w:rPr>
          <w:rFonts w:asciiTheme="majorHAnsi" w:hAnsiTheme="majorHAnsi" w:cstheme="majorBidi"/>
          <w:sz w:val="20"/>
          <w:szCs w:val="20"/>
          <w:lang w:val="ro-RO"/>
        </w:rPr>
        <w:t>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>de avertizare</w:t>
      </w:r>
      <w:r w:rsidR="00BE1FA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de integritate</w:t>
      </w:r>
      <w:r w:rsidR="005F4B36" w:rsidRPr="00B325BF">
        <w:rPr>
          <w:rFonts w:asciiTheme="majorHAnsi" w:hAnsiTheme="majorHAnsi" w:cstheme="majorBidi"/>
          <w:sz w:val="20"/>
          <w:szCs w:val="20"/>
          <w:lang w:val="ro-RO"/>
        </w:rPr>
        <w:t>. Canalul intern de raportare anonimă are nevoie de mai mult de</w:t>
      </w:r>
      <w:r>
        <w:rPr>
          <w:rFonts w:asciiTheme="majorHAnsi" w:hAnsiTheme="majorHAnsi" w:cstheme="majorBidi"/>
          <w:sz w:val="20"/>
          <w:szCs w:val="20"/>
          <w:lang w:val="ro-RO"/>
        </w:rPr>
        <w:t>cât</w:t>
      </w:r>
      <w:r w:rsidR="005817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5F4B36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o 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simplă </w:t>
      </w:r>
      <w:r w:rsidR="005F4B36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implementare de succes: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promovarea internă a </w:t>
      </w:r>
      <w:r w:rsidR="005F4B36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acestuia este importantă pentru ca 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>angajați</w:t>
      </w:r>
      <w:r w:rsidR="005F4B36" w:rsidRPr="00B325BF">
        <w:rPr>
          <w:rFonts w:asciiTheme="majorHAnsi" w:hAnsiTheme="majorHAnsi" w:cstheme="majorBidi"/>
          <w:sz w:val="20"/>
          <w:szCs w:val="20"/>
          <w:lang w:val="ro-RO"/>
        </w:rPr>
        <w:t>i</w:t>
      </w:r>
      <w:r w:rsidR="004369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companiei</w:t>
      </w:r>
      <w:r w:rsidR="005F4B36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să se simtă în siguranță atunci când îl folosesc. </w:t>
      </w:r>
      <w:r w:rsidR="00057B13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Un astfel de program este benefic și </w:t>
      </w:r>
      <w:r>
        <w:rPr>
          <w:rFonts w:asciiTheme="majorHAnsi" w:hAnsiTheme="majorHAnsi" w:cstheme="majorBidi"/>
          <w:sz w:val="20"/>
          <w:szCs w:val="20"/>
          <w:lang w:val="ro-RO"/>
        </w:rPr>
        <w:t xml:space="preserve">pentru </w:t>
      </w:r>
      <w:r w:rsidR="00057B13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consolidarea unei relații bazate pe încredere cu clienții și furnizorii. </w:t>
      </w:r>
    </w:p>
    <w:p w14:paraId="2E334F65" w14:textId="087F7CEF" w:rsidR="00174A9A" w:rsidRPr="00B325BF" w:rsidRDefault="00436938" w:rsidP="00A3682B">
      <w:pPr>
        <w:spacing w:line="276" w:lineRule="auto"/>
        <w:jc w:val="both"/>
        <w:rPr>
          <w:rFonts w:asciiTheme="majorHAnsi" w:hAnsiTheme="majorHAnsi" w:cstheme="majorBidi"/>
          <w:sz w:val="20"/>
          <w:szCs w:val="20"/>
          <w:lang w:val="ro-RO"/>
        </w:rPr>
      </w:pP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De asemenea, organizațiile ar putea </w:t>
      </w:r>
      <w:r w:rsidR="0049197F" w:rsidRPr="00B325BF">
        <w:rPr>
          <w:rFonts w:asciiTheme="majorHAnsi" w:hAnsiTheme="majorHAnsi" w:cstheme="majorBidi"/>
          <w:sz w:val="20"/>
          <w:szCs w:val="20"/>
          <w:lang w:val="ro-RO"/>
        </w:rPr>
        <w:t>lua în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considerare construirea unui program intern de </w:t>
      </w:r>
      <w:r w:rsidR="00E442FF" w:rsidRPr="00B325BF">
        <w:rPr>
          <w:rFonts w:asciiTheme="majorHAnsi" w:hAnsiTheme="majorHAnsi" w:cstheme="majorBidi"/>
          <w:i/>
          <w:iCs/>
          <w:sz w:val="20"/>
          <w:szCs w:val="20"/>
          <w:lang w:val="ro-RO"/>
        </w:rPr>
        <w:t>training</w:t>
      </w:r>
      <w:r w:rsidR="00E442F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anti</w:t>
      </w:r>
      <w:r w:rsidR="007E1D8C" w:rsidRPr="00B325BF">
        <w:rPr>
          <w:rFonts w:asciiTheme="majorHAnsi" w:hAnsiTheme="majorHAnsi" w:cstheme="majorBidi"/>
          <w:sz w:val="20"/>
          <w:szCs w:val="20"/>
          <w:lang w:val="ro-RO"/>
        </w:rPr>
        <w:t>-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fraudă pentru angajați</w:t>
      </w:r>
      <w:r w:rsidR="00DA2AD5" w:rsidRPr="00B325BF">
        <w:rPr>
          <w:rFonts w:asciiTheme="majorHAnsi" w:hAnsiTheme="majorHAnsi" w:cstheme="majorBidi"/>
          <w:sz w:val="20"/>
          <w:szCs w:val="20"/>
          <w:lang w:val="ro-RO"/>
        </w:rPr>
        <w:t>i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 de la toate nivelurile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,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>inclusiv</w:t>
      </w:r>
      <w:r w:rsidR="00E442F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pentru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echipele de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management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 de nivel mediu și de top</w:t>
      </w:r>
      <w:r w:rsidR="004436A9" w:rsidRPr="00B325BF">
        <w:rPr>
          <w:rFonts w:asciiTheme="majorHAnsi" w:hAnsiTheme="majorHAnsi" w:cstheme="majorBidi"/>
          <w:sz w:val="20"/>
          <w:szCs w:val="20"/>
          <w:lang w:val="ro-RO"/>
        </w:rPr>
        <w:t>,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precum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și pentru angajații din </w:t>
      </w:r>
      <w:r w:rsidR="0049197F" w:rsidRPr="00B325BF">
        <w:rPr>
          <w:rFonts w:asciiTheme="majorHAnsi" w:hAnsiTheme="majorHAnsi" w:cstheme="majorBidi"/>
          <w:sz w:val="20"/>
          <w:szCs w:val="20"/>
          <w:lang w:val="ro-RO"/>
        </w:rPr>
        <w:t>departamentele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cheie ale unei companii</w:t>
      </w:r>
      <w:r w:rsidR="00DA2AD5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,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cum ar fi </w:t>
      </w:r>
      <w:r w:rsidR="0049197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cel de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achiziții, </w:t>
      </w:r>
      <w:r w:rsidR="0049197F" w:rsidRPr="00B325BF">
        <w:rPr>
          <w:rFonts w:asciiTheme="majorHAnsi" w:hAnsiTheme="majorHAnsi" w:cstheme="majorBidi"/>
          <w:sz w:val="20"/>
          <w:szCs w:val="20"/>
          <w:lang w:val="ro-RO"/>
        </w:rPr>
        <w:t>financiar-contabil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,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de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vânzări și</w:t>
      </w:r>
      <w:r w:rsidR="0049197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de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risc (de exemplu, auditul intern</w:t>
      </w:r>
      <w:r w:rsidR="005817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sau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7E1D8C" w:rsidRPr="00B325BF">
        <w:rPr>
          <w:rFonts w:asciiTheme="majorHAnsi" w:hAnsiTheme="majorHAnsi" w:cstheme="majorBidi"/>
          <w:sz w:val="20"/>
          <w:szCs w:val="20"/>
          <w:lang w:val="ro-RO"/>
        </w:rPr>
        <w:t>departamentul de conformitate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). </w:t>
      </w:r>
    </w:p>
    <w:p w14:paraId="354D74EE" w14:textId="419931DA" w:rsidR="00174A9A" w:rsidRPr="00B325BF" w:rsidRDefault="004436A9" w:rsidP="00A3682B">
      <w:pPr>
        <w:spacing w:before="120" w:after="120" w:line="276" w:lineRule="auto"/>
        <w:jc w:val="both"/>
        <w:rPr>
          <w:rFonts w:asciiTheme="majorHAnsi" w:hAnsiTheme="majorHAnsi" w:cstheme="majorBidi"/>
          <w:sz w:val="20"/>
          <w:szCs w:val="20"/>
          <w:lang w:val="ro-RO"/>
        </w:rPr>
      </w:pPr>
      <w:r w:rsidRPr="00B325BF">
        <w:rPr>
          <w:rFonts w:asciiTheme="majorHAnsi" w:hAnsiTheme="majorHAnsi" w:cstheme="majorBidi"/>
          <w:sz w:val="20"/>
          <w:szCs w:val="20"/>
          <w:lang w:val="ro-RO"/>
        </w:rPr>
        <w:t>Unul din</w:t>
      </w:r>
      <w:r w:rsidR="0067169C" w:rsidRPr="00B325BF">
        <w:rPr>
          <w:rFonts w:asciiTheme="majorHAnsi" w:hAnsiTheme="majorHAnsi" w:cstheme="majorBidi"/>
          <w:sz w:val="20"/>
          <w:szCs w:val="20"/>
          <w:lang w:val="ro-RO"/>
        </w:rPr>
        <w:t>tre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elementele cheie care </w:t>
      </w:r>
      <w:r w:rsidR="00E442FF" w:rsidRPr="00B325BF">
        <w:rPr>
          <w:rFonts w:asciiTheme="majorHAnsi" w:hAnsiTheme="majorHAnsi" w:cstheme="majorBidi"/>
          <w:sz w:val="20"/>
          <w:szCs w:val="20"/>
          <w:lang w:val="ro-RO"/>
        </w:rPr>
        <w:t>st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>au</w:t>
      </w:r>
      <w:r w:rsidR="00E442F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la baza preven</w:t>
      </w:r>
      <w:r w:rsidR="00BE1FAF" w:rsidRPr="00B325BF">
        <w:rPr>
          <w:rFonts w:asciiTheme="majorHAnsi" w:hAnsiTheme="majorHAnsi" w:cstheme="majorBidi"/>
          <w:sz w:val="20"/>
          <w:szCs w:val="20"/>
          <w:lang w:val="ro-RO"/>
        </w:rPr>
        <w:t>irii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fraudei este promovarea unei culturi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organizaționale </w:t>
      </w:r>
      <w:r w:rsidR="00DA2AD5" w:rsidRPr="00B325BF">
        <w:rPr>
          <w:rFonts w:asciiTheme="majorHAnsi" w:hAnsiTheme="majorHAnsi" w:cstheme="majorBidi"/>
          <w:sz w:val="20"/>
          <w:szCs w:val="20"/>
          <w:lang w:val="ro-RO"/>
        </w:rPr>
        <w:t>bazate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DA2AD5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pe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etic</w:t>
      </w:r>
      <w:r w:rsidR="00DA2AD5" w:rsidRPr="00B325BF">
        <w:rPr>
          <w:rFonts w:asciiTheme="majorHAnsi" w:hAnsiTheme="majorHAnsi" w:cstheme="majorBidi"/>
          <w:sz w:val="20"/>
          <w:szCs w:val="20"/>
          <w:lang w:val="ro-RO"/>
        </w:rPr>
        <w:t>ă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.</w:t>
      </w:r>
      <w:r w:rsidR="00BE1FAF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Liderii </w:t>
      </w:r>
      <w:r w:rsidR="007E1D8C" w:rsidRPr="00B325BF">
        <w:rPr>
          <w:rFonts w:asciiTheme="majorHAnsi" w:hAnsiTheme="majorHAnsi" w:cstheme="majorBidi"/>
          <w:sz w:val="20"/>
          <w:szCs w:val="20"/>
          <w:lang w:val="ro-RO"/>
        </w:rPr>
        <w:t>organizației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dau tonul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când vine vorba de construirea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>un</w:t>
      </w:r>
      <w:r w:rsidR="00CD49EE">
        <w:rPr>
          <w:rFonts w:asciiTheme="majorHAnsi" w:hAnsiTheme="majorHAnsi" w:cstheme="majorBidi"/>
          <w:sz w:val="20"/>
          <w:szCs w:val="20"/>
          <w:lang w:val="ro-RO"/>
        </w:rPr>
        <w:t>e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i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culturi </w:t>
      </w:r>
      <w:r w:rsidR="00E442FF">
        <w:rPr>
          <w:rFonts w:asciiTheme="majorHAnsi" w:hAnsiTheme="majorHAnsi" w:cstheme="majorBidi"/>
          <w:sz w:val="20"/>
          <w:szCs w:val="20"/>
          <w:lang w:val="ro-RO"/>
        </w:rPr>
        <w:t xml:space="preserve">care să promoveze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zero </w:t>
      </w:r>
      <w:r w:rsidR="0080551C" w:rsidRPr="00F05D33">
        <w:rPr>
          <w:rFonts w:asciiTheme="majorHAnsi" w:hAnsiTheme="majorHAnsi" w:cstheme="majorBidi"/>
          <w:sz w:val="20"/>
          <w:szCs w:val="20"/>
          <w:lang w:val="ro-RO"/>
        </w:rPr>
        <w:t>toleranț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>ă</w:t>
      </w:r>
      <w:r w:rsidR="0080551C" w:rsidRPr="00F05D33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față de fraud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>ă</w:t>
      </w:r>
      <w:r w:rsidR="00AE60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. 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>În definitiv, o</w:t>
      </w:r>
      <w:r w:rsidR="0080551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cultură </w:t>
      </w:r>
      <w:r w:rsidR="0080551C" w:rsidRPr="00F05D33">
        <w:rPr>
          <w:rFonts w:asciiTheme="majorHAnsi" w:hAnsiTheme="majorHAnsi" w:cstheme="majorBidi"/>
          <w:sz w:val="20"/>
          <w:szCs w:val="20"/>
          <w:lang w:val="ro-RO"/>
        </w:rPr>
        <w:t>organizațional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>ă</w:t>
      </w:r>
      <w:r w:rsidR="0080551C" w:rsidRPr="00F05D33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>construită în jurul</w:t>
      </w:r>
      <w:r w:rsidR="0080551C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 xml:space="preserve">unei valori precum </w:t>
      </w:r>
      <w:r w:rsidR="0080551C" w:rsidRPr="00B325BF">
        <w:rPr>
          <w:rFonts w:asciiTheme="majorHAnsi" w:hAnsiTheme="majorHAnsi" w:cstheme="majorBidi"/>
          <w:sz w:val="20"/>
          <w:szCs w:val="20"/>
          <w:lang w:val="ro-RO"/>
        </w:rPr>
        <w:t>integrit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 xml:space="preserve">atea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este cel mai bun</w:t>
      </w:r>
      <w:r w:rsidR="00AE6038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instrument pentru </w:t>
      </w:r>
      <w:r w:rsidR="0080551C">
        <w:rPr>
          <w:rFonts w:asciiTheme="majorHAnsi" w:hAnsiTheme="majorHAnsi" w:cstheme="majorBidi"/>
          <w:sz w:val="20"/>
          <w:szCs w:val="20"/>
          <w:lang w:val="ro-RO"/>
        </w:rPr>
        <w:t xml:space="preserve">diminuarea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>riscuril</w:t>
      </w:r>
      <w:r w:rsidR="00DA2AD5" w:rsidRPr="00B325BF">
        <w:rPr>
          <w:rFonts w:asciiTheme="majorHAnsi" w:hAnsiTheme="majorHAnsi" w:cstheme="majorBidi"/>
          <w:sz w:val="20"/>
          <w:szCs w:val="20"/>
          <w:lang w:val="ro-RO"/>
        </w:rPr>
        <w:t>or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 </w:t>
      </w:r>
      <w:r w:rsidR="00E831F5"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în materie de </w:t>
      </w:r>
      <w:r w:rsidRPr="00B325BF">
        <w:rPr>
          <w:rFonts w:asciiTheme="majorHAnsi" w:hAnsiTheme="majorHAnsi" w:cstheme="majorBidi"/>
          <w:sz w:val="20"/>
          <w:szCs w:val="20"/>
          <w:lang w:val="ro-RO"/>
        </w:rPr>
        <w:t xml:space="preserve">fraudă și corupție. </w:t>
      </w:r>
    </w:p>
    <w:p w14:paraId="2955A758" w14:textId="5601A24D" w:rsidR="00174A9A" w:rsidRPr="00B325BF" w:rsidRDefault="00174A9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17BC51D2" w14:textId="77777777" w:rsidR="00174A9A" w:rsidRPr="00B325BF" w:rsidRDefault="00174A9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16DADEE0" w14:textId="77777777" w:rsidR="00174A9A" w:rsidRPr="00B325BF" w:rsidRDefault="00174A9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sectPr w:rsidR="00174A9A" w:rsidRPr="00B325B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970D" w14:textId="77777777" w:rsidR="00FD1BA8" w:rsidRDefault="00FD1BA8">
      <w:pPr>
        <w:spacing w:after="0" w:line="240" w:lineRule="auto"/>
      </w:pPr>
      <w:r>
        <w:separator/>
      </w:r>
    </w:p>
  </w:endnote>
  <w:endnote w:type="continuationSeparator" w:id="0">
    <w:p w14:paraId="02257ABF" w14:textId="77777777" w:rsidR="00FD1BA8" w:rsidRDefault="00FD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2357" w14:textId="77777777" w:rsidR="00FD1BA8" w:rsidRDefault="00FD1BA8">
      <w:pPr>
        <w:spacing w:after="0" w:line="240" w:lineRule="auto"/>
      </w:pPr>
      <w:r>
        <w:separator/>
      </w:r>
    </w:p>
  </w:footnote>
  <w:footnote w:type="continuationSeparator" w:id="0">
    <w:p w14:paraId="6A78FD4B" w14:textId="77777777" w:rsidR="00FD1BA8" w:rsidRDefault="00FD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ECE9" w14:textId="3401B288" w:rsidR="00174A9A" w:rsidRDefault="00CD49E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EB64B4" wp14:editId="0A1A3A70">
          <wp:simplePos x="0" y="0"/>
          <wp:positionH relativeFrom="column">
            <wp:posOffset>4028440</wp:posOffset>
          </wp:positionH>
          <wp:positionV relativeFrom="paragraph">
            <wp:posOffset>-190500</wp:posOffset>
          </wp:positionV>
          <wp:extent cx="2221230" cy="1663700"/>
          <wp:effectExtent l="0" t="0" r="7620" b="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9FF6AD" wp14:editId="1CD817EF">
          <wp:simplePos x="0" y="0"/>
          <wp:positionH relativeFrom="column">
            <wp:posOffset>-127000</wp:posOffset>
          </wp:positionH>
          <wp:positionV relativeFrom="paragraph">
            <wp:posOffset>71120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353E8"/>
    <w:multiLevelType w:val="hybridMultilevel"/>
    <w:tmpl w:val="6FC0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98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9A"/>
    <w:rsid w:val="00007C14"/>
    <w:rsid w:val="00057B13"/>
    <w:rsid w:val="00072A97"/>
    <w:rsid w:val="00091AC0"/>
    <w:rsid w:val="0009754A"/>
    <w:rsid w:val="000C64D5"/>
    <w:rsid w:val="000E4C4E"/>
    <w:rsid w:val="001108C2"/>
    <w:rsid w:val="0014503A"/>
    <w:rsid w:val="00174A9A"/>
    <w:rsid w:val="001773E6"/>
    <w:rsid w:val="001C5117"/>
    <w:rsid w:val="001E28A9"/>
    <w:rsid w:val="002651BF"/>
    <w:rsid w:val="002A1D86"/>
    <w:rsid w:val="00331A09"/>
    <w:rsid w:val="00386FFD"/>
    <w:rsid w:val="004060FC"/>
    <w:rsid w:val="00411841"/>
    <w:rsid w:val="00436938"/>
    <w:rsid w:val="004436A9"/>
    <w:rsid w:val="004537D3"/>
    <w:rsid w:val="0049197F"/>
    <w:rsid w:val="004B73C4"/>
    <w:rsid w:val="004D1D4E"/>
    <w:rsid w:val="004D61AB"/>
    <w:rsid w:val="00581738"/>
    <w:rsid w:val="005970F0"/>
    <w:rsid w:val="005F4B36"/>
    <w:rsid w:val="00660113"/>
    <w:rsid w:val="0067169C"/>
    <w:rsid w:val="0068490F"/>
    <w:rsid w:val="006F1C13"/>
    <w:rsid w:val="006F4E44"/>
    <w:rsid w:val="00744F60"/>
    <w:rsid w:val="007A2C51"/>
    <w:rsid w:val="007E1D8C"/>
    <w:rsid w:val="0080551C"/>
    <w:rsid w:val="0082105C"/>
    <w:rsid w:val="00866243"/>
    <w:rsid w:val="008B670C"/>
    <w:rsid w:val="008B7500"/>
    <w:rsid w:val="008C2F21"/>
    <w:rsid w:val="008E1F1D"/>
    <w:rsid w:val="009018A3"/>
    <w:rsid w:val="00925BE2"/>
    <w:rsid w:val="00963A99"/>
    <w:rsid w:val="00990737"/>
    <w:rsid w:val="00A3682B"/>
    <w:rsid w:val="00A36D4C"/>
    <w:rsid w:val="00A944C6"/>
    <w:rsid w:val="00AE6038"/>
    <w:rsid w:val="00B325BF"/>
    <w:rsid w:val="00B32A27"/>
    <w:rsid w:val="00B9710D"/>
    <w:rsid w:val="00BB5C8F"/>
    <w:rsid w:val="00BE1FAF"/>
    <w:rsid w:val="00C16ABB"/>
    <w:rsid w:val="00C34002"/>
    <w:rsid w:val="00C52F79"/>
    <w:rsid w:val="00CA5630"/>
    <w:rsid w:val="00CC4C57"/>
    <w:rsid w:val="00CC793E"/>
    <w:rsid w:val="00CD49EE"/>
    <w:rsid w:val="00DA2AD5"/>
    <w:rsid w:val="00E16E80"/>
    <w:rsid w:val="00E36C6A"/>
    <w:rsid w:val="00E442FF"/>
    <w:rsid w:val="00E831F5"/>
    <w:rsid w:val="00EB62B6"/>
    <w:rsid w:val="00EC27F7"/>
    <w:rsid w:val="00ED648C"/>
    <w:rsid w:val="00EE34B7"/>
    <w:rsid w:val="00F124EB"/>
    <w:rsid w:val="00F304AD"/>
    <w:rsid w:val="00F3490B"/>
    <w:rsid w:val="00F868B6"/>
    <w:rsid w:val="00FA3442"/>
    <w:rsid w:val="00FD1BA8"/>
    <w:rsid w:val="00FF4F39"/>
    <w:rsid w:val="0D74C23F"/>
    <w:rsid w:val="0F1092A0"/>
    <w:rsid w:val="100B8B4B"/>
    <w:rsid w:val="1432FD89"/>
    <w:rsid w:val="14E6B723"/>
    <w:rsid w:val="22EFB9B9"/>
    <w:rsid w:val="26F9E8EA"/>
    <w:rsid w:val="2884F596"/>
    <w:rsid w:val="3C6A89D3"/>
    <w:rsid w:val="44C7DC07"/>
    <w:rsid w:val="4571AFDD"/>
    <w:rsid w:val="47D5C6CB"/>
    <w:rsid w:val="4CF66B4C"/>
    <w:rsid w:val="4E0323CB"/>
    <w:rsid w:val="51A82577"/>
    <w:rsid w:val="581EDC64"/>
    <w:rsid w:val="5DA2487B"/>
    <w:rsid w:val="5F4917D2"/>
    <w:rsid w:val="61BF90D1"/>
    <w:rsid w:val="6604D829"/>
    <w:rsid w:val="6A5F50F9"/>
    <w:rsid w:val="6F9DAA97"/>
    <w:rsid w:val="7109E8F4"/>
    <w:rsid w:val="728D8E12"/>
    <w:rsid w:val="72A5B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54269"/>
  <w15:chartTrackingRefBased/>
  <w15:docId w15:val="{6212DA88-1750-4E30-B488-348A36DC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f01">
    <w:name w:val="cf01"/>
    <w:basedOn w:val="DefaultParagraphFont"/>
    <w:rsid w:val="00007C1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0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090FD764E6547B638FADCF3CB867C" ma:contentTypeVersion="4" ma:contentTypeDescription="Create a new document." ma:contentTypeScope="" ma:versionID="9a2a2232b5b6608f73a35c96bf24562f">
  <xsd:schema xmlns:xsd="http://www.w3.org/2001/XMLSchema" xmlns:xs="http://www.w3.org/2001/XMLSchema" xmlns:p="http://schemas.microsoft.com/office/2006/metadata/properties" xmlns:ns2="c1e1728b-eb38-48dc-b6a8-f865f2975ac3" xmlns:ns3="2fc1e672-fbff-439b-8350-d35db42286e6" targetNamespace="http://schemas.microsoft.com/office/2006/metadata/properties" ma:root="true" ma:fieldsID="268f7502d3ffc8eabe32ba09c49c36ba" ns2:_="" ns3:_="">
    <xsd:import namespace="c1e1728b-eb38-48dc-b6a8-f865f2975ac3"/>
    <xsd:import namespace="2fc1e672-fbff-439b-8350-d35db4228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1728b-eb38-48dc-b6a8-f865f297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e672-fbff-439b-8350-d35db4228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F18FF-8869-4515-9614-AD740490D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92D8D-5E7D-44F7-ABFD-F6DD3275A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1C033-C36B-470A-A7EB-4AD75AC55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A197F-357F-41C0-B8B3-EDA99C95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1728b-eb38-48dc-b6a8-f865f2975ac3"/>
    <ds:schemaRef ds:uri="2fc1e672-fbff-439b-8350-d35db4228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630</Words>
  <Characters>3938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Anghel</dc:creator>
  <cp:keywords/>
  <dc:description/>
  <cp:lastModifiedBy>Marcu, Cristina</cp:lastModifiedBy>
  <cp:revision>7</cp:revision>
  <dcterms:created xsi:type="dcterms:W3CDTF">2022-12-07T08:14:00Z</dcterms:created>
  <dcterms:modified xsi:type="dcterms:W3CDTF">2022-12-08T08:30:00Z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2022-09-16T11:50:08Z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6065baca-013f-401b-b8be-b56591c187f7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0x01010021A090FD764E6547B638FADCF3CB867C</vt:lpwstr>
  </property>
</Properties>
</file>