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623C" w14:textId="77777777" w:rsidR="00F830C8" w:rsidRDefault="005D7A84">
      <w:pPr>
        <w:spacing w:line="288" w:lineRule="auto"/>
        <w:contextualSpacing/>
        <w:jc w:val="center"/>
        <w:rPr>
          <w:rFonts w:ascii="Calibri Light" w:hAnsi="Calibri Light" w:cs="Calibri Light"/>
          <w:b/>
          <w:bCs/>
          <w:szCs w:val="24"/>
          <w:lang w:val="ro-RO"/>
        </w:rPr>
      </w:pPr>
      <w:bookmarkStart w:id="0" w:name="_Hlk120526854"/>
      <w:r w:rsidRPr="00683950">
        <w:rPr>
          <w:rFonts w:ascii="Calibri Light" w:hAnsi="Calibri Light" w:cs="Calibri Light"/>
          <w:b/>
          <w:bCs/>
          <w:szCs w:val="24"/>
          <w:lang w:val="ro-RO"/>
        </w:rPr>
        <w:t xml:space="preserve">Perspectivele macroeconomice </w:t>
      </w:r>
      <w:r w:rsidR="00E362AF" w:rsidRPr="00683950">
        <w:rPr>
          <w:rFonts w:ascii="Calibri Light" w:hAnsi="Calibri Light" w:cs="Calibri Light"/>
          <w:b/>
          <w:bCs/>
          <w:szCs w:val="24"/>
          <w:lang w:val="ro-RO"/>
        </w:rPr>
        <w:t>obligă</w:t>
      </w:r>
      <w:r w:rsidRPr="00683950">
        <w:rPr>
          <w:rFonts w:ascii="Calibri Light" w:hAnsi="Calibri Light" w:cs="Calibri Light"/>
          <w:b/>
          <w:bCs/>
          <w:szCs w:val="24"/>
          <w:lang w:val="ro-RO"/>
        </w:rPr>
        <w:t xml:space="preserve"> băncile din România să</w:t>
      </w:r>
      <w:r w:rsidR="00E362AF" w:rsidRPr="00683950">
        <w:rPr>
          <w:rFonts w:ascii="Calibri Light" w:hAnsi="Calibri Light" w:cs="Calibri Light"/>
          <w:b/>
          <w:bCs/>
          <w:szCs w:val="24"/>
          <w:lang w:val="ro-RO"/>
        </w:rPr>
        <w:t>-și</w:t>
      </w:r>
      <w:r w:rsidRPr="00683950">
        <w:rPr>
          <w:rFonts w:ascii="Calibri Light" w:hAnsi="Calibri Light" w:cs="Calibri Light"/>
          <w:b/>
          <w:bCs/>
          <w:szCs w:val="24"/>
          <w:lang w:val="ro-RO"/>
        </w:rPr>
        <w:t xml:space="preserve"> </w:t>
      </w:r>
      <w:r w:rsidR="00E362AF" w:rsidRPr="00683950">
        <w:rPr>
          <w:rFonts w:ascii="Calibri Light" w:hAnsi="Calibri Light" w:cs="Calibri Light"/>
          <w:b/>
          <w:bCs/>
          <w:szCs w:val="24"/>
          <w:lang w:val="ro-RO"/>
        </w:rPr>
        <w:t xml:space="preserve">ajusteze </w:t>
      </w:r>
      <w:r w:rsidRPr="00683950">
        <w:rPr>
          <w:rFonts w:ascii="Calibri Light" w:hAnsi="Calibri Light" w:cs="Calibri Light"/>
          <w:b/>
          <w:bCs/>
          <w:szCs w:val="24"/>
          <w:lang w:val="ro-RO"/>
        </w:rPr>
        <w:t>strategia.</w:t>
      </w:r>
    </w:p>
    <w:p w14:paraId="529D2422" w14:textId="1DE179E1" w:rsidR="00DB7829" w:rsidRPr="00683950" w:rsidRDefault="005D7A84">
      <w:pPr>
        <w:spacing w:line="288" w:lineRule="auto"/>
        <w:contextualSpacing/>
        <w:jc w:val="center"/>
        <w:rPr>
          <w:rFonts w:ascii="Calibri Light" w:hAnsi="Calibri Light" w:cs="Calibri Light"/>
          <w:b/>
          <w:color w:val="595959" w:themeColor="text1" w:themeTint="A6"/>
          <w:szCs w:val="24"/>
          <w:lang w:val="ro-RO"/>
        </w:rPr>
      </w:pPr>
      <w:r w:rsidRPr="00683950">
        <w:rPr>
          <w:rFonts w:ascii="Calibri Light" w:hAnsi="Calibri Light" w:cs="Calibri Light"/>
          <w:b/>
          <w:bCs/>
          <w:szCs w:val="24"/>
          <w:lang w:val="ro-RO"/>
        </w:rPr>
        <w:t xml:space="preserve">Care sunt </w:t>
      </w:r>
      <w:r w:rsidR="00E362AF" w:rsidRPr="00683950">
        <w:rPr>
          <w:rFonts w:ascii="Calibri Light" w:hAnsi="Calibri Light" w:cs="Calibri Light"/>
          <w:b/>
          <w:bCs/>
          <w:szCs w:val="24"/>
          <w:lang w:val="ro-RO"/>
        </w:rPr>
        <w:t xml:space="preserve">zonele </w:t>
      </w:r>
      <w:r w:rsidRPr="00683950">
        <w:rPr>
          <w:rFonts w:ascii="Calibri Light" w:hAnsi="Calibri Light" w:cs="Calibri Light"/>
          <w:b/>
          <w:bCs/>
          <w:szCs w:val="24"/>
          <w:lang w:val="ro-RO"/>
        </w:rPr>
        <w:t>vulnerabil</w:t>
      </w:r>
      <w:r w:rsidR="00E362AF" w:rsidRPr="00683950">
        <w:rPr>
          <w:rFonts w:ascii="Calibri Light" w:hAnsi="Calibri Light" w:cs="Calibri Light"/>
          <w:b/>
          <w:bCs/>
          <w:szCs w:val="24"/>
          <w:lang w:val="ro-RO"/>
        </w:rPr>
        <w:t>e</w:t>
      </w:r>
      <w:r w:rsidRPr="00683950">
        <w:rPr>
          <w:rFonts w:ascii="Calibri Light" w:hAnsi="Calibri Light" w:cs="Calibri Light"/>
          <w:b/>
          <w:bCs/>
          <w:szCs w:val="24"/>
          <w:lang w:val="ro-RO"/>
        </w:rPr>
        <w:t xml:space="preserve"> la care trebuie să fie aten</w:t>
      </w:r>
      <w:r w:rsidR="00E362AF" w:rsidRPr="00683950">
        <w:rPr>
          <w:rFonts w:ascii="Calibri Light" w:hAnsi="Calibri Light" w:cs="Calibri Light"/>
          <w:b/>
          <w:bCs/>
          <w:szCs w:val="24"/>
          <w:lang w:val="ro-RO"/>
        </w:rPr>
        <w:t>te</w:t>
      </w:r>
      <w:r w:rsidRPr="00683950">
        <w:rPr>
          <w:rFonts w:ascii="Calibri Light" w:hAnsi="Calibri Light" w:cs="Calibri Light"/>
          <w:b/>
          <w:bCs/>
          <w:szCs w:val="24"/>
          <w:lang w:val="ro-RO"/>
        </w:rPr>
        <w:t>?</w:t>
      </w:r>
    </w:p>
    <w:p w14:paraId="7180055D" w14:textId="77777777" w:rsidR="00DB7829" w:rsidRPr="00683950" w:rsidRDefault="00DB7829">
      <w:pPr>
        <w:spacing w:line="288" w:lineRule="auto"/>
        <w:contextualSpacing/>
        <w:jc w:val="both"/>
        <w:rPr>
          <w:rFonts w:ascii="Calibri Light" w:hAnsi="Calibri Light" w:cs="Calibri Light"/>
          <w:i/>
          <w:sz w:val="20"/>
          <w:szCs w:val="20"/>
          <w:lang w:val="ro-RO"/>
        </w:rPr>
      </w:pPr>
    </w:p>
    <w:p w14:paraId="575AB8E5" w14:textId="77777777" w:rsidR="00DB7829" w:rsidRPr="00683950" w:rsidRDefault="00DB7829">
      <w:pPr>
        <w:spacing w:line="288" w:lineRule="auto"/>
        <w:contextualSpacing/>
        <w:jc w:val="both"/>
        <w:rPr>
          <w:rFonts w:ascii="Calibri Light" w:hAnsi="Calibri Light" w:cs="Calibri Light"/>
          <w:i/>
          <w:sz w:val="20"/>
          <w:szCs w:val="20"/>
          <w:lang w:val="ro-RO"/>
        </w:rPr>
      </w:pPr>
    </w:p>
    <w:p w14:paraId="2224051A" w14:textId="6EFB5355" w:rsidR="0098137E" w:rsidRPr="00683950" w:rsidRDefault="0098137E" w:rsidP="0098137E">
      <w:pPr>
        <w:spacing w:line="288" w:lineRule="auto"/>
        <w:contextualSpacing/>
        <w:rPr>
          <w:rFonts w:ascii="Calibri Light" w:hAnsi="Calibri Light" w:cs="Calibri Light"/>
          <w:i/>
          <w:sz w:val="20"/>
          <w:szCs w:val="20"/>
          <w:lang w:val="ro-RO"/>
        </w:rPr>
      </w:pPr>
      <w:r w:rsidRPr="00683950">
        <w:rPr>
          <w:rFonts w:ascii="Calibri Light" w:hAnsi="Calibri Light" w:cs="Calibri Light"/>
          <w:b/>
          <w:i/>
          <w:sz w:val="20"/>
          <w:szCs w:val="20"/>
          <w:lang w:val="ro-RO"/>
        </w:rPr>
        <w:t>de Dimitrios Goranitis, Lider</w:t>
      </w:r>
      <w:r w:rsidR="00E362AF" w:rsidRPr="00683950">
        <w:rPr>
          <w:rFonts w:ascii="Calibri Light" w:hAnsi="Calibri Light" w:cs="Calibri Light"/>
          <w:b/>
          <w:i/>
          <w:sz w:val="20"/>
          <w:szCs w:val="20"/>
          <w:lang w:val="ro-RO"/>
        </w:rPr>
        <w:t>ul</w:t>
      </w:r>
      <w:r w:rsidRPr="00683950">
        <w:rPr>
          <w:rFonts w:ascii="Calibri Light" w:hAnsi="Calibri Light" w:cs="Calibri Light"/>
          <w:b/>
          <w:i/>
          <w:sz w:val="20"/>
          <w:szCs w:val="20"/>
          <w:lang w:val="ro-RO"/>
        </w:rPr>
        <w:t xml:space="preserve"> servicii de consultanță pentru sistemul bancar și piețe de capital, Deloitte Central Europe</w:t>
      </w:r>
    </w:p>
    <w:p w14:paraId="54A21032" w14:textId="77777777" w:rsidR="00DB7829" w:rsidRPr="00683950" w:rsidRDefault="00DB7829">
      <w:pPr>
        <w:spacing w:line="288" w:lineRule="auto"/>
        <w:contextualSpacing/>
        <w:jc w:val="both"/>
        <w:rPr>
          <w:rFonts w:ascii="Calibri Light" w:hAnsi="Calibri Light" w:cs="Calibri Light"/>
          <w:i/>
          <w:sz w:val="20"/>
          <w:szCs w:val="20"/>
          <w:lang w:val="ro-RO"/>
        </w:rPr>
      </w:pPr>
    </w:p>
    <w:p w14:paraId="68543C88" w14:textId="77777777" w:rsidR="00DB7829" w:rsidRPr="00683950" w:rsidRDefault="00DB7829">
      <w:pPr>
        <w:spacing w:line="288" w:lineRule="auto"/>
        <w:contextualSpacing/>
        <w:jc w:val="both"/>
        <w:rPr>
          <w:rFonts w:ascii="Calibri Light" w:hAnsi="Calibri Light" w:cs="Calibri Light"/>
          <w:sz w:val="20"/>
          <w:szCs w:val="20"/>
          <w:lang w:val="ro-RO"/>
        </w:rPr>
      </w:pPr>
    </w:p>
    <w:p w14:paraId="2A32313D" w14:textId="39BE03A1" w:rsidR="005D7A84" w:rsidRPr="00683950" w:rsidRDefault="005D7A84" w:rsidP="005D7A84">
      <w:pPr>
        <w:spacing w:line="288" w:lineRule="auto"/>
        <w:contextualSpacing/>
        <w:jc w:val="both"/>
        <w:rPr>
          <w:rFonts w:ascii="Calibri Light" w:hAnsi="Calibri Light" w:cs="Calibri Light"/>
          <w:sz w:val="20"/>
          <w:szCs w:val="20"/>
          <w:lang w:val="ro-RO"/>
        </w:rPr>
      </w:pP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După aproape un deceniu de creștere foarte puternică a PIB-ului, România se pregătește pentru o </w:t>
      </w:r>
      <w:r w:rsidR="00E362AF" w:rsidRPr="00683950">
        <w:rPr>
          <w:rFonts w:ascii="Calibri Light" w:hAnsi="Calibri Light" w:cs="Calibri Light"/>
          <w:sz w:val="20"/>
          <w:szCs w:val="20"/>
          <w:lang w:val="ro-RO"/>
        </w:rPr>
        <w:t>încetinire economică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E362AF" w:rsidRPr="00683950">
        <w:rPr>
          <w:rFonts w:ascii="Calibri Light" w:hAnsi="Calibri Light" w:cs="Calibri Light"/>
          <w:sz w:val="20"/>
          <w:szCs w:val="20"/>
          <w:lang w:val="ro-RO"/>
        </w:rPr>
        <w:t>bruscă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. Potrivit raport</w:t>
      </w:r>
      <w:r w:rsidR="00E24D95">
        <w:rPr>
          <w:rFonts w:ascii="Calibri Light" w:hAnsi="Calibri Light" w:cs="Calibri Light"/>
          <w:sz w:val="20"/>
          <w:szCs w:val="20"/>
          <w:lang w:val="ro-RO"/>
        </w:rPr>
        <w:t>ului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Comisiei Europene</w:t>
      </w:r>
      <w:r w:rsidR="00E24D95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E362AF" w:rsidRPr="00683950">
        <w:rPr>
          <w:rFonts w:ascii="Calibri Light" w:hAnsi="Calibri Light" w:cs="Calibri Light"/>
          <w:sz w:val="20"/>
          <w:szCs w:val="20"/>
          <w:lang w:val="ro-RO"/>
        </w:rPr>
        <w:t xml:space="preserve">din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11</w:t>
      </w:r>
      <w:r w:rsidR="00E362AF" w:rsidRPr="00683950">
        <w:rPr>
          <w:rFonts w:ascii="Calibri Light" w:hAnsi="Calibri Light" w:cs="Calibri Light"/>
          <w:sz w:val="20"/>
          <w:szCs w:val="20"/>
          <w:lang w:val="ro-RO"/>
        </w:rPr>
        <w:t xml:space="preserve"> noiembrie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2022, România va închide anul 2022 cu o creștere de 5,8% a PIB-ului</w:t>
      </w:r>
      <w:r w:rsidR="00E362AF" w:rsidRPr="00683950">
        <w:rPr>
          <w:rFonts w:ascii="Calibri Light" w:hAnsi="Calibri Light" w:cs="Calibri Light"/>
          <w:sz w:val="20"/>
          <w:szCs w:val="20"/>
          <w:lang w:val="ro-RO"/>
        </w:rPr>
        <w:t>,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E362AF" w:rsidRPr="00683950">
        <w:rPr>
          <w:rFonts w:ascii="Calibri Light" w:hAnsi="Calibri Light" w:cs="Calibri Light"/>
          <w:sz w:val="20"/>
          <w:szCs w:val="20"/>
          <w:lang w:val="ro-RO"/>
        </w:rPr>
        <w:t>semn al unei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redres</w:t>
      </w:r>
      <w:r w:rsidR="00E362AF" w:rsidRPr="00683950">
        <w:rPr>
          <w:rFonts w:ascii="Calibri Light" w:hAnsi="Calibri Light" w:cs="Calibri Light"/>
          <w:sz w:val="20"/>
          <w:szCs w:val="20"/>
          <w:lang w:val="ro-RO"/>
        </w:rPr>
        <w:t xml:space="preserve">ări economice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post-pandemie, </w:t>
      </w:r>
      <w:r w:rsidR="00E24D95">
        <w:rPr>
          <w:rFonts w:ascii="Calibri Light" w:hAnsi="Calibri Light" w:cs="Calibri Light"/>
          <w:sz w:val="20"/>
          <w:szCs w:val="20"/>
          <w:lang w:val="ro-RO"/>
        </w:rPr>
        <w:t>bazată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în principal </w:t>
      </w:r>
      <w:r w:rsidR="00E24D95">
        <w:rPr>
          <w:rFonts w:ascii="Calibri Light" w:hAnsi="Calibri Light" w:cs="Calibri Light"/>
          <w:sz w:val="20"/>
          <w:szCs w:val="20"/>
          <w:lang w:val="ro-RO"/>
        </w:rPr>
        <w:t>p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e consumul intern. </w:t>
      </w:r>
      <w:r w:rsidR="00E362AF" w:rsidRPr="00683950">
        <w:rPr>
          <w:rFonts w:ascii="Calibri Light" w:hAnsi="Calibri Light" w:cs="Calibri Light"/>
          <w:sz w:val="20"/>
          <w:szCs w:val="20"/>
          <w:lang w:val="ro-RO"/>
        </w:rPr>
        <w:t>Pe de altă parte, însă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, creșterea estimată a PIB-ului pentru 2023 este </w:t>
      </w:r>
      <w:r w:rsidR="00E362AF" w:rsidRPr="00683950">
        <w:rPr>
          <w:rFonts w:ascii="Calibri Light" w:hAnsi="Calibri Light" w:cs="Calibri Light"/>
          <w:sz w:val="20"/>
          <w:szCs w:val="20"/>
          <w:lang w:val="ro-RO"/>
        </w:rPr>
        <w:t xml:space="preserve">de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sub 2%, cu </w:t>
      </w:r>
      <w:r w:rsidR="00E362AF" w:rsidRPr="00683950">
        <w:rPr>
          <w:rFonts w:ascii="Calibri Light" w:hAnsi="Calibri Light" w:cs="Calibri Light"/>
          <w:sz w:val="20"/>
          <w:szCs w:val="20"/>
          <w:lang w:val="ro-RO"/>
        </w:rPr>
        <w:t xml:space="preserve">perspective mai degrabă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negativ</w:t>
      </w:r>
      <w:r w:rsidR="00E362AF" w:rsidRPr="00683950">
        <w:rPr>
          <w:rFonts w:ascii="Calibri Light" w:hAnsi="Calibri Light" w:cs="Calibri Light"/>
          <w:sz w:val="20"/>
          <w:szCs w:val="20"/>
          <w:lang w:val="ro-RO"/>
        </w:rPr>
        <w:t>e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, în condițiile în care România a întârziat conceperea și implementarea </w:t>
      </w:r>
      <w:r w:rsidR="00E362AF" w:rsidRPr="00683950">
        <w:rPr>
          <w:rFonts w:ascii="Calibri Light" w:hAnsi="Calibri Light" w:cs="Calibri Light"/>
          <w:sz w:val="20"/>
          <w:szCs w:val="20"/>
          <w:lang w:val="ro-RO"/>
        </w:rPr>
        <w:t>P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lanului </w:t>
      </w:r>
      <w:r w:rsidR="00E362AF" w:rsidRPr="00683950">
        <w:rPr>
          <w:rFonts w:ascii="Calibri Light" w:hAnsi="Calibri Light" w:cs="Calibri Light"/>
          <w:sz w:val="20"/>
          <w:szCs w:val="20"/>
          <w:lang w:val="ro-RO"/>
        </w:rPr>
        <w:t xml:space="preserve">Național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de </w:t>
      </w:r>
      <w:r w:rsidR="00E362AF" w:rsidRPr="00683950">
        <w:rPr>
          <w:rFonts w:ascii="Calibri Light" w:hAnsi="Calibri Light" w:cs="Calibri Light"/>
          <w:sz w:val="20"/>
          <w:szCs w:val="20"/>
          <w:lang w:val="ro-RO"/>
        </w:rPr>
        <w:t>R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edresare și </w:t>
      </w:r>
      <w:r w:rsidR="00E362AF" w:rsidRPr="00683950">
        <w:rPr>
          <w:rFonts w:ascii="Calibri Light" w:hAnsi="Calibri Light" w:cs="Calibri Light"/>
          <w:sz w:val="20"/>
          <w:szCs w:val="20"/>
          <w:lang w:val="ro-RO"/>
        </w:rPr>
        <w:t>R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eziliență</w:t>
      </w:r>
      <w:r w:rsidR="00E362AF" w:rsidRPr="00683950">
        <w:rPr>
          <w:rFonts w:ascii="Calibri Light" w:hAnsi="Calibri Light" w:cs="Calibri Light"/>
          <w:sz w:val="20"/>
          <w:szCs w:val="20"/>
          <w:lang w:val="ro-RO"/>
        </w:rPr>
        <w:t xml:space="preserve"> (PNRR)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, </w:t>
      </w:r>
      <w:r w:rsidR="00683950" w:rsidRPr="00683950">
        <w:rPr>
          <w:rFonts w:ascii="Calibri Light" w:hAnsi="Calibri Light" w:cs="Calibri Light"/>
          <w:sz w:val="20"/>
          <w:szCs w:val="20"/>
          <w:lang w:val="ro-RO"/>
        </w:rPr>
        <w:t>ceea</w:t>
      </w:r>
      <w:r w:rsidR="0068395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683950" w:rsidRPr="00683950">
        <w:rPr>
          <w:rFonts w:ascii="Calibri Light" w:hAnsi="Calibri Light" w:cs="Calibri Light"/>
          <w:sz w:val="20"/>
          <w:szCs w:val="20"/>
          <w:lang w:val="ro-RO"/>
        </w:rPr>
        <w:t xml:space="preserve">ce duce la o </w:t>
      </w:r>
      <w:r w:rsidR="00E24D95">
        <w:rPr>
          <w:rFonts w:ascii="Calibri Light" w:hAnsi="Calibri Light" w:cs="Calibri Light"/>
          <w:sz w:val="20"/>
          <w:szCs w:val="20"/>
          <w:lang w:val="ro-RO"/>
        </w:rPr>
        <w:t xml:space="preserve">scădere </w:t>
      </w:r>
      <w:r w:rsidR="00683950" w:rsidRPr="00683950">
        <w:rPr>
          <w:rFonts w:ascii="Calibri Light" w:hAnsi="Calibri Light" w:cs="Calibri Light"/>
          <w:sz w:val="20"/>
          <w:szCs w:val="20"/>
          <w:lang w:val="ro-RO"/>
        </w:rPr>
        <w:t>a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investițiil</w:t>
      </w:r>
      <w:r w:rsidR="00683950" w:rsidRPr="00683950">
        <w:rPr>
          <w:rFonts w:ascii="Calibri Light" w:hAnsi="Calibri Light" w:cs="Calibri Light"/>
          <w:sz w:val="20"/>
          <w:szCs w:val="20"/>
          <w:lang w:val="ro-RO"/>
        </w:rPr>
        <w:t>or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viitoare. Potrivit </w:t>
      </w:r>
      <w:r w:rsidR="00E24D95">
        <w:rPr>
          <w:rFonts w:ascii="Calibri Light" w:hAnsi="Calibri Light" w:cs="Calibri Light"/>
          <w:sz w:val="20"/>
          <w:szCs w:val="20"/>
          <w:lang w:val="ro-RO"/>
        </w:rPr>
        <w:t>C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omisiei</w:t>
      </w:r>
      <w:r w:rsidR="00E24D95">
        <w:rPr>
          <w:rFonts w:ascii="Calibri Light" w:hAnsi="Calibri Light" w:cs="Calibri Light"/>
          <w:sz w:val="20"/>
          <w:szCs w:val="20"/>
          <w:lang w:val="ro-RO"/>
        </w:rPr>
        <w:t xml:space="preserve"> Europene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, </w:t>
      </w:r>
      <w:r w:rsidR="00683950" w:rsidRPr="00683950">
        <w:rPr>
          <w:rFonts w:ascii="Calibri Light" w:hAnsi="Calibri Light" w:cs="Calibri Light"/>
          <w:sz w:val="20"/>
          <w:szCs w:val="20"/>
          <w:lang w:val="ro-RO"/>
        </w:rPr>
        <w:t xml:space="preserve">este de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aștept</w:t>
      </w:r>
      <w:r w:rsidR="00683950" w:rsidRPr="00683950">
        <w:rPr>
          <w:rFonts w:ascii="Calibri Light" w:hAnsi="Calibri Light" w:cs="Calibri Light"/>
          <w:sz w:val="20"/>
          <w:szCs w:val="20"/>
          <w:lang w:val="ro-RO"/>
        </w:rPr>
        <w:t xml:space="preserve">at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ca România să </w:t>
      </w:r>
      <w:r w:rsidR="00683950" w:rsidRPr="00683950">
        <w:rPr>
          <w:rFonts w:ascii="Calibri Light" w:hAnsi="Calibri Light" w:cs="Calibri Light"/>
          <w:sz w:val="20"/>
          <w:szCs w:val="20"/>
          <w:lang w:val="ro-RO"/>
        </w:rPr>
        <w:t xml:space="preserve">nu beneficieze de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sprijin semnificativ </w:t>
      </w:r>
      <w:r w:rsidR="00094B12">
        <w:rPr>
          <w:rFonts w:ascii="Calibri Light" w:hAnsi="Calibri Light" w:cs="Calibri Light"/>
          <w:sz w:val="20"/>
          <w:szCs w:val="20"/>
          <w:lang w:val="ro-RO"/>
        </w:rPr>
        <w:t>extern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. Se preconizează că inflația se va menține ridicată pe tot parcursul anului 2023, iar </w:t>
      </w:r>
      <w:r w:rsidR="00683950">
        <w:rPr>
          <w:rFonts w:ascii="Calibri Light" w:hAnsi="Calibri Light" w:cs="Calibri Light"/>
          <w:sz w:val="20"/>
          <w:szCs w:val="20"/>
          <w:lang w:val="ro-RO"/>
        </w:rPr>
        <w:t>reducerea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deficitului </w:t>
      </w:r>
      <w:r w:rsidR="00094B12">
        <w:rPr>
          <w:rFonts w:ascii="Calibri Light" w:hAnsi="Calibri Light" w:cs="Calibri Light"/>
          <w:sz w:val="20"/>
          <w:szCs w:val="20"/>
          <w:lang w:val="ro-RO"/>
        </w:rPr>
        <w:t>comercial</w:t>
      </w:r>
      <w:r w:rsidR="00683950">
        <w:rPr>
          <w:rFonts w:ascii="Calibri Light" w:hAnsi="Calibri Light" w:cs="Calibri Light"/>
          <w:sz w:val="20"/>
          <w:szCs w:val="20"/>
          <w:lang w:val="ro-RO"/>
        </w:rPr>
        <w:t xml:space="preserve">, aflat la cel mai înalt nivel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din toate timpurile</w:t>
      </w:r>
      <w:r w:rsidR="00683950">
        <w:rPr>
          <w:rFonts w:ascii="Calibri Light" w:hAnsi="Calibri Light" w:cs="Calibri Light"/>
          <w:sz w:val="20"/>
          <w:szCs w:val="20"/>
          <w:lang w:val="ro-RO"/>
        </w:rPr>
        <w:t>,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va rămâne o provocare, având în vedere </w:t>
      </w:r>
      <w:r w:rsidR="00683950">
        <w:rPr>
          <w:rFonts w:ascii="Calibri Light" w:hAnsi="Calibri Light" w:cs="Calibri Light"/>
          <w:sz w:val="20"/>
          <w:szCs w:val="20"/>
          <w:lang w:val="ro-RO"/>
        </w:rPr>
        <w:t>contextul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macro</w:t>
      </w:r>
      <w:r w:rsidR="00683950">
        <w:rPr>
          <w:rFonts w:ascii="Calibri Light" w:hAnsi="Calibri Light" w:cs="Calibri Light"/>
          <w:sz w:val="20"/>
          <w:szCs w:val="20"/>
          <w:lang w:val="ro-RO"/>
        </w:rPr>
        <w:t>economic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și alegerile din 2024.</w:t>
      </w:r>
    </w:p>
    <w:p w14:paraId="6297B75E" w14:textId="116F96D7" w:rsidR="005D7A84" w:rsidRPr="00683950" w:rsidRDefault="00E24D95" w:rsidP="005D7A84">
      <w:pPr>
        <w:spacing w:line="288" w:lineRule="auto"/>
        <w:contextualSpacing/>
        <w:jc w:val="both"/>
        <w:rPr>
          <w:rFonts w:ascii="Calibri Light" w:hAnsi="Calibri Light" w:cs="Calibri Light"/>
          <w:sz w:val="20"/>
          <w:szCs w:val="20"/>
          <w:lang w:val="ro-RO"/>
        </w:rPr>
      </w:pPr>
      <w:r>
        <w:rPr>
          <w:rFonts w:ascii="Calibri Light" w:hAnsi="Calibri Light" w:cs="Calibri Light"/>
          <w:sz w:val="20"/>
          <w:szCs w:val="20"/>
          <w:lang w:val="ro-RO"/>
        </w:rPr>
        <w:t>În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3A58DA">
        <w:rPr>
          <w:rFonts w:ascii="Calibri Light" w:hAnsi="Calibri Light" w:cs="Calibri Light"/>
          <w:sz w:val="20"/>
          <w:szCs w:val="20"/>
          <w:lang w:val="ro-RO"/>
        </w:rPr>
        <w:t xml:space="preserve">raportul 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de țară </w:t>
      </w:r>
      <w:r w:rsidR="003A58DA">
        <w:rPr>
          <w:rFonts w:ascii="Calibri Light" w:hAnsi="Calibri Light" w:cs="Calibri Light"/>
          <w:sz w:val="20"/>
          <w:szCs w:val="20"/>
          <w:lang w:val="ro-RO"/>
        </w:rPr>
        <w:t xml:space="preserve">din 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>26</w:t>
      </w:r>
      <w:r w:rsidR="003A58DA">
        <w:rPr>
          <w:rFonts w:ascii="Calibri Light" w:hAnsi="Calibri Light" w:cs="Calibri Light"/>
          <w:sz w:val="20"/>
          <w:szCs w:val="20"/>
          <w:lang w:val="ro-RO"/>
        </w:rPr>
        <w:t xml:space="preserve"> septembrie 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2022, </w:t>
      </w:r>
      <w:r>
        <w:rPr>
          <w:rFonts w:ascii="Calibri Light" w:hAnsi="Calibri Light" w:cs="Calibri Light"/>
          <w:sz w:val="20"/>
          <w:szCs w:val="20"/>
          <w:lang w:val="ro-RO"/>
        </w:rPr>
        <w:t>Fondul Monetar Internațional (FMI)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 recomandă României să </w:t>
      </w:r>
      <w:r w:rsidR="003A58DA">
        <w:rPr>
          <w:rFonts w:ascii="Calibri Light" w:hAnsi="Calibri Light" w:cs="Calibri Light"/>
          <w:sz w:val="20"/>
          <w:szCs w:val="20"/>
          <w:lang w:val="ro-RO"/>
        </w:rPr>
        <w:t>implementeze măsuri de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 disciplin</w:t>
      </w:r>
      <w:r w:rsidR="003A58DA">
        <w:rPr>
          <w:rFonts w:ascii="Calibri Light" w:hAnsi="Calibri Light" w:cs="Calibri Light"/>
          <w:sz w:val="20"/>
          <w:szCs w:val="20"/>
          <w:lang w:val="ro-RO"/>
        </w:rPr>
        <w:t>ă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 fiscală prin reducerea cheltuielilor (inclusiv 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legate de 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>plafon</w:t>
      </w:r>
      <w:r w:rsidR="003A58DA">
        <w:rPr>
          <w:rFonts w:ascii="Calibri Light" w:hAnsi="Calibri Light" w:cs="Calibri Light"/>
          <w:sz w:val="20"/>
          <w:szCs w:val="20"/>
          <w:lang w:val="ro-RO"/>
        </w:rPr>
        <w:t>area prețurilor la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 energ</w:t>
      </w:r>
      <w:r w:rsidR="003A58DA">
        <w:rPr>
          <w:rFonts w:ascii="Calibri Light" w:hAnsi="Calibri Light" w:cs="Calibri Light"/>
          <w:sz w:val="20"/>
          <w:szCs w:val="20"/>
          <w:lang w:val="ro-RO"/>
        </w:rPr>
        <w:t>ie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), creșterea impozitării (venituri personale, TVA) și devalorizarea </w:t>
      </w:r>
      <w:r w:rsidR="003A58DA">
        <w:rPr>
          <w:rFonts w:ascii="Calibri Light" w:hAnsi="Calibri Light" w:cs="Calibri Light"/>
          <w:sz w:val="20"/>
          <w:szCs w:val="20"/>
          <w:lang w:val="ro-RO"/>
        </w:rPr>
        <w:t>leului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>. Propuner</w:t>
      </w:r>
      <w:r w:rsidR="003A58DA">
        <w:rPr>
          <w:rFonts w:ascii="Calibri Light" w:hAnsi="Calibri Light" w:cs="Calibri Light"/>
          <w:sz w:val="20"/>
          <w:szCs w:val="20"/>
          <w:lang w:val="ro-RO"/>
        </w:rPr>
        <w:t>ile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 de 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măsuri de 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austeritate din </w:t>
      </w:r>
      <w:r w:rsidR="003A58DA">
        <w:rPr>
          <w:rFonts w:ascii="Calibri Light" w:hAnsi="Calibri Light" w:cs="Calibri Light"/>
          <w:sz w:val="20"/>
          <w:szCs w:val="20"/>
          <w:lang w:val="ro-RO"/>
        </w:rPr>
        <w:t xml:space="preserve">partea FMI 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>v</w:t>
      </w:r>
      <w:r w:rsidR="003A58DA">
        <w:rPr>
          <w:rFonts w:ascii="Calibri Light" w:hAnsi="Calibri Light" w:cs="Calibri Light"/>
          <w:sz w:val="20"/>
          <w:szCs w:val="20"/>
          <w:lang w:val="ro-RO"/>
        </w:rPr>
        <w:t>or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 reduce, desigur, venitu</w:t>
      </w:r>
      <w:r w:rsidR="003A58DA">
        <w:rPr>
          <w:rFonts w:ascii="Calibri Light" w:hAnsi="Calibri Light" w:cs="Calibri Light"/>
          <w:sz w:val="20"/>
          <w:szCs w:val="20"/>
          <w:lang w:val="ro-RO"/>
        </w:rPr>
        <w:t>rile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 disponibil</w:t>
      </w:r>
      <w:r w:rsidR="003A58DA">
        <w:rPr>
          <w:rFonts w:ascii="Calibri Light" w:hAnsi="Calibri Light" w:cs="Calibri Light"/>
          <w:sz w:val="20"/>
          <w:szCs w:val="20"/>
          <w:lang w:val="ro-RO"/>
        </w:rPr>
        <w:t>e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 și, în consecință, v</w:t>
      </w:r>
      <w:r w:rsidR="003A58DA">
        <w:rPr>
          <w:rFonts w:ascii="Calibri Light" w:hAnsi="Calibri Light" w:cs="Calibri Light"/>
          <w:sz w:val="20"/>
          <w:szCs w:val="20"/>
          <w:lang w:val="ro-RO"/>
        </w:rPr>
        <w:t>or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3A58DA">
        <w:rPr>
          <w:rFonts w:ascii="Calibri Light" w:hAnsi="Calibri Light" w:cs="Calibri Light"/>
          <w:sz w:val="20"/>
          <w:szCs w:val="20"/>
        </w:rPr>
        <w:t xml:space="preserve">duce la o 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>dinamic</w:t>
      </w:r>
      <w:r w:rsidR="003A58DA">
        <w:rPr>
          <w:rFonts w:ascii="Calibri Light" w:hAnsi="Calibri Light" w:cs="Calibri Light"/>
          <w:sz w:val="20"/>
          <w:szCs w:val="20"/>
          <w:lang w:val="ro-RO"/>
        </w:rPr>
        <w:t xml:space="preserve">ă </w:t>
      </w:r>
      <w:r w:rsidR="003A58DA" w:rsidRPr="003A58DA">
        <w:rPr>
          <w:rFonts w:ascii="Calibri Light" w:hAnsi="Calibri Light" w:cs="Calibri Light"/>
          <w:sz w:val="20"/>
          <w:szCs w:val="20"/>
          <w:lang w:val="ro-RO"/>
        </w:rPr>
        <w:t>scă</w:t>
      </w:r>
      <w:r w:rsidR="003A58DA">
        <w:rPr>
          <w:rFonts w:ascii="Calibri Light" w:hAnsi="Calibri Light" w:cs="Calibri Light"/>
          <w:sz w:val="20"/>
          <w:szCs w:val="20"/>
          <w:lang w:val="ro-RO"/>
        </w:rPr>
        <w:t xml:space="preserve">zută a 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creșterii PIB-ului </w:t>
      </w:r>
      <w:r w:rsidR="003A58DA">
        <w:rPr>
          <w:rFonts w:ascii="Calibri Light" w:hAnsi="Calibri Light" w:cs="Calibri Light"/>
          <w:sz w:val="20"/>
          <w:szCs w:val="20"/>
          <w:lang w:val="ro-RO"/>
        </w:rPr>
        <w:t>bazat</w:t>
      </w:r>
      <w:r>
        <w:rPr>
          <w:rFonts w:ascii="Calibri Light" w:hAnsi="Calibri Light" w:cs="Calibri Light"/>
          <w:sz w:val="20"/>
          <w:szCs w:val="20"/>
          <w:lang w:val="ro-RO"/>
        </w:rPr>
        <w:t>e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3A58DA">
        <w:rPr>
          <w:rFonts w:ascii="Calibri Light" w:hAnsi="Calibri Light" w:cs="Calibri Light"/>
          <w:sz w:val="20"/>
          <w:szCs w:val="20"/>
          <w:lang w:val="ro-RO"/>
        </w:rPr>
        <w:t>p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e consum. </w:t>
      </w:r>
      <w:r w:rsidR="003A58DA">
        <w:rPr>
          <w:rFonts w:ascii="Calibri Light" w:hAnsi="Calibri Light" w:cs="Calibri Light"/>
          <w:sz w:val="20"/>
          <w:szCs w:val="20"/>
          <w:lang w:val="ro-RO"/>
        </w:rPr>
        <w:t xml:space="preserve">Conform raportului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ING 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>CEEMEA FX Outlook 2023</w:t>
      </w:r>
      <w:r w:rsidR="003A58DA">
        <w:rPr>
          <w:rFonts w:ascii="Calibri Light" w:hAnsi="Calibri Light" w:cs="Calibri Light"/>
          <w:sz w:val="20"/>
          <w:szCs w:val="20"/>
          <w:lang w:val="ro-RO"/>
        </w:rPr>
        <w:t>,</w:t>
      </w:r>
      <w:r w:rsidR="003A58DA" w:rsidRPr="0068395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>le</w:t>
      </w:r>
      <w:r w:rsidR="003A58DA">
        <w:rPr>
          <w:rFonts w:ascii="Calibri Light" w:hAnsi="Calibri Light" w:cs="Calibri Light"/>
          <w:sz w:val="20"/>
          <w:szCs w:val="20"/>
          <w:lang w:val="ro-RO"/>
        </w:rPr>
        <w:t xml:space="preserve">ul se va </w:t>
      </w:r>
      <w:r w:rsidR="003A58DA" w:rsidRPr="00683950">
        <w:rPr>
          <w:rFonts w:ascii="Calibri Light" w:hAnsi="Calibri Light" w:cs="Calibri Light"/>
          <w:sz w:val="20"/>
          <w:szCs w:val="20"/>
          <w:lang w:val="ro-RO"/>
        </w:rPr>
        <w:t>depreci</w:t>
      </w:r>
      <w:r w:rsidR="003A58DA">
        <w:rPr>
          <w:rFonts w:ascii="Calibri Light" w:hAnsi="Calibri Light" w:cs="Calibri Light"/>
          <w:sz w:val="20"/>
          <w:szCs w:val="20"/>
          <w:lang w:val="ro-RO"/>
        </w:rPr>
        <w:t>a</w:t>
      </w:r>
      <w:r w:rsidR="003A58DA" w:rsidRPr="00683950">
        <w:rPr>
          <w:rFonts w:ascii="Calibri Light" w:hAnsi="Calibri Light" w:cs="Calibri Light"/>
          <w:sz w:val="20"/>
          <w:szCs w:val="20"/>
          <w:lang w:val="ro-RO"/>
        </w:rPr>
        <w:t xml:space="preserve"> semnificativ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 în prima jumătate a anului 2023.</w:t>
      </w:r>
    </w:p>
    <w:p w14:paraId="7162728D" w14:textId="20E52028" w:rsidR="005D7A84" w:rsidRPr="00683950" w:rsidRDefault="003A58DA" w:rsidP="005D7A84">
      <w:pPr>
        <w:spacing w:line="288" w:lineRule="auto"/>
        <w:contextualSpacing/>
        <w:jc w:val="both"/>
        <w:rPr>
          <w:rFonts w:ascii="Calibri Light" w:hAnsi="Calibri Light" w:cs="Calibri Light"/>
          <w:sz w:val="20"/>
          <w:szCs w:val="20"/>
          <w:lang w:val="ro-RO"/>
        </w:rPr>
      </w:pPr>
      <w:r>
        <w:rPr>
          <w:rFonts w:ascii="Calibri Light" w:hAnsi="Calibri Light" w:cs="Calibri Light"/>
          <w:sz w:val="20"/>
          <w:szCs w:val="20"/>
          <w:lang w:val="ro-RO"/>
        </w:rPr>
        <w:t>De asemenea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, din punct de vedere geopolitic, România, la fel ca Polonia, se află în imediata apropiere a </w:t>
      </w:r>
      <w:r>
        <w:rPr>
          <w:rFonts w:ascii="Calibri Light" w:hAnsi="Calibri Light" w:cs="Calibri Light"/>
          <w:sz w:val="20"/>
          <w:szCs w:val="20"/>
          <w:lang w:val="ro-RO"/>
        </w:rPr>
        <w:t>conflictului generat de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R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>us</w:t>
      </w:r>
      <w:r>
        <w:rPr>
          <w:rFonts w:ascii="Calibri Light" w:hAnsi="Calibri Light" w:cs="Calibri Light"/>
          <w:sz w:val="20"/>
          <w:szCs w:val="20"/>
          <w:lang w:val="ro-RO"/>
        </w:rPr>
        <w:t>ia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>. Nu este o coincidență faptul că</w:t>
      </w:r>
      <w:r>
        <w:rPr>
          <w:rFonts w:ascii="Calibri Light" w:hAnsi="Calibri Light" w:cs="Calibri Light"/>
          <w:sz w:val="20"/>
          <w:szCs w:val="20"/>
          <w:lang w:val="ro-RO"/>
        </w:rPr>
        <w:t>,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 în 2023</w:t>
      </w:r>
      <w:r>
        <w:rPr>
          <w:rFonts w:ascii="Calibri Light" w:hAnsi="Calibri Light" w:cs="Calibri Light"/>
          <w:sz w:val="20"/>
          <w:szCs w:val="20"/>
          <w:lang w:val="ro-RO"/>
        </w:rPr>
        <w:t>,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 România își 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va 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>măr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i 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cheltuielile pentru apărare la 2,5% din PIB, </w:t>
      </w:r>
      <w:r w:rsidR="00D611EF">
        <w:rPr>
          <w:rFonts w:ascii="Calibri Light" w:hAnsi="Calibri Light" w:cs="Calibri Light"/>
          <w:sz w:val="20"/>
          <w:szCs w:val="20"/>
          <w:lang w:val="ro-RO"/>
        </w:rPr>
        <w:t>urmând aceeași direcți</w:t>
      </w:r>
      <w:r w:rsidR="001C44FB">
        <w:rPr>
          <w:rFonts w:ascii="Calibri Light" w:hAnsi="Calibri Light" w:cs="Calibri Light"/>
          <w:sz w:val="20"/>
          <w:szCs w:val="20"/>
          <w:lang w:val="ro-RO"/>
        </w:rPr>
        <w:t>e</w:t>
      </w:r>
      <w:r w:rsidR="00D611EF">
        <w:rPr>
          <w:rFonts w:ascii="Calibri Light" w:hAnsi="Calibri Light" w:cs="Calibri Light"/>
          <w:sz w:val="20"/>
          <w:szCs w:val="20"/>
          <w:lang w:val="ro-RO"/>
        </w:rPr>
        <w:t xml:space="preserve"> ca 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>Polonia</w:t>
      </w:r>
      <w:r w:rsidR="00D611EF">
        <w:rPr>
          <w:rFonts w:ascii="Calibri Light" w:hAnsi="Calibri Light" w:cs="Calibri Light"/>
          <w:sz w:val="20"/>
          <w:szCs w:val="20"/>
          <w:lang w:val="ro-RO"/>
        </w:rPr>
        <w:t xml:space="preserve"> de a aloca un buget mai generos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1C44FB">
        <w:rPr>
          <w:rFonts w:ascii="Calibri Light" w:hAnsi="Calibri Light" w:cs="Calibri Light"/>
          <w:sz w:val="20"/>
          <w:szCs w:val="20"/>
          <w:lang w:val="ro-RO"/>
        </w:rPr>
        <w:t>acestui domeniu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>. Tensiunile geopolitice vor continua</w:t>
      </w:r>
      <w:r w:rsidR="00D611EF">
        <w:rPr>
          <w:rFonts w:ascii="Calibri Light" w:hAnsi="Calibri Light" w:cs="Calibri Light"/>
          <w:sz w:val="20"/>
          <w:szCs w:val="20"/>
          <w:lang w:val="ro-RO"/>
        </w:rPr>
        <w:t>,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D611EF">
        <w:rPr>
          <w:rFonts w:ascii="Calibri Light" w:hAnsi="Calibri Light" w:cs="Calibri Light"/>
          <w:sz w:val="20"/>
          <w:szCs w:val="20"/>
          <w:lang w:val="ro-RO"/>
        </w:rPr>
        <w:t>în contextul în care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D611EF">
        <w:rPr>
          <w:rFonts w:ascii="Calibri Light" w:hAnsi="Calibri Light" w:cs="Calibri Light"/>
          <w:sz w:val="20"/>
          <w:szCs w:val="20"/>
          <w:lang w:val="ro-RO"/>
        </w:rPr>
        <w:t xml:space="preserve">Republica 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>Moldova se confruntă cu o amenințare din ce în ce mai mare din partea Rusiei, iar regiunea</w:t>
      </w:r>
      <w:r w:rsidR="00D611EF">
        <w:rPr>
          <w:rFonts w:ascii="Calibri Light" w:hAnsi="Calibri Light" w:cs="Calibri Light"/>
          <w:sz w:val="20"/>
          <w:szCs w:val="20"/>
          <w:lang w:val="ro-RO"/>
        </w:rPr>
        <w:t>,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 cu o probabilitate mai mare de contagiune.</w:t>
      </w:r>
    </w:p>
    <w:p w14:paraId="68D19085" w14:textId="5ECF31E1" w:rsidR="005D7A84" w:rsidRPr="00D611EF" w:rsidRDefault="005D7A84" w:rsidP="005D7A84">
      <w:pPr>
        <w:spacing w:line="288" w:lineRule="auto"/>
        <w:contextualSpacing/>
        <w:jc w:val="both"/>
        <w:rPr>
          <w:rFonts w:ascii="Calibri Light" w:hAnsi="Calibri Light" w:cs="Calibri Light"/>
          <w:sz w:val="20"/>
          <w:szCs w:val="20"/>
          <w:lang w:val="ro-RO"/>
        </w:rPr>
      </w:pPr>
      <w:r w:rsidRPr="00683950">
        <w:rPr>
          <w:rFonts w:ascii="Calibri Light" w:hAnsi="Calibri Light" w:cs="Calibri Light"/>
          <w:sz w:val="20"/>
          <w:szCs w:val="20"/>
          <w:lang w:val="ro-RO"/>
        </w:rPr>
        <w:t>Acestea fiind spuse, se pare că prognoza macro</w:t>
      </w:r>
      <w:r w:rsidR="00D611EF">
        <w:rPr>
          <w:rFonts w:ascii="Calibri Light" w:hAnsi="Calibri Light" w:cs="Calibri Light"/>
          <w:sz w:val="20"/>
          <w:szCs w:val="20"/>
          <w:lang w:val="ro-RO"/>
        </w:rPr>
        <w:t>economică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pentru România este încă mai </w:t>
      </w:r>
      <w:r w:rsidR="00D611EF">
        <w:rPr>
          <w:rFonts w:ascii="Calibri Light" w:hAnsi="Calibri Light" w:cs="Calibri Light"/>
          <w:sz w:val="20"/>
          <w:szCs w:val="20"/>
          <w:lang w:val="ro-RO"/>
        </w:rPr>
        <w:t xml:space="preserve">optimistă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decât perspectivele generale p</w:t>
      </w:r>
      <w:r w:rsidR="001C44FB">
        <w:rPr>
          <w:rFonts w:ascii="Calibri Light" w:hAnsi="Calibri Light" w:cs="Calibri Light"/>
          <w:sz w:val="20"/>
          <w:szCs w:val="20"/>
          <w:lang w:val="ro-RO"/>
        </w:rPr>
        <w:t xml:space="preserve">rivind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Uniunea Europeană. Potrivit CNBC, </w:t>
      </w:r>
      <w:r w:rsidR="00D611EF" w:rsidRPr="00D611EF">
        <w:rPr>
          <w:rFonts w:ascii="Calibri Light" w:hAnsi="Calibri Light" w:cs="Calibri Light"/>
          <w:sz w:val="20"/>
          <w:szCs w:val="20"/>
          <w:lang w:val="ro-RO"/>
        </w:rPr>
        <w:t>„</w:t>
      </w:r>
      <w:r w:rsidR="00D611EF">
        <w:rPr>
          <w:rFonts w:ascii="Calibri Light" w:hAnsi="Calibri Light" w:cs="Calibri Light"/>
          <w:sz w:val="20"/>
          <w:szCs w:val="20"/>
          <w:lang w:val="ro-RO"/>
        </w:rPr>
        <w:t>z</w:t>
      </w:r>
      <w:r w:rsidRPr="00D611EF">
        <w:rPr>
          <w:rFonts w:ascii="Calibri Light" w:hAnsi="Calibri Light" w:cs="Calibri Light"/>
          <w:sz w:val="20"/>
          <w:szCs w:val="20"/>
          <w:lang w:val="ro-RO"/>
        </w:rPr>
        <w:t xml:space="preserve">ona euro va </w:t>
      </w:r>
      <w:r w:rsidR="00D611EF">
        <w:rPr>
          <w:rFonts w:ascii="Calibri Light" w:hAnsi="Calibri Light" w:cs="Calibri Light"/>
          <w:sz w:val="20"/>
          <w:szCs w:val="20"/>
          <w:lang w:val="ro-RO"/>
        </w:rPr>
        <w:t>trece printr-o perioadă</w:t>
      </w:r>
      <w:r w:rsidRPr="00D611EF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D611EF">
        <w:rPr>
          <w:rFonts w:ascii="Calibri Light" w:hAnsi="Calibri Light" w:cs="Calibri Light"/>
          <w:sz w:val="20"/>
          <w:szCs w:val="20"/>
          <w:lang w:val="ro-RO"/>
        </w:rPr>
        <w:t>de</w:t>
      </w:r>
      <w:r w:rsidRPr="00D611EF">
        <w:rPr>
          <w:rFonts w:ascii="Calibri Light" w:hAnsi="Calibri Light" w:cs="Calibri Light"/>
          <w:sz w:val="20"/>
          <w:szCs w:val="20"/>
          <w:lang w:val="ro-RO"/>
        </w:rPr>
        <w:t xml:space="preserve"> recesiune profundă și </w:t>
      </w:r>
      <w:r w:rsidR="00D611EF">
        <w:rPr>
          <w:rFonts w:ascii="Calibri Light" w:hAnsi="Calibri Light" w:cs="Calibri Light"/>
          <w:sz w:val="20"/>
          <w:szCs w:val="20"/>
          <w:lang w:val="ro-RO"/>
        </w:rPr>
        <w:t>se va</w:t>
      </w:r>
      <w:r w:rsidRPr="00D611EF">
        <w:rPr>
          <w:rFonts w:ascii="Calibri Light" w:hAnsi="Calibri Light" w:cs="Calibri Light"/>
          <w:sz w:val="20"/>
          <w:szCs w:val="20"/>
          <w:lang w:val="ro-RO"/>
        </w:rPr>
        <w:t xml:space="preserve"> redresa dificil și lent</w:t>
      </w:r>
      <w:r w:rsidR="00D611EF">
        <w:rPr>
          <w:rFonts w:ascii="Calibri Light" w:hAnsi="Calibri Light" w:cs="Calibri Light"/>
          <w:sz w:val="20"/>
          <w:szCs w:val="20"/>
          <w:lang w:val="ro-RO"/>
        </w:rPr>
        <w:t>”</w:t>
      </w:r>
      <w:r w:rsidRPr="00D611EF">
        <w:rPr>
          <w:rFonts w:ascii="Calibri Light" w:hAnsi="Calibri Light" w:cs="Calibri Light"/>
          <w:sz w:val="20"/>
          <w:szCs w:val="20"/>
          <w:lang w:val="ro-RO"/>
        </w:rPr>
        <w:t xml:space="preserve">. Articolul </w:t>
      </w:r>
      <w:r w:rsidR="00D611EF">
        <w:rPr>
          <w:rFonts w:ascii="Calibri Light" w:hAnsi="Calibri Light" w:cs="Calibri Light"/>
          <w:sz w:val="20"/>
          <w:szCs w:val="20"/>
          <w:lang w:val="ro-RO"/>
        </w:rPr>
        <w:t>citează declarațiile lui Christine</w:t>
      </w:r>
      <w:r w:rsidRPr="00D611EF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proofErr w:type="spellStart"/>
      <w:r w:rsidRPr="00D611EF">
        <w:rPr>
          <w:rFonts w:ascii="Calibri Light" w:hAnsi="Calibri Light" w:cs="Calibri Light"/>
          <w:sz w:val="20"/>
          <w:szCs w:val="20"/>
          <w:lang w:val="ro-RO"/>
        </w:rPr>
        <w:t>Lagarde</w:t>
      </w:r>
      <w:proofErr w:type="spellEnd"/>
      <w:r w:rsidR="00D611EF">
        <w:rPr>
          <w:rFonts w:ascii="Calibri Light" w:hAnsi="Calibri Light" w:cs="Calibri Light"/>
          <w:sz w:val="20"/>
          <w:szCs w:val="20"/>
          <w:lang w:val="ro-RO"/>
        </w:rPr>
        <w:t>,</w:t>
      </w:r>
      <w:r w:rsidRPr="00D611EF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D611EF">
        <w:rPr>
          <w:rFonts w:ascii="Calibri Light" w:hAnsi="Calibri Light" w:cs="Calibri Light"/>
          <w:sz w:val="20"/>
          <w:szCs w:val="20"/>
          <w:lang w:val="ro-RO"/>
        </w:rPr>
        <w:t xml:space="preserve">Președinta </w:t>
      </w:r>
      <w:r w:rsidRPr="00D611EF">
        <w:rPr>
          <w:rFonts w:ascii="Calibri Light" w:hAnsi="Calibri Light" w:cs="Calibri Light"/>
          <w:sz w:val="20"/>
          <w:szCs w:val="20"/>
          <w:lang w:val="ro-RO"/>
        </w:rPr>
        <w:t>B</w:t>
      </w:r>
      <w:r w:rsidR="00D611EF">
        <w:rPr>
          <w:rFonts w:ascii="Calibri Light" w:hAnsi="Calibri Light" w:cs="Calibri Light"/>
          <w:sz w:val="20"/>
          <w:szCs w:val="20"/>
          <w:lang w:val="ro-RO"/>
        </w:rPr>
        <w:t xml:space="preserve">ăncii </w:t>
      </w:r>
      <w:r w:rsidRPr="00D611EF">
        <w:rPr>
          <w:rFonts w:ascii="Calibri Light" w:hAnsi="Calibri Light" w:cs="Calibri Light"/>
          <w:sz w:val="20"/>
          <w:szCs w:val="20"/>
          <w:lang w:val="ro-RO"/>
        </w:rPr>
        <w:t>C</w:t>
      </w:r>
      <w:r w:rsidR="00D611EF">
        <w:rPr>
          <w:rFonts w:ascii="Calibri Light" w:hAnsi="Calibri Light" w:cs="Calibri Light"/>
          <w:sz w:val="20"/>
          <w:szCs w:val="20"/>
          <w:lang w:val="ro-RO"/>
        </w:rPr>
        <w:t xml:space="preserve">entrale </w:t>
      </w:r>
      <w:r w:rsidRPr="00D611EF">
        <w:rPr>
          <w:rFonts w:ascii="Calibri Light" w:hAnsi="Calibri Light" w:cs="Calibri Light"/>
          <w:sz w:val="20"/>
          <w:szCs w:val="20"/>
          <w:lang w:val="ro-RO"/>
        </w:rPr>
        <w:t>E</w:t>
      </w:r>
      <w:r w:rsidR="00D611EF">
        <w:rPr>
          <w:rFonts w:ascii="Calibri Light" w:hAnsi="Calibri Light" w:cs="Calibri Light"/>
          <w:sz w:val="20"/>
          <w:szCs w:val="20"/>
          <w:lang w:val="ro-RO"/>
        </w:rPr>
        <w:t>uropene (BCE),</w:t>
      </w:r>
      <w:r w:rsidRPr="00D611EF">
        <w:rPr>
          <w:rFonts w:ascii="Calibri Light" w:hAnsi="Calibri Light" w:cs="Calibri Light"/>
          <w:sz w:val="20"/>
          <w:szCs w:val="20"/>
          <w:lang w:val="ro-RO"/>
        </w:rPr>
        <w:t xml:space="preserve"> cu privire la probabilitatea crescută de recesiune</w:t>
      </w:r>
      <w:r w:rsidR="00D611EF">
        <w:rPr>
          <w:rFonts w:ascii="Calibri Light" w:hAnsi="Calibri Light" w:cs="Calibri Light"/>
          <w:sz w:val="20"/>
          <w:szCs w:val="20"/>
          <w:lang w:val="ro-RO"/>
        </w:rPr>
        <w:t>,</w:t>
      </w:r>
      <w:r w:rsidRPr="00D611EF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D611EF">
        <w:rPr>
          <w:rFonts w:ascii="Calibri Light" w:hAnsi="Calibri Light" w:cs="Calibri Light"/>
          <w:sz w:val="20"/>
          <w:szCs w:val="20"/>
          <w:lang w:val="ro-RO"/>
        </w:rPr>
        <w:t xml:space="preserve">precum </w:t>
      </w:r>
      <w:r w:rsidRPr="00D611EF">
        <w:rPr>
          <w:rFonts w:ascii="Calibri Light" w:hAnsi="Calibri Light" w:cs="Calibri Light"/>
          <w:sz w:val="20"/>
          <w:szCs w:val="20"/>
          <w:lang w:val="ro-RO"/>
        </w:rPr>
        <w:t xml:space="preserve">și </w:t>
      </w:r>
      <w:r w:rsidR="00D611EF">
        <w:rPr>
          <w:rFonts w:ascii="Calibri Light" w:hAnsi="Calibri Light" w:cs="Calibri Light"/>
          <w:sz w:val="20"/>
          <w:szCs w:val="20"/>
          <w:lang w:val="ro-RO"/>
        </w:rPr>
        <w:t xml:space="preserve">pe ale </w:t>
      </w:r>
      <w:r w:rsidRPr="00D611EF">
        <w:rPr>
          <w:rFonts w:ascii="Calibri Light" w:hAnsi="Calibri Light" w:cs="Calibri Light"/>
          <w:sz w:val="20"/>
          <w:szCs w:val="20"/>
          <w:lang w:val="ro-RO"/>
        </w:rPr>
        <w:t>economiști</w:t>
      </w:r>
      <w:r w:rsidR="00D611EF">
        <w:rPr>
          <w:rFonts w:ascii="Calibri Light" w:hAnsi="Calibri Light" w:cs="Calibri Light"/>
          <w:sz w:val="20"/>
          <w:szCs w:val="20"/>
          <w:lang w:val="ro-RO"/>
        </w:rPr>
        <w:t>lor</w:t>
      </w:r>
      <w:r w:rsidRPr="00D611EF">
        <w:rPr>
          <w:rFonts w:ascii="Calibri Light" w:hAnsi="Calibri Light" w:cs="Calibri Light"/>
          <w:sz w:val="20"/>
          <w:szCs w:val="20"/>
          <w:lang w:val="ro-RO"/>
        </w:rPr>
        <w:t xml:space="preserve"> B</w:t>
      </w:r>
      <w:r w:rsidR="00D611EF">
        <w:rPr>
          <w:rFonts w:ascii="Calibri Light" w:hAnsi="Calibri Light" w:cs="Calibri Light"/>
          <w:sz w:val="20"/>
          <w:szCs w:val="20"/>
          <w:lang w:val="ro-RO"/>
        </w:rPr>
        <w:t>CE</w:t>
      </w:r>
      <w:r w:rsidRPr="00D611EF">
        <w:rPr>
          <w:rFonts w:ascii="Calibri Light" w:hAnsi="Calibri Light" w:cs="Calibri Light"/>
          <w:sz w:val="20"/>
          <w:szCs w:val="20"/>
          <w:lang w:val="ro-RO"/>
        </w:rPr>
        <w:t xml:space="preserve"> cu privire la o recesiune </w:t>
      </w:r>
      <w:r w:rsidR="00D611EF" w:rsidRPr="00D611EF">
        <w:rPr>
          <w:rFonts w:ascii="Calibri Light" w:hAnsi="Calibri Light" w:cs="Calibri Light"/>
          <w:sz w:val="20"/>
          <w:szCs w:val="20"/>
          <w:lang w:val="ro-RO"/>
        </w:rPr>
        <w:t>„</w:t>
      </w:r>
      <w:r w:rsidRPr="00D611EF">
        <w:rPr>
          <w:rFonts w:ascii="Calibri Light" w:hAnsi="Calibri Light" w:cs="Calibri Light"/>
          <w:sz w:val="20"/>
          <w:szCs w:val="20"/>
          <w:lang w:val="ro-RO"/>
        </w:rPr>
        <w:t>profundă</w:t>
      </w:r>
      <w:r w:rsidR="00D611EF">
        <w:rPr>
          <w:rFonts w:ascii="Calibri Light" w:hAnsi="Calibri Light" w:cs="Calibri Light"/>
          <w:sz w:val="20"/>
          <w:szCs w:val="20"/>
        </w:rPr>
        <w:t>”</w:t>
      </w:r>
      <w:r w:rsidRPr="00D611EF">
        <w:rPr>
          <w:rFonts w:ascii="Calibri Light" w:hAnsi="Calibri Light" w:cs="Calibri Light"/>
          <w:sz w:val="20"/>
          <w:szCs w:val="20"/>
          <w:lang w:val="ro-RO"/>
        </w:rPr>
        <w:t xml:space="preserve"> în primul semestru al anului 2023</w:t>
      </w:r>
      <w:r w:rsidR="00D611EF">
        <w:rPr>
          <w:rFonts w:ascii="Calibri Light" w:hAnsi="Calibri Light" w:cs="Calibri Light"/>
          <w:sz w:val="20"/>
          <w:szCs w:val="20"/>
          <w:lang w:val="ro-RO"/>
        </w:rPr>
        <w:t>, urmată de</w:t>
      </w:r>
      <w:r w:rsidRPr="00D611EF">
        <w:rPr>
          <w:rFonts w:ascii="Calibri Light" w:hAnsi="Calibri Light" w:cs="Calibri Light"/>
          <w:sz w:val="20"/>
          <w:szCs w:val="20"/>
          <w:lang w:val="ro-RO"/>
        </w:rPr>
        <w:t xml:space="preserve"> o redresare lentă</w:t>
      </w:r>
      <w:r w:rsidR="00D611EF">
        <w:rPr>
          <w:rFonts w:ascii="Calibri Light" w:hAnsi="Calibri Light" w:cs="Calibri Light"/>
          <w:sz w:val="20"/>
          <w:szCs w:val="20"/>
          <w:lang w:val="ro-RO"/>
        </w:rPr>
        <w:t>,</w:t>
      </w:r>
      <w:r w:rsidRPr="00D611EF">
        <w:rPr>
          <w:rFonts w:ascii="Calibri Light" w:hAnsi="Calibri Light" w:cs="Calibri Light"/>
          <w:sz w:val="20"/>
          <w:szCs w:val="20"/>
          <w:lang w:val="ro-RO"/>
        </w:rPr>
        <w:t xml:space="preserve"> din cauza dinamicii pieței de energie și a întreruperilor </w:t>
      </w:r>
      <w:r w:rsidR="00D611EF">
        <w:rPr>
          <w:rFonts w:ascii="Calibri Light" w:hAnsi="Calibri Light" w:cs="Calibri Light"/>
          <w:sz w:val="20"/>
          <w:szCs w:val="20"/>
          <w:lang w:val="ro-RO"/>
        </w:rPr>
        <w:t xml:space="preserve">înregistrate pe </w:t>
      </w:r>
      <w:r w:rsidRPr="00D611EF">
        <w:rPr>
          <w:rFonts w:ascii="Calibri Light" w:hAnsi="Calibri Light" w:cs="Calibri Light"/>
          <w:sz w:val="20"/>
          <w:szCs w:val="20"/>
          <w:lang w:val="ro-RO"/>
        </w:rPr>
        <w:t>lanțu</w:t>
      </w:r>
      <w:r w:rsidR="00D611EF">
        <w:rPr>
          <w:rFonts w:ascii="Calibri Light" w:hAnsi="Calibri Light" w:cs="Calibri Light"/>
          <w:sz w:val="20"/>
          <w:szCs w:val="20"/>
          <w:lang w:val="ro-RO"/>
        </w:rPr>
        <w:t>rile</w:t>
      </w:r>
      <w:r w:rsidRPr="00D611EF">
        <w:rPr>
          <w:rFonts w:ascii="Calibri Light" w:hAnsi="Calibri Light" w:cs="Calibri Light"/>
          <w:sz w:val="20"/>
          <w:szCs w:val="20"/>
          <w:lang w:val="ro-RO"/>
        </w:rPr>
        <w:t xml:space="preserve"> de aprovizionare. Articolul </w:t>
      </w:r>
      <w:r w:rsidR="00D611EF">
        <w:rPr>
          <w:rFonts w:ascii="Calibri Light" w:hAnsi="Calibri Light" w:cs="Calibri Light"/>
          <w:sz w:val="20"/>
          <w:szCs w:val="20"/>
          <w:lang w:val="ro-RO"/>
        </w:rPr>
        <w:t xml:space="preserve">subliniază </w:t>
      </w:r>
      <w:r w:rsidRPr="00D611EF">
        <w:rPr>
          <w:rFonts w:ascii="Calibri Light" w:hAnsi="Calibri Light" w:cs="Calibri Light"/>
          <w:sz w:val="20"/>
          <w:szCs w:val="20"/>
          <w:lang w:val="ro-RO"/>
        </w:rPr>
        <w:t>creștere</w:t>
      </w:r>
      <w:r w:rsidR="00D611EF">
        <w:rPr>
          <w:rFonts w:ascii="Calibri Light" w:hAnsi="Calibri Light" w:cs="Calibri Light"/>
          <w:sz w:val="20"/>
          <w:szCs w:val="20"/>
          <w:lang w:val="ro-RO"/>
        </w:rPr>
        <w:t>a</w:t>
      </w:r>
      <w:r w:rsidRPr="00D611EF">
        <w:rPr>
          <w:rFonts w:ascii="Calibri Light" w:hAnsi="Calibri Light" w:cs="Calibri Light"/>
          <w:sz w:val="20"/>
          <w:szCs w:val="20"/>
          <w:lang w:val="ro-RO"/>
        </w:rPr>
        <w:t xml:space="preserve"> negativă a PIB-ului </w:t>
      </w:r>
      <w:r w:rsidR="00D611EF" w:rsidRPr="00D611EF">
        <w:rPr>
          <w:rFonts w:ascii="Calibri Light" w:hAnsi="Calibri Light" w:cs="Calibri Light"/>
          <w:sz w:val="20"/>
          <w:szCs w:val="20"/>
          <w:lang w:val="ro-RO"/>
        </w:rPr>
        <w:t>Germani</w:t>
      </w:r>
      <w:r w:rsidR="00D611EF">
        <w:rPr>
          <w:rFonts w:ascii="Calibri Light" w:hAnsi="Calibri Light" w:cs="Calibri Light"/>
          <w:sz w:val="20"/>
          <w:szCs w:val="20"/>
          <w:lang w:val="ro-RO"/>
        </w:rPr>
        <w:t>ei</w:t>
      </w:r>
      <w:r w:rsidR="00D611EF" w:rsidRPr="00D611EF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D611EF">
        <w:rPr>
          <w:rFonts w:ascii="Calibri Light" w:hAnsi="Calibri Light" w:cs="Calibri Light"/>
          <w:sz w:val="20"/>
          <w:szCs w:val="20"/>
          <w:lang w:val="ro-RO"/>
        </w:rPr>
        <w:t>în 2023</w:t>
      </w:r>
      <w:r w:rsidR="00D611EF">
        <w:rPr>
          <w:rFonts w:ascii="Calibri Light" w:hAnsi="Calibri Light" w:cs="Calibri Light"/>
          <w:sz w:val="20"/>
          <w:szCs w:val="20"/>
          <w:lang w:val="ro-RO"/>
        </w:rPr>
        <w:t>,</w:t>
      </w:r>
      <w:r w:rsidRPr="00D611EF">
        <w:rPr>
          <w:rFonts w:ascii="Calibri Light" w:hAnsi="Calibri Light" w:cs="Calibri Light"/>
          <w:sz w:val="20"/>
          <w:szCs w:val="20"/>
          <w:lang w:val="ro-RO"/>
        </w:rPr>
        <w:t xml:space="preserve"> de -1%, </w:t>
      </w:r>
      <w:r w:rsidR="00D611EF">
        <w:rPr>
          <w:rFonts w:ascii="Calibri Light" w:hAnsi="Calibri Light" w:cs="Calibri Light"/>
          <w:sz w:val="20"/>
          <w:szCs w:val="20"/>
          <w:lang w:val="ro-RO"/>
        </w:rPr>
        <w:t xml:space="preserve">iar anterior, am asistat la </w:t>
      </w:r>
      <w:r w:rsidRPr="00D611EF">
        <w:rPr>
          <w:rFonts w:ascii="Calibri Light" w:hAnsi="Calibri Light" w:cs="Calibri Light"/>
          <w:sz w:val="20"/>
          <w:szCs w:val="20"/>
          <w:lang w:val="ro-RO"/>
        </w:rPr>
        <w:t xml:space="preserve">scenarii sumbre pentru Italia, în timp ce Austria și Belgia deja </w:t>
      </w:r>
      <w:r w:rsidR="00D611EF">
        <w:rPr>
          <w:rFonts w:ascii="Calibri Light" w:hAnsi="Calibri Light" w:cs="Calibri Light"/>
          <w:sz w:val="20"/>
          <w:szCs w:val="20"/>
          <w:lang w:val="ro-RO"/>
        </w:rPr>
        <w:t xml:space="preserve">înregistrează </w:t>
      </w:r>
      <w:r w:rsidRPr="00D611EF">
        <w:rPr>
          <w:rFonts w:ascii="Calibri Light" w:hAnsi="Calibri Light" w:cs="Calibri Light"/>
          <w:sz w:val="20"/>
          <w:szCs w:val="20"/>
          <w:lang w:val="ro-RO"/>
        </w:rPr>
        <w:t>contrac</w:t>
      </w:r>
      <w:r w:rsidR="00D611EF">
        <w:rPr>
          <w:rFonts w:ascii="Calibri Light" w:hAnsi="Calibri Light" w:cs="Calibri Light"/>
          <w:sz w:val="20"/>
          <w:szCs w:val="20"/>
          <w:lang w:val="ro-RO"/>
        </w:rPr>
        <w:t xml:space="preserve">ție economică, potrivit </w:t>
      </w:r>
      <w:r w:rsidR="00D611EF" w:rsidRPr="00D611EF">
        <w:rPr>
          <w:rFonts w:ascii="Calibri Light" w:hAnsi="Calibri Light" w:cs="Calibri Light"/>
          <w:sz w:val="20"/>
          <w:szCs w:val="20"/>
          <w:lang w:val="ro-RO"/>
        </w:rPr>
        <w:t>estim</w:t>
      </w:r>
      <w:r w:rsidR="00D611EF">
        <w:rPr>
          <w:rFonts w:ascii="Calibri Light" w:hAnsi="Calibri Light" w:cs="Calibri Light"/>
          <w:sz w:val="20"/>
          <w:szCs w:val="20"/>
          <w:lang w:val="ro-RO"/>
        </w:rPr>
        <w:t>ărilor</w:t>
      </w:r>
      <w:r w:rsidRPr="00D611EF">
        <w:rPr>
          <w:rFonts w:ascii="Calibri Light" w:hAnsi="Calibri Light" w:cs="Calibri Light"/>
          <w:sz w:val="20"/>
          <w:szCs w:val="20"/>
          <w:lang w:val="ro-RO"/>
        </w:rPr>
        <w:t>.</w:t>
      </w:r>
    </w:p>
    <w:p w14:paraId="4AA21D8D" w14:textId="5852C771" w:rsidR="005D7A84" w:rsidRPr="00683950" w:rsidRDefault="00D611EF" w:rsidP="005D7A84">
      <w:pPr>
        <w:spacing w:line="288" w:lineRule="auto"/>
        <w:contextualSpacing/>
        <w:jc w:val="both"/>
        <w:rPr>
          <w:rFonts w:ascii="Calibri Light" w:hAnsi="Calibri Light" w:cs="Calibri Light"/>
          <w:sz w:val="20"/>
          <w:szCs w:val="20"/>
          <w:lang w:val="ro-RO"/>
        </w:rPr>
      </w:pPr>
      <w:r>
        <w:rPr>
          <w:rFonts w:ascii="Calibri Light" w:hAnsi="Calibri Light" w:cs="Calibri Light"/>
          <w:sz w:val="20"/>
          <w:szCs w:val="20"/>
          <w:lang w:val="ro-RO"/>
        </w:rPr>
        <w:t>P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erspectivele </w:t>
      </w:r>
      <w:r>
        <w:rPr>
          <w:rFonts w:ascii="Calibri Light" w:hAnsi="Calibri Light" w:cs="Calibri Light"/>
          <w:sz w:val="20"/>
          <w:szCs w:val="20"/>
          <w:lang w:val="ro-RO"/>
        </w:rPr>
        <w:t>m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acro</w:t>
      </w:r>
      <w:r>
        <w:rPr>
          <w:rFonts w:ascii="Calibri Light" w:hAnsi="Calibri Light" w:cs="Calibri Light"/>
          <w:sz w:val="20"/>
          <w:szCs w:val="20"/>
          <w:lang w:val="ro-RO"/>
        </w:rPr>
        <w:t>economice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privind 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>UE și România determină sectorul bancar să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>-și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 xml:space="preserve">ajusteze 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strategia. Băncile </w:t>
      </w:r>
      <w:r w:rsidR="001C44FB">
        <w:rPr>
          <w:rFonts w:ascii="Calibri Light" w:hAnsi="Calibri Light" w:cs="Calibri Light"/>
          <w:sz w:val="20"/>
          <w:szCs w:val="20"/>
          <w:lang w:val="ro-RO"/>
        </w:rPr>
        <w:t>din R</w:t>
      </w:r>
      <w:r w:rsidR="001C44FB" w:rsidRPr="00683950">
        <w:rPr>
          <w:rFonts w:ascii="Calibri Light" w:hAnsi="Calibri Light" w:cs="Calibri Light"/>
          <w:sz w:val="20"/>
          <w:szCs w:val="20"/>
          <w:lang w:val="ro-RO"/>
        </w:rPr>
        <w:t>omân</w:t>
      </w:r>
      <w:r w:rsidR="001C44FB">
        <w:rPr>
          <w:rFonts w:ascii="Calibri Light" w:hAnsi="Calibri Light" w:cs="Calibri Light"/>
          <w:sz w:val="20"/>
          <w:szCs w:val="20"/>
          <w:lang w:val="ro-RO"/>
        </w:rPr>
        <w:t xml:space="preserve">ia vor </w:t>
      </w:r>
      <w:r w:rsidR="001C44FB" w:rsidRPr="00683950">
        <w:rPr>
          <w:rFonts w:ascii="Calibri Light" w:hAnsi="Calibri Light" w:cs="Calibri Light"/>
          <w:sz w:val="20"/>
          <w:szCs w:val="20"/>
          <w:lang w:val="ro-RO"/>
        </w:rPr>
        <w:t>intra în</w:t>
      </w:r>
      <w:r w:rsidR="001C44FB">
        <w:rPr>
          <w:rFonts w:ascii="Calibri Light" w:hAnsi="Calibri Light" w:cs="Calibri Light"/>
          <w:sz w:val="20"/>
          <w:szCs w:val="20"/>
          <w:lang w:val="ro-RO"/>
        </w:rPr>
        <w:t xml:space="preserve"> această etapă </w:t>
      </w:r>
      <w:r w:rsidR="001C44FB" w:rsidRPr="00683950">
        <w:rPr>
          <w:rFonts w:ascii="Calibri Light" w:hAnsi="Calibri Light" w:cs="Calibri Light"/>
          <w:sz w:val="20"/>
          <w:szCs w:val="20"/>
          <w:lang w:val="ro-RO"/>
        </w:rPr>
        <w:t>de corecție</w:t>
      </w:r>
      <w:r w:rsidR="001C44FB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mai bine capitalizate 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 xml:space="preserve">decât oricând, 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însă vor exista 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 xml:space="preserve">zone 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>vulnerabil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 xml:space="preserve">e la 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care trebuie 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>să fie atente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>.</w:t>
      </w:r>
    </w:p>
    <w:bookmarkEnd w:id="0"/>
    <w:p w14:paraId="48547EE4" w14:textId="6187472A" w:rsidR="005D7A84" w:rsidRPr="00683950" w:rsidRDefault="005D7A84" w:rsidP="005D7A84">
      <w:pPr>
        <w:spacing w:line="288" w:lineRule="auto"/>
        <w:contextualSpacing/>
        <w:jc w:val="both"/>
        <w:rPr>
          <w:rFonts w:ascii="Calibri Light" w:hAnsi="Calibri Light" w:cs="Calibri Light"/>
          <w:sz w:val="20"/>
          <w:szCs w:val="20"/>
          <w:lang w:val="ro-RO"/>
        </w:rPr>
      </w:pP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Autoritățile de supraveghere au 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>cerut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băncil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>or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să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>-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și reevalueze strategia și modelul de 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 xml:space="preserve">business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pentru a 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>asigura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viabilitatea strategiei actuale și a profitabilității, 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>ținând cont de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apetitul pentru risc al băncilor. Pentru a recalibra eficient strategi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>a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>și a avea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un model de afaceri viabil (pe termen scurt, mediu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 xml:space="preserve"> și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lung)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>,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 xml:space="preserve">băncile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trebuie să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>-și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alinieze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lastRenderedPageBreak/>
        <w:t xml:space="preserve">apetitul 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>pentru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risc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 xml:space="preserve"> la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 xml:space="preserve">mediul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co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 xml:space="preserve">ncurențial în care activează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și 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 xml:space="preserve">la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proiecțiile financiare. Ce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>le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mai mar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>i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provoc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>ări legate de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proiecțiile financiare 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 xml:space="preserve">sunt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calit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 xml:space="preserve">atea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activelor și modelul de 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 xml:space="preserve">înregistrare a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provizio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>anelor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. După 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>ce băncile au avut trei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ani extraordinari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>, dar pe ale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căror 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>cifre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, din păcate, 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>nu se pot baza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, deoarece 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 xml:space="preserve">ele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nu reflectă calitatea reală a activelor - din cauz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>e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>multiple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, 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 xml:space="preserve">care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inclu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>d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măsuril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>e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de sprijin guvernamental, 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>pre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cum moratoriile, 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>c</w:t>
      </w:r>
      <w:r w:rsidR="001C44FB">
        <w:rPr>
          <w:rFonts w:ascii="Calibri Light" w:hAnsi="Calibri Light" w:cs="Calibri Light"/>
          <w:sz w:val="20"/>
          <w:szCs w:val="20"/>
          <w:lang w:val="ro-RO"/>
        </w:rPr>
        <w:t xml:space="preserve">e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fac ca 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 xml:space="preserve">împrumuturile neperformante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să nu fie încă vizibile în bilanțuri -, 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>acum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trebuie să</w:t>
      </w:r>
      <w:r w:rsidR="002C5FEA">
        <w:rPr>
          <w:rFonts w:ascii="Calibri Light" w:hAnsi="Calibri Light" w:cs="Calibri Light"/>
          <w:sz w:val="20"/>
          <w:szCs w:val="20"/>
          <w:lang w:val="ro-RO"/>
        </w:rPr>
        <w:t>-și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recalibreze metodologia IFRS9 și modelele de </w:t>
      </w:r>
      <w:proofErr w:type="spellStart"/>
      <w:r w:rsidRPr="00683950">
        <w:rPr>
          <w:rFonts w:ascii="Calibri Light" w:hAnsi="Calibri Light" w:cs="Calibri Light"/>
          <w:sz w:val="20"/>
          <w:szCs w:val="20"/>
          <w:lang w:val="ro-RO"/>
        </w:rPr>
        <w:t>provizionare</w:t>
      </w:r>
      <w:proofErr w:type="spellEnd"/>
      <w:r w:rsidRPr="00683950">
        <w:rPr>
          <w:rFonts w:ascii="Calibri Light" w:hAnsi="Calibri Light" w:cs="Calibri Light"/>
          <w:sz w:val="20"/>
          <w:szCs w:val="20"/>
          <w:lang w:val="ro-RO"/>
        </w:rPr>
        <w:t>.</w:t>
      </w:r>
    </w:p>
    <w:p w14:paraId="6C94D468" w14:textId="04A19897" w:rsidR="005D7A84" w:rsidRPr="00683950" w:rsidRDefault="001C44FB" w:rsidP="005D7A84">
      <w:pPr>
        <w:spacing w:line="288" w:lineRule="auto"/>
        <w:contextualSpacing/>
        <w:jc w:val="both"/>
        <w:rPr>
          <w:rFonts w:ascii="Calibri Light" w:hAnsi="Calibri Light" w:cs="Calibri Light"/>
          <w:sz w:val="20"/>
          <w:szCs w:val="20"/>
          <w:lang w:val="ro-RO"/>
        </w:rPr>
      </w:pPr>
      <w:r>
        <w:rPr>
          <w:rFonts w:ascii="Calibri Light" w:hAnsi="Calibri Light" w:cs="Calibri Light"/>
          <w:sz w:val="20"/>
          <w:szCs w:val="20"/>
          <w:lang w:val="ro-RO"/>
        </w:rPr>
        <w:t>L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a fel ca 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în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toate statele UE</w:t>
      </w:r>
      <w:r>
        <w:rPr>
          <w:rFonts w:ascii="Calibri Light" w:hAnsi="Calibri Light" w:cs="Calibri Light"/>
          <w:sz w:val="20"/>
          <w:szCs w:val="20"/>
          <w:lang w:val="ro-RO"/>
        </w:rPr>
        <w:t>,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a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utoritățile 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locale 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>de supraveghere și autoritatea națională de rezoluție pres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ează 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>băncil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e să 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>se conform</w:t>
      </w:r>
      <w:r>
        <w:rPr>
          <w:rFonts w:ascii="Calibri Light" w:hAnsi="Calibri Light" w:cs="Calibri Light"/>
          <w:sz w:val="20"/>
          <w:szCs w:val="20"/>
          <w:lang w:val="ro-RO"/>
        </w:rPr>
        <w:t>eze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E36039">
        <w:rPr>
          <w:rFonts w:ascii="Calibri Light" w:hAnsi="Calibri Light" w:cs="Calibri Light"/>
          <w:sz w:val="20"/>
          <w:szCs w:val="20"/>
          <w:lang w:val="ro-RO"/>
        </w:rPr>
        <w:t>c</w:t>
      </w:r>
      <w:r w:rsidR="00E36039" w:rsidRPr="00E36039">
        <w:rPr>
          <w:rFonts w:ascii="Calibri Light" w:hAnsi="Calibri Light" w:cs="Calibri Light"/>
          <w:sz w:val="20"/>
          <w:szCs w:val="20"/>
          <w:lang w:val="ro-RO"/>
        </w:rPr>
        <w:t>erințe</w:t>
      </w:r>
      <w:r w:rsidR="00E36039">
        <w:rPr>
          <w:rFonts w:ascii="Calibri Light" w:hAnsi="Calibri Light" w:cs="Calibri Light"/>
          <w:sz w:val="20"/>
          <w:szCs w:val="20"/>
          <w:lang w:val="ro-RO"/>
        </w:rPr>
        <w:t>lor</w:t>
      </w:r>
      <w:r w:rsidR="00E36039" w:rsidRPr="00E36039">
        <w:rPr>
          <w:rFonts w:ascii="Calibri Light" w:hAnsi="Calibri Light" w:cs="Calibri Light"/>
          <w:sz w:val="20"/>
          <w:szCs w:val="20"/>
          <w:lang w:val="ro-RO"/>
        </w:rPr>
        <w:t xml:space="preserve"> minime de fonduri proprii și de pasive eligibile (MREL)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. Situația actuală a piețelor europene de capital și monetare face ca emisiunea de obligațiuni MREL de către creditorii români să fie </w:t>
      </w:r>
      <w:r w:rsidR="00E36039">
        <w:rPr>
          <w:rFonts w:ascii="Calibri Light" w:hAnsi="Calibri Light" w:cs="Calibri Light"/>
          <w:sz w:val="20"/>
          <w:szCs w:val="20"/>
          <w:lang w:val="ro-RO"/>
        </w:rPr>
        <w:t xml:space="preserve">un demers deosebit de 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>costisito</w:t>
      </w:r>
      <w:r w:rsidR="00E36039">
        <w:rPr>
          <w:rFonts w:ascii="Calibri Light" w:hAnsi="Calibri Light" w:cs="Calibri Light"/>
          <w:sz w:val="20"/>
          <w:szCs w:val="20"/>
          <w:lang w:val="ro-RO"/>
        </w:rPr>
        <w:t>r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, punând presiune suplimentară asupra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potențiale</w:t>
      </w:r>
      <w:r>
        <w:rPr>
          <w:rFonts w:ascii="Calibri Light" w:hAnsi="Calibri Light" w:cs="Calibri Light"/>
          <w:sz w:val="20"/>
          <w:szCs w:val="20"/>
          <w:lang w:val="ro-RO"/>
        </w:rPr>
        <w:t>i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profitabilități a modelului de </w:t>
      </w:r>
      <w:r w:rsidR="00E36039">
        <w:rPr>
          <w:rFonts w:ascii="Calibri Light" w:hAnsi="Calibri Light" w:cs="Calibri Light"/>
          <w:sz w:val="20"/>
          <w:szCs w:val="20"/>
          <w:lang w:val="ro-RO"/>
        </w:rPr>
        <w:t>business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>.</w:t>
      </w:r>
    </w:p>
    <w:p w14:paraId="24A582FC" w14:textId="50B5B957" w:rsidR="005D7A84" w:rsidRPr="00683950" w:rsidRDefault="005D7A84" w:rsidP="005D7A84">
      <w:pPr>
        <w:spacing w:line="288" w:lineRule="auto"/>
        <w:contextualSpacing/>
        <w:jc w:val="both"/>
        <w:rPr>
          <w:rFonts w:ascii="Calibri Light" w:hAnsi="Calibri Light" w:cs="Calibri Light"/>
          <w:sz w:val="20"/>
          <w:szCs w:val="20"/>
          <w:lang w:val="ro-RO"/>
        </w:rPr>
      </w:pPr>
      <w:r w:rsidRPr="00683950">
        <w:rPr>
          <w:rFonts w:ascii="Calibri Light" w:hAnsi="Calibri Light" w:cs="Calibri Light"/>
          <w:sz w:val="20"/>
          <w:szCs w:val="20"/>
          <w:lang w:val="ro-RO"/>
        </w:rPr>
        <w:t>Prezența băncilor românești în Republica Moldova (</w:t>
      </w:r>
      <w:r w:rsidR="00E36039">
        <w:rPr>
          <w:rFonts w:ascii="Calibri Light" w:hAnsi="Calibri Light" w:cs="Calibri Light"/>
          <w:sz w:val="20"/>
          <w:szCs w:val="20"/>
          <w:lang w:val="ro-RO"/>
        </w:rPr>
        <w:t xml:space="preserve">prin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filiale</w:t>
      </w:r>
      <w:r w:rsidR="00E36039">
        <w:rPr>
          <w:rFonts w:ascii="Calibri Light" w:hAnsi="Calibri Light" w:cs="Calibri Light"/>
          <w:sz w:val="20"/>
          <w:szCs w:val="20"/>
          <w:lang w:val="ro-RO"/>
        </w:rPr>
        <w:t xml:space="preserve"> ori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sucursale</w:t>
      </w:r>
      <w:r w:rsidR="00E36039">
        <w:rPr>
          <w:rFonts w:ascii="Calibri Light" w:hAnsi="Calibri Light" w:cs="Calibri Light"/>
          <w:sz w:val="20"/>
          <w:szCs w:val="20"/>
          <w:lang w:val="ro-RO"/>
        </w:rPr>
        <w:t xml:space="preserve"> ale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bănci</w:t>
      </w:r>
      <w:r w:rsidR="00E36039">
        <w:rPr>
          <w:rFonts w:ascii="Calibri Light" w:hAnsi="Calibri Light" w:cs="Calibri Light"/>
          <w:sz w:val="20"/>
          <w:szCs w:val="20"/>
          <w:lang w:val="ro-RO"/>
        </w:rPr>
        <w:t>lor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cu capital românesc sau ale </w:t>
      </w:r>
      <w:r w:rsidR="00E36039">
        <w:rPr>
          <w:rFonts w:ascii="Calibri Light" w:hAnsi="Calibri Light" w:cs="Calibri Light"/>
          <w:sz w:val="20"/>
          <w:szCs w:val="20"/>
          <w:lang w:val="ro-RO"/>
        </w:rPr>
        <w:t xml:space="preserve">subsidiarelor </w:t>
      </w:r>
      <w:r w:rsidR="001C44FB">
        <w:rPr>
          <w:rFonts w:ascii="Calibri Light" w:hAnsi="Calibri Light" w:cs="Calibri Light"/>
          <w:sz w:val="20"/>
          <w:szCs w:val="20"/>
          <w:lang w:val="ro-RO"/>
        </w:rPr>
        <w:t>di</w:t>
      </w:r>
      <w:r w:rsidR="001C44FB" w:rsidRPr="00683950">
        <w:rPr>
          <w:rFonts w:ascii="Calibri Light" w:hAnsi="Calibri Light" w:cs="Calibri Light"/>
          <w:sz w:val="20"/>
          <w:szCs w:val="20"/>
          <w:lang w:val="ro-RO"/>
        </w:rPr>
        <w:t>n România</w:t>
      </w:r>
      <w:r w:rsidR="001C44FB">
        <w:rPr>
          <w:rFonts w:ascii="Calibri Light" w:hAnsi="Calibri Light" w:cs="Calibri Light"/>
          <w:sz w:val="20"/>
          <w:szCs w:val="20"/>
          <w:lang w:val="ro-RO"/>
        </w:rPr>
        <w:t xml:space="preserve"> ale </w:t>
      </w:r>
      <w:r w:rsidR="00E36039">
        <w:rPr>
          <w:rFonts w:ascii="Calibri Light" w:hAnsi="Calibri Light" w:cs="Calibri Light"/>
          <w:sz w:val="20"/>
          <w:szCs w:val="20"/>
          <w:lang w:val="ro-RO"/>
        </w:rPr>
        <w:t>băncilor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din zona euro) provoacă îngrijorare </w:t>
      </w:r>
      <w:r w:rsidR="00E36039">
        <w:rPr>
          <w:rFonts w:ascii="Calibri Light" w:hAnsi="Calibri Light" w:cs="Calibri Light"/>
          <w:sz w:val="20"/>
          <w:szCs w:val="20"/>
          <w:lang w:val="ro-RO"/>
        </w:rPr>
        <w:t>din punctul de vedere al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E36039">
        <w:rPr>
          <w:rFonts w:ascii="Calibri Light" w:hAnsi="Calibri Light" w:cs="Calibri Light"/>
          <w:sz w:val="20"/>
          <w:szCs w:val="20"/>
          <w:lang w:val="ro-RO"/>
        </w:rPr>
        <w:t xml:space="preserve">capacității de asigurare a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continuit</w:t>
      </w:r>
      <w:r w:rsidR="00E36039">
        <w:rPr>
          <w:rFonts w:ascii="Calibri Light" w:hAnsi="Calibri Light" w:cs="Calibri Light"/>
          <w:sz w:val="20"/>
          <w:szCs w:val="20"/>
          <w:lang w:val="ro-RO"/>
        </w:rPr>
        <w:t xml:space="preserve">ății </w:t>
      </w:r>
      <w:r w:rsidR="001C44FB">
        <w:rPr>
          <w:rFonts w:ascii="Calibri Light" w:hAnsi="Calibri Light" w:cs="Calibri Light"/>
          <w:sz w:val="20"/>
          <w:szCs w:val="20"/>
          <w:lang w:val="ro-RO"/>
        </w:rPr>
        <w:t xml:space="preserve">și de </w:t>
      </w:r>
      <w:r w:rsidR="001C44FB" w:rsidRPr="00683950">
        <w:rPr>
          <w:rFonts w:ascii="Calibri Light" w:hAnsi="Calibri Light" w:cs="Calibri Light"/>
          <w:sz w:val="20"/>
          <w:szCs w:val="20"/>
          <w:lang w:val="ro-RO"/>
        </w:rPr>
        <w:t>re</w:t>
      </w:r>
      <w:r w:rsidR="001C44FB">
        <w:rPr>
          <w:rFonts w:ascii="Calibri Light" w:hAnsi="Calibri Light" w:cs="Calibri Light"/>
          <w:sz w:val="20"/>
          <w:szCs w:val="20"/>
          <w:lang w:val="ro-RO"/>
        </w:rPr>
        <w:t xml:space="preserve">luare a </w:t>
      </w:r>
      <w:r w:rsidR="001C44FB" w:rsidRPr="00683950">
        <w:rPr>
          <w:rFonts w:ascii="Calibri Light" w:hAnsi="Calibri Light" w:cs="Calibri Light"/>
          <w:sz w:val="20"/>
          <w:szCs w:val="20"/>
          <w:lang w:val="ro-RO"/>
        </w:rPr>
        <w:t>activității</w:t>
      </w:r>
      <w:r w:rsidR="001C44FB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în cazul </w:t>
      </w:r>
      <w:r w:rsidR="00E36039">
        <w:rPr>
          <w:rFonts w:ascii="Calibri Light" w:hAnsi="Calibri Light" w:cs="Calibri Light"/>
          <w:sz w:val="20"/>
          <w:szCs w:val="20"/>
          <w:lang w:val="ro-RO"/>
        </w:rPr>
        <w:t>în care conflictul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E36039">
        <w:rPr>
          <w:rFonts w:ascii="Calibri Light" w:hAnsi="Calibri Light" w:cs="Calibri Light"/>
          <w:sz w:val="20"/>
          <w:szCs w:val="20"/>
          <w:lang w:val="ro-RO"/>
        </w:rPr>
        <w:t xml:space="preserve">s-ar extinde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în Republica Moldova. Presiunea geopolitică obligă băncile să</w:t>
      </w:r>
      <w:r w:rsidR="001C44FB">
        <w:rPr>
          <w:rFonts w:ascii="Calibri Light" w:hAnsi="Calibri Light" w:cs="Calibri Light"/>
          <w:sz w:val="20"/>
          <w:szCs w:val="20"/>
          <w:lang w:val="ro-RO"/>
        </w:rPr>
        <w:t>-și evalueze</w:t>
      </w:r>
      <w:r w:rsidR="00E36039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1C44FB">
        <w:rPr>
          <w:rFonts w:ascii="Calibri Light" w:hAnsi="Calibri Light" w:cs="Calibri Light"/>
          <w:sz w:val="20"/>
          <w:szCs w:val="20"/>
          <w:lang w:val="ro-RO"/>
        </w:rPr>
        <w:t xml:space="preserve">opțiunile de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gestion</w:t>
      </w:r>
      <w:r w:rsidR="00E36039">
        <w:rPr>
          <w:rFonts w:ascii="Calibri Light" w:hAnsi="Calibri Light" w:cs="Calibri Light"/>
          <w:sz w:val="20"/>
          <w:szCs w:val="20"/>
          <w:lang w:val="ro-RO"/>
        </w:rPr>
        <w:t>a</w:t>
      </w:r>
      <w:r w:rsidR="001C44FB">
        <w:rPr>
          <w:rFonts w:ascii="Calibri Light" w:hAnsi="Calibri Light" w:cs="Calibri Light"/>
          <w:sz w:val="20"/>
          <w:szCs w:val="20"/>
          <w:lang w:val="ro-RO"/>
        </w:rPr>
        <w:t>re a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prezenț</w:t>
      </w:r>
      <w:r w:rsidR="001C44FB">
        <w:rPr>
          <w:rFonts w:ascii="Calibri Light" w:hAnsi="Calibri Light" w:cs="Calibri Light"/>
          <w:sz w:val="20"/>
          <w:szCs w:val="20"/>
          <w:lang w:val="ro-RO"/>
        </w:rPr>
        <w:t>ei</w:t>
      </w:r>
      <w:r w:rsidR="00E36039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1C44FB">
        <w:rPr>
          <w:rFonts w:ascii="Calibri Light" w:hAnsi="Calibri Light" w:cs="Calibri Light"/>
          <w:sz w:val="20"/>
          <w:szCs w:val="20"/>
          <w:lang w:val="ro-RO"/>
        </w:rPr>
        <w:t>în această țară –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1C44FB">
        <w:rPr>
          <w:rFonts w:ascii="Calibri Light" w:hAnsi="Calibri Light" w:cs="Calibri Light"/>
          <w:sz w:val="20"/>
          <w:szCs w:val="20"/>
          <w:lang w:val="ro-RO"/>
        </w:rPr>
        <w:t>pot să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i</w:t>
      </w:r>
      <w:r w:rsidR="00E36039">
        <w:rPr>
          <w:rFonts w:ascii="Calibri Light" w:hAnsi="Calibri Light" w:cs="Calibri Light"/>
          <w:sz w:val="20"/>
          <w:szCs w:val="20"/>
          <w:lang w:val="ro-RO"/>
        </w:rPr>
        <w:t xml:space="preserve">asă de pe acea piață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sau să </w:t>
      </w:r>
      <w:r w:rsidR="00E36039">
        <w:rPr>
          <w:rFonts w:ascii="Calibri Light" w:hAnsi="Calibri Light" w:cs="Calibri Light"/>
          <w:sz w:val="20"/>
          <w:szCs w:val="20"/>
          <w:lang w:val="ro-RO"/>
        </w:rPr>
        <w:t xml:space="preserve">se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protej</w:t>
      </w:r>
      <w:r w:rsidR="00E36039">
        <w:rPr>
          <w:rFonts w:ascii="Calibri Light" w:hAnsi="Calibri Light" w:cs="Calibri Light"/>
          <w:sz w:val="20"/>
          <w:szCs w:val="20"/>
          <w:lang w:val="ro-RO"/>
        </w:rPr>
        <w:t>eze cu ajutorul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un</w:t>
      </w:r>
      <w:r w:rsidR="00E36039">
        <w:rPr>
          <w:rFonts w:ascii="Calibri Light" w:hAnsi="Calibri Light" w:cs="Calibri Light"/>
          <w:sz w:val="20"/>
          <w:szCs w:val="20"/>
          <w:lang w:val="ro-RO"/>
        </w:rPr>
        <w:t>ui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mod</w:t>
      </w:r>
      <w:r w:rsidR="00E36039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hibrid </w:t>
      </w:r>
      <w:r w:rsidR="00E36039">
        <w:rPr>
          <w:rFonts w:ascii="Calibri Light" w:hAnsi="Calibri Light" w:cs="Calibri Light"/>
          <w:sz w:val="20"/>
          <w:szCs w:val="20"/>
          <w:lang w:val="ro-RO"/>
        </w:rPr>
        <w:t xml:space="preserve">și mai riguros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de </w:t>
      </w:r>
      <w:r w:rsidR="00E36039">
        <w:rPr>
          <w:rFonts w:ascii="Calibri Light" w:hAnsi="Calibri Light" w:cs="Calibri Light"/>
          <w:sz w:val="20"/>
          <w:szCs w:val="20"/>
          <w:lang w:val="ro-RO"/>
        </w:rPr>
        <w:t xml:space="preserve">asigurare a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continuit</w:t>
      </w:r>
      <w:r w:rsidR="00E36039">
        <w:rPr>
          <w:rFonts w:ascii="Calibri Light" w:hAnsi="Calibri Light" w:cs="Calibri Light"/>
          <w:sz w:val="20"/>
          <w:szCs w:val="20"/>
          <w:lang w:val="ro-RO"/>
        </w:rPr>
        <w:t>ății businessului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. Experiența din Ucraina a </w:t>
      </w:r>
      <w:r w:rsidR="00E36039">
        <w:rPr>
          <w:rFonts w:ascii="Calibri Light" w:hAnsi="Calibri Light" w:cs="Calibri Light"/>
          <w:sz w:val="20"/>
          <w:szCs w:val="20"/>
          <w:lang w:val="ro-RO"/>
        </w:rPr>
        <w:t>dat câteva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lecții valoroase băncilor europene și românești.</w:t>
      </w:r>
    </w:p>
    <w:p w14:paraId="7C9EB1EB" w14:textId="5445E8FD" w:rsidR="005D7A84" w:rsidRPr="00683950" w:rsidRDefault="005D7A84" w:rsidP="005D7A84">
      <w:pPr>
        <w:spacing w:line="288" w:lineRule="auto"/>
        <w:contextualSpacing/>
        <w:jc w:val="both"/>
        <w:rPr>
          <w:rFonts w:ascii="Calibri Light" w:hAnsi="Calibri Light" w:cs="Calibri Light"/>
          <w:sz w:val="20"/>
          <w:szCs w:val="20"/>
          <w:lang w:val="ro-RO"/>
        </w:rPr>
      </w:pP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Înrăutățirea climatului economic a </w:t>
      </w:r>
      <w:r w:rsidR="001C44FB">
        <w:rPr>
          <w:rFonts w:ascii="Calibri Light" w:hAnsi="Calibri Light" w:cs="Calibri Light"/>
          <w:sz w:val="20"/>
          <w:szCs w:val="20"/>
          <w:lang w:val="ro-RO"/>
        </w:rPr>
        <w:t>generat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creșterea riscului de credit</w:t>
      </w:r>
      <w:r w:rsidR="00E36039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și va duce la deteriorarea calității portofoli</w:t>
      </w:r>
      <w:r w:rsidR="00851E41">
        <w:rPr>
          <w:rFonts w:ascii="Calibri Light" w:hAnsi="Calibri Light" w:cs="Calibri Light"/>
          <w:sz w:val="20"/>
          <w:szCs w:val="20"/>
          <w:lang w:val="ro-RO"/>
        </w:rPr>
        <w:t xml:space="preserve">ilor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de credite. </w:t>
      </w:r>
      <w:r w:rsidR="00851E41">
        <w:rPr>
          <w:rFonts w:ascii="Calibri Light" w:hAnsi="Calibri Light" w:cs="Calibri Light"/>
          <w:sz w:val="20"/>
          <w:szCs w:val="20"/>
          <w:lang w:val="ro-RO"/>
        </w:rPr>
        <w:t>T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recere</w:t>
      </w:r>
      <w:r w:rsidR="00851E41">
        <w:rPr>
          <w:rFonts w:ascii="Calibri Light" w:hAnsi="Calibri Light" w:cs="Calibri Light"/>
          <w:sz w:val="20"/>
          <w:szCs w:val="20"/>
          <w:lang w:val="ro-RO"/>
        </w:rPr>
        <w:t>a unor active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851E41">
        <w:rPr>
          <w:rFonts w:ascii="Calibri Light" w:hAnsi="Calibri Light" w:cs="Calibri Light"/>
          <w:sz w:val="20"/>
          <w:szCs w:val="20"/>
          <w:lang w:val="ro-RO"/>
        </w:rPr>
        <w:t>din categoria I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(</w:t>
      </w:r>
      <w:r w:rsidR="00851E41">
        <w:rPr>
          <w:rFonts w:ascii="Calibri Light" w:hAnsi="Calibri Light" w:cs="Calibri Light"/>
          <w:sz w:val="20"/>
          <w:szCs w:val="20"/>
          <w:lang w:val="ro-RO"/>
        </w:rPr>
        <w:t>credite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C664D9">
        <w:rPr>
          <w:rFonts w:ascii="Calibri Light" w:hAnsi="Calibri Light" w:cs="Calibri Light"/>
          <w:sz w:val="20"/>
          <w:szCs w:val="20"/>
          <w:lang w:val="ro-RO"/>
        </w:rPr>
        <w:t>care nu au suferit creșteri semnificative ale riscului de credit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) </w:t>
      </w:r>
      <w:r w:rsidR="00851E41">
        <w:rPr>
          <w:rFonts w:ascii="Calibri Light" w:hAnsi="Calibri Light" w:cs="Calibri Light"/>
          <w:sz w:val="20"/>
          <w:szCs w:val="20"/>
          <w:lang w:val="ro-RO"/>
        </w:rPr>
        <w:t>în categoria a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851E41">
        <w:rPr>
          <w:rFonts w:ascii="Calibri Light" w:hAnsi="Calibri Light" w:cs="Calibri Light"/>
          <w:sz w:val="20"/>
          <w:szCs w:val="20"/>
          <w:lang w:val="ro-RO"/>
        </w:rPr>
        <w:t>II-a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(debitori </w:t>
      </w:r>
      <w:r w:rsidR="00C664D9">
        <w:rPr>
          <w:rFonts w:ascii="Calibri Light" w:hAnsi="Calibri Light" w:cs="Calibri Light"/>
          <w:sz w:val="20"/>
          <w:szCs w:val="20"/>
          <w:lang w:val="ro-RO"/>
        </w:rPr>
        <w:t>cu un risc crescut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C664D9">
        <w:rPr>
          <w:rFonts w:ascii="Calibri Light" w:hAnsi="Calibri Light" w:cs="Calibri Light"/>
          <w:sz w:val="20"/>
          <w:szCs w:val="20"/>
          <w:lang w:val="ro-RO"/>
        </w:rPr>
        <w:t>fa</w:t>
      </w:r>
      <w:r w:rsidR="00A838EF">
        <w:rPr>
          <w:rFonts w:ascii="Calibri Light" w:hAnsi="Calibri Light" w:cs="Calibri Light"/>
          <w:sz w:val="20"/>
          <w:szCs w:val="20"/>
          <w:lang w:val="ro-RO"/>
        </w:rPr>
        <w:t>ță</w:t>
      </w:r>
      <w:r w:rsidR="00C664D9">
        <w:rPr>
          <w:rFonts w:ascii="Calibri Light" w:hAnsi="Calibri Light" w:cs="Calibri Light"/>
          <w:sz w:val="20"/>
          <w:szCs w:val="20"/>
          <w:lang w:val="ro-RO"/>
        </w:rPr>
        <w:t xml:space="preserve"> de cel previzionat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la momentul </w:t>
      </w:r>
      <w:r w:rsidR="00851E41">
        <w:rPr>
          <w:rFonts w:ascii="Calibri Light" w:hAnsi="Calibri Light" w:cs="Calibri Light"/>
          <w:sz w:val="20"/>
          <w:szCs w:val="20"/>
          <w:lang w:val="ro-RO"/>
        </w:rPr>
        <w:t xml:space="preserve">acordării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creditului) sau o trecere </w:t>
      </w:r>
      <w:r w:rsidR="00851E41">
        <w:rPr>
          <w:rFonts w:ascii="Calibri Light" w:hAnsi="Calibri Light" w:cs="Calibri Light"/>
          <w:sz w:val="20"/>
          <w:szCs w:val="20"/>
          <w:lang w:val="ro-RO"/>
        </w:rPr>
        <w:t>din categoria a</w:t>
      </w:r>
      <w:r w:rsidR="00851E41" w:rsidRPr="0068395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851E41">
        <w:rPr>
          <w:rFonts w:ascii="Calibri Light" w:hAnsi="Calibri Light" w:cs="Calibri Light"/>
          <w:sz w:val="20"/>
          <w:szCs w:val="20"/>
          <w:lang w:val="ro-RO"/>
        </w:rPr>
        <w:t>II-a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851E41">
        <w:rPr>
          <w:rFonts w:ascii="Calibri Light" w:hAnsi="Calibri Light" w:cs="Calibri Light"/>
          <w:sz w:val="20"/>
          <w:szCs w:val="20"/>
          <w:lang w:val="ro-RO"/>
        </w:rPr>
        <w:t>în cea de-a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851E41">
        <w:rPr>
          <w:rFonts w:ascii="Calibri Light" w:hAnsi="Calibri Light" w:cs="Calibri Light"/>
          <w:sz w:val="20"/>
          <w:szCs w:val="20"/>
          <w:lang w:val="ro-RO"/>
        </w:rPr>
        <w:t xml:space="preserve">III-a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(</w:t>
      </w:r>
      <w:r w:rsidR="00851E41">
        <w:rPr>
          <w:rFonts w:ascii="Calibri Light" w:hAnsi="Calibri Light" w:cs="Calibri Light"/>
          <w:sz w:val="20"/>
          <w:szCs w:val="20"/>
          <w:lang w:val="ro-RO"/>
        </w:rPr>
        <w:t>credite neperformante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) va </w:t>
      </w:r>
      <w:r w:rsidR="00851E41">
        <w:rPr>
          <w:rFonts w:ascii="Calibri Light" w:hAnsi="Calibri Light" w:cs="Calibri Light"/>
          <w:sz w:val="20"/>
          <w:szCs w:val="20"/>
          <w:lang w:val="ro-RO"/>
        </w:rPr>
        <w:t xml:space="preserve">influența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p</w:t>
      </w:r>
      <w:r w:rsidR="00851E41">
        <w:rPr>
          <w:rFonts w:ascii="Calibri Light" w:hAnsi="Calibri Light" w:cs="Calibri Light"/>
          <w:sz w:val="20"/>
          <w:szCs w:val="20"/>
          <w:lang w:val="ro-RO"/>
        </w:rPr>
        <w:t xml:space="preserve">reviziunile </w:t>
      </w:r>
      <w:r w:rsidR="00851E41" w:rsidRPr="00683950">
        <w:rPr>
          <w:rFonts w:ascii="Calibri Light" w:hAnsi="Calibri Light" w:cs="Calibri Light"/>
          <w:sz w:val="20"/>
          <w:szCs w:val="20"/>
          <w:lang w:val="ro-RO"/>
        </w:rPr>
        <w:t>bănci</w:t>
      </w:r>
      <w:r w:rsidR="001C44FB">
        <w:rPr>
          <w:rFonts w:ascii="Calibri Light" w:hAnsi="Calibri Light" w:cs="Calibri Light"/>
          <w:sz w:val="20"/>
          <w:szCs w:val="20"/>
          <w:lang w:val="ro-RO"/>
        </w:rPr>
        <w:t>lor</w:t>
      </w:r>
      <w:r w:rsidR="00851E41" w:rsidRPr="0068395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851E41">
        <w:rPr>
          <w:rFonts w:ascii="Calibri Light" w:hAnsi="Calibri Light" w:cs="Calibri Light"/>
          <w:sz w:val="20"/>
          <w:szCs w:val="20"/>
          <w:lang w:val="ro-RO"/>
        </w:rPr>
        <w:t xml:space="preserve">privind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provizio</w:t>
      </w:r>
      <w:r w:rsidR="00851E41">
        <w:rPr>
          <w:rFonts w:ascii="Calibri Light" w:hAnsi="Calibri Light" w:cs="Calibri Light"/>
          <w:sz w:val="20"/>
          <w:szCs w:val="20"/>
          <w:lang w:val="ro-RO"/>
        </w:rPr>
        <w:t>anele și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, în</w:t>
      </w:r>
      <w:r w:rsidR="00851E41">
        <w:rPr>
          <w:rFonts w:ascii="Calibri Light" w:hAnsi="Calibri Light" w:cs="Calibri Light"/>
          <w:sz w:val="20"/>
          <w:szCs w:val="20"/>
          <w:lang w:val="ro-RO"/>
        </w:rPr>
        <w:t>tr-un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scenariu</w:t>
      </w:r>
      <w:r w:rsidR="00851E41">
        <w:rPr>
          <w:rFonts w:ascii="Calibri Light" w:hAnsi="Calibri Light" w:cs="Calibri Light"/>
          <w:sz w:val="20"/>
          <w:szCs w:val="20"/>
          <w:lang w:val="ro-RO"/>
        </w:rPr>
        <w:t xml:space="preserve"> pesimist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, </w:t>
      </w:r>
      <w:r w:rsidR="001C44FB">
        <w:rPr>
          <w:rFonts w:ascii="Calibri Light" w:hAnsi="Calibri Light" w:cs="Calibri Light"/>
          <w:sz w:val="20"/>
          <w:szCs w:val="20"/>
          <w:lang w:val="ro-RO"/>
        </w:rPr>
        <w:t xml:space="preserve">le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va crește rata </w:t>
      </w:r>
      <w:r w:rsidR="00851E41">
        <w:rPr>
          <w:rFonts w:ascii="Calibri Light" w:hAnsi="Calibri Light" w:cs="Calibri Light"/>
          <w:sz w:val="20"/>
          <w:szCs w:val="20"/>
          <w:lang w:val="ro-RO"/>
        </w:rPr>
        <w:t xml:space="preserve">de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credite neperformante. În ambele cazuri, </w:t>
      </w:r>
      <w:r w:rsidR="00F21A3C">
        <w:rPr>
          <w:rFonts w:ascii="Calibri Light" w:hAnsi="Calibri Light" w:cs="Calibri Light"/>
          <w:sz w:val="20"/>
          <w:szCs w:val="20"/>
          <w:lang w:val="ro-RO"/>
        </w:rPr>
        <w:t>b</w:t>
      </w:r>
      <w:r w:rsidR="001C44FB">
        <w:rPr>
          <w:rFonts w:ascii="Calibri Light" w:hAnsi="Calibri Light" w:cs="Calibri Light"/>
          <w:sz w:val="20"/>
          <w:szCs w:val="20"/>
          <w:lang w:val="ro-RO"/>
        </w:rPr>
        <w:t xml:space="preserve">ăncile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a</w:t>
      </w:r>
      <w:r w:rsidR="001C44FB">
        <w:rPr>
          <w:rFonts w:ascii="Calibri Light" w:hAnsi="Calibri Light" w:cs="Calibri Light"/>
          <w:sz w:val="20"/>
          <w:szCs w:val="20"/>
          <w:lang w:val="ro-RO"/>
        </w:rPr>
        <w:t xml:space="preserve">u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nevoie de un cadru ajustat </w:t>
      </w:r>
      <w:r w:rsidR="00F21A3C">
        <w:rPr>
          <w:rFonts w:ascii="Calibri Light" w:hAnsi="Calibri Light" w:cs="Calibri Light"/>
          <w:sz w:val="20"/>
          <w:szCs w:val="20"/>
          <w:lang w:val="ro-RO"/>
        </w:rPr>
        <w:t>de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indicatori </w:t>
      </w:r>
      <w:r w:rsidR="00F21A3C">
        <w:rPr>
          <w:rFonts w:ascii="Calibri Light" w:hAnsi="Calibri Light" w:cs="Calibri Light"/>
          <w:sz w:val="20"/>
          <w:szCs w:val="20"/>
          <w:lang w:val="ro-RO"/>
        </w:rPr>
        <w:t xml:space="preserve">cu ajutorul cărora să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identific</w:t>
      </w:r>
      <w:r w:rsidR="00F21A3C">
        <w:rPr>
          <w:rFonts w:ascii="Calibri Light" w:hAnsi="Calibri Light" w:cs="Calibri Light"/>
          <w:sz w:val="20"/>
          <w:szCs w:val="20"/>
          <w:lang w:val="ro-RO"/>
        </w:rPr>
        <w:t>e din timp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F21A3C">
        <w:rPr>
          <w:rFonts w:ascii="Calibri Light" w:hAnsi="Calibri Light" w:cs="Calibri Light"/>
          <w:sz w:val="20"/>
          <w:szCs w:val="20"/>
          <w:lang w:val="ro-RO"/>
        </w:rPr>
        <w:t>creditele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care au nevoie de restructurare</w:t>
      </w:r>
      <w:r w:rsidR="00F21A3C">
        <w:rPr>
          <w:rFonts w:ascii="Calibri Light" w:hAnsi="Calibri Light" w:cs="Calibri Light"/>
          <w:sz w:val="20"/>
          <w:szCs w:val="20"/>
          <w:lang w:val="ro-RO"/>
        </w:rPr>
        <w:t>.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F21A3C">
        <w:rPr>
          <w:rFonts w:ascii="Calibri Light" w:hAnsi="Calibri Light" w:cs="Calibri Light"/>
          <w:sz w:val="20"/>
          <w:szCs w:val="20"/>
          <w:lang w:val="ro-RO"/>
        </w:rPr>
        <w:t>De asemenea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, </w:t>
      </w:r>
      <w:r w:rsidR="001C44FB">
        <w:rPr>
          <w:rFonts w:ascii="Calibri Light" w:hAnsi="Calibri Light" w:cs="Calibri Light"/>
          <w:sz w:val="20"/>
          <w:szCs w:val="20"/>
          <w:lang w:val="ro-RO"/>
        </w:rPr>
        <w:t xml:space="preserve">ele </w:t>
      </w:r>
      <w:r w:rsidR="00F21A3C">
        <w:rPr>
          <w:rFonts w:ascii="Calibri Light" w:hAnsi="Calibri Light" w:cs="Calibri Light"/>
          <w:sz w:val="20"/>
          <w:szCs w:val="20"/>
          <w:lang w:val="ro-RO"/>
        </w:rPr>
        <w:t>trebuie să ia inițiativa și să-și facă un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plan de optimizare a bilanțului </w:t>
      </w:r>
      <w:r w:rsidR="00F21A3C">
        <w:rPr>
          <w:rFonts w:ascii="Calibri Light" w:hAnsi="Calibri Light" w:cs="Calibri Light"/>
          <w:sz w:val="20"/>
          <w:szCs w:val="20"/>
          <w:lang w:val="ro-RO"/>
        </w:rPr>
        <w:t>care include vânzarea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F21A3C">
        <w:rPr>
          <w:rFonts w:ascii="Calibri Light" w:hAnsi="Calibri Light" w:cs="Calibri Light"/>
          <w:sz w:val="20"/>
          <w:szCs w:val="20"/>
          <w:lang w:val="ro-RO"/>
        </w:rPr>
        <w:t>de credite neperformante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. </w:t>
      </w:r>
      <w:r w:rsidR="00F21A3C">
        <w:rPr>
          <w:rFonts w:ascii="Calibri Light" w:hAnsi="Calibri Light" w:cs="Calibri Light"/>
          <w:sz w:val="20"/>
          <w:szCs w:val="20"/>
          <w:lang w:val="ro-RO"/>
        </w:rPr>
        <w:t>Cadrul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fiscal actual </w:t>
      </w:r>
      <w:r w:rsidR="00F21A3C">
        <w:rPr>
          <w:rFonts w:ascii="Calibri Light" w:hAnsi="Calibri Light" w:cs="Calibri Light"/>
          <w:sz w:val="20"/>
          <w:szCs w:val="20"/>
          <w:lang w:val="ro-RO"/>
        </w:rPr>
        <w:t xml:space="preserve">ridică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obstacol</w:t>
      </w:r>
      <w:r w:rsidR="00F21A3C">
        <w:rPr>
          <w:rFonts w:ascii="Calibri Light" w:hAnsi="Calibri Light" w:cs="Calibri Light"/>
          <w:sz w:val="20"/>
          <w:szCs w:val="20"/>
          <w:lang w:val="ro-RO"/>
        </w:rPr>
        <w:t>e în acest sens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, </w:t>
      </w:r>
      <w:r w:rsidR="00F21A3C">
        <w:rPr>
          <w:rFonts w:ascii="Calibri Light" w:hAnsi="Calibri Light" w:cs="Calibri Light"/>
          <w:sz w:val="20"/>
          <w:szCs w:val="20"/>
          <w:lang w:val="ro-RO"/>
        </w:rPr>
        <w:t xml:space="preserve">așadar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este nevoie de atenție </w:t>
      </w:r>
      <w:r w:rsidR="00F21A3C">
        <w:rPr>
          <w:rFonts w:ascii="Calibri Light" w:hAnsi="Calibri Light" w:cs="Calibri Light"/>
          <w:sz w:val="20"/>
          <w:szCs w:val="20"/>
          <w:lang w:val="ro-RO"/>
        </w:rPr>
        <w:t xml:space="preserve">sporită privind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modul în care autoritatea de reglementare se coordonează cu statul pentru </w:t>
      </w:r>
      <w:r w:rsidR="00D61C4B">
        <w:rPr>
          <w:rFonts w:ascii="Calibri Light" w:hAnsi="Calibri Light" w:cs="Calibri Light"/>
          <w:sz w:val="20"/>
          <w:szCs w:val="20"/>
          <w:lang w:val="ro-RO"/>
        </w:rPr>
        <w:t>a oferi băncilor posibilitatea de a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renunța la expunerile neperformante costisitoare.</w:t>
      </w:r>
    </w:p>
    <w:p w14:paraId="6F1C834C" w14:textId="5A3635B2" w:rsidR="005D7A84" w:rsidRPr="00683950" w:rsidRDefault="005D7A84" w:rsidP="005D7A84">
      <w:pPr>
        <w:spacing w:line="288" w:lineRule="auto"/>
        <w:contextualSpacing/>
        <w:jc w:val="both"/>
        <w:rPr>
          <w:rFonts w:ascii="Calibri Light" w:hAnsi="Calibri Light" w:cs="Calibri Light"/>
          <w:sz w:val="20"/>
          <w:szCs w:val="20"/>
          <w:lang w:val="ro-RO"/>
        </w:rPr>
      </w:pP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În ciuda turbulențelor geopolitice și financiare, BCE și BNR au </w:t>
      </w:r>
      <w:r w:rsidR="00D61C4B">
        <w:rPr>
          <w:rFonts w:ascii="Calibri Light" w:hAnsi="Calibri Light" w:cs="Calibri Light"/>
          <w:sz w:val="20"/>
          <w:szCs w:val="20"/>
          <w:lang w:val="ro-RO"/>
        </w:rPr>
        <w:t>dat dovadă de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un apetit scăzut </w:t>
      </w:r>
      <w:r w:rsidR="001C44FB">
        <w:rPr>
          <w:rFonts w:ascii="Calibri Light" w:hAnsi="Calibri Light" w:cs="Calibri Light"/>
          <w:sz w:val="20"/>
          <w:szCs w:val="20"/>
          <w:lang w:val="ro-RO"/>
        </w:rPr>
        <w:t>față de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încetinirea </w:t>
      </w:r>
      <w:r w:rsidR="00D61C4B">
        <w:rPr>
          <w:rFonts w:ascii="Calibri Light" w:hAnsi="Calibri Light" w:cs="Calibri Light"/>
          <w:sz w:val="20"/>
          <w:szCs w:val="20"/>
          <w:lang w:val="ro-RO"/>
        </w:rPr>
        <w:t xml:space="preserve">procesului de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tranziție ver</w:t>
      </w:r>
      <w:r w:rsidR="00D61C4B">
        <w:rPr>
          <w:rFonts w:ascii="Calibri Light" w:hAnsi="Calibri Light" w:cs="Calibri Light"/>
          <w:sz w:val="20"/>
          <w:szCs w:val="20"/>
          <w:lang w:val="ro-RO"/>
        </w:rPr>
        <w:t>de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. Dimpotrivă, BCE a </w:t>
      </w:r>
      <w:r w:rsidR="00D61C4B">
        <w:rPr>
          <w:rFonts w:ascii="Calibri Light" w:hAnsi="Calibri Light" w:cs="Calibri Light"/>
          <w:sz w:val="20"/>
          <w:szCs w:val="20"/>
          <w:lang w:val="ro-RO"/>
        </w:rPr>
        <w:t>dat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un ultim avertisment băncilor din zona euro</w:t>
      </w:r>
      <w:r w:rsidR="00D61C4B">
        <w:rPr>
          <w:rFonts w:ascii="Calibri Light" w:hAnsi="Calibri Light" w:cs="Calibri Light"/>
          <w:sz w:val="20"/>
          <w:szCs w:val="20"/>
          <w:lang w:val="ro-RO"/>
        </w:rPr>
        <w:t xml:space="preserve"> și le-a cerut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D61C4B">
        <w:rPr>
          <w:rFonts w:ascii="Calibri Light" w:hAnsi="Calibri Light" w:cs="Calibri Light"/>
          <w:sz w:val="20"/>
          <w:szCs w:val="20"/>
          <w:lang w:val="ro-RO"/>
        </w:rPr>
        <w:t xml:space="preserve">să-și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identific</w:t>
      </w:r>
      <w:r w:rsidR="00D61C4B">
        <w:rPr>
          <w:rFonts w:ascii="Calibri Light" w:hAnsi="Calibri Light" w:cs="Calibri Light"/>
          <w:sz w:val="20"/>
          <w:szCs w:val="20"/>
          <w:lang w:val="ro-RO"/>
        </w:rPr>
        <w:t>e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, raport</w:t>
      </w:r>
      <w:r w:rsidR="00D61C4B">
        <w:rPr>
          <w:rFonts w:ascii="Calibri Light" w:hAnsi="Calibri Light" w:cs="Calibri Light"/>
          <w:sz w:val="20"/>
          <w:szCs w:val="20"/>
          <w:lang w:val="ro-RO"/>
        </w:rPr>
        <w:t xml:space="preserve">eze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și gestion</w:t>
      </w:r>
      <w:r w:rsidR="00D61C4B">
        <w:rPr>
          <w:rFonts w:ascii="Calibri Light" w:hAnsi="Calibri Light" w:cs="Calibri Light"/>
          <w:sz w:val="20"/>
          <w:szCs w:val="20"/>
          <w:lang w:val="ro-RO"/>
        </w:rPr>
        <w:t>eze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vulnerabilitățile, în timp ce BNR </w:t>
      </w:r>
      <w:r w:rsidR="00D61C4B">
        <w:rPr>
          <w:rFonts w:ascii="Calibri Light" w:hAnsi="Calibri Light" w:cs="Calibri Light"/>
          <w:sz w:val="20"/>
          <w:szCs w:val="20"/>
          <w:lang w:val="ro-RO"/>
        </w:rPr>
        <w:t xml:space="preserve">pregătește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un cadru foarte elaborat de supraveghere </w:t>
      </w:r>
      <w:r w:rsidR="00D61C4B">
        <w:rPr>
          <w:rFonts w:ascii="Calibri Light" w:hAnsi="Calibri Light" w:cs="Calibri Light"/>
          <w:sz w:val="20"/>
          <w:szCs w:val="20"/>
          <w:lang w:val="ro-RO"/>
        </w:rPr>
        <w:t>în privința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riscurilor climatice, care va </w:t>
      </w:r>
      <w:r w:rsidR="001C44FB">
        <w:rPr>
          <w:rFonts w:ascii="Calibri Light" w:hAnsi="Calibri Light" w:cs="Calibri Light"/>
          <w:sz w:val="20"/>
          <w:szCs w:val="20"/>
          <w:lang w:val="ro-RO"/>
        </w:rPr>
        <w:t xml:space="preserve">genera </w:t>
      </w:r>
      <w:r w:rsidR="00C3709F">
        <w:rPr>
          <w:rFonts w:ascii="Calibri Light" w:hAnsi="Calibri Light" w:cs="Calibri Light"/>
          <w:sz w:val="20"/>
          <w:szCs w:val="20"/>
          <w:lang w:val="ro-RO"/>
        </w:rPr>
        <w:t xml:space="preserve">și el </w:t>
      </w:r>
      <w:r w:rsidR="001C44FB" w:rsidRPr="00683950">
        <w:rPr>
          <w:rFonts w:ascii="Calibri Light" w:hAnsi="Calibri Light" w:cs="Calibri Light"/>
          <w:sz w:val="20"/>
          <w:szCs w:val="20"/>
          <w:lang w:val="ro-RO"/>
        </w:rPr>
        <w:t>provoc</w:t>
      </w:r>
      <w:r w:rsidR="001C44FB">
        <w:rPr>
          <w:rFonts w:ascii="Calibri Light" w:hAnsi="Calibri Light" w:cs="Calibri Light"/>
          <w:sz w:val="20"/>
          <w:szCs w:val="20"/>
          <w:lang w:val="ro-RO"/>
        </w:rPr>
        <w:t>ări</w:t>
      </w:r>
      <w:r w:rsidR="001C44FB" w:rsidRPr="0068395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C3709F">
        <w:rPr>
          <w:rFonts w:ascii="Calibri Light" w:hAnsi="Calibri Light" w:cs="Calibri Light"/>
          <w:sz w:val="20"/>
          <w:szCs w:val="20"/>
          <w:lang w:val="ro-RO"/>
        </w:rPr>
        <w:t>băncil</w:t>
      </w:r>
      <w:r w:rsidR="001C44FB">
        <w:rPr>
          <w:rFonts w:ascii="Calibri Light" w:hAnsi="Calibri Light" w:cs="Calibri Light"/>
          <w:sz w:val="20"/>
          <w:szCs w:val="20"/>
          <w:lang w:val="ro-RO"/>
        </w:rPr>
        <w:t>or</w:t>
      </w:r>
      <w:r w:rsidR="00C3709F">
        <w:rPr>
          <w:rFonts w:ascii="Calibri Light" w:hAnsi="Calibri Light" w:cs="Calibri Light"/>
          <w:sz w:val="20"/>
          <w:szCs w:val="20"/>
          <w:lang w:val="ro-RO"/>
        </w:rPr>
        <w:t xml:space="preserve"> din R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omâni</w:t>
      </w:r>
      <w:r w:rsidR="00C3709F">
        <w:rPr>
          <w:rFonts w:ascii="Calibri Light" w:hAnsi="Calibri Light" w:cs="Calibri Light"/>
          <w:sz w:val="20"/>
          <w:szCs w:val="20"/>
          <w:lang w:val="ro-RO"/>
        </w:rPr>
        <w:t>a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. </w:t>
      </w:r>
      <w:r w:rsidR="001C44FB">
        <w:rPr>
          <w:rFonts w:ascii="Calibri Light" w:hAnsi="Calibri Light" w:cs="Calibri Light"/>
          <w:sz w:val="20"/>
          <w:szCs w:val="20"/>
          <w:lang w:val="ro-RO"/>
        </w:rPr>
        <w:t>C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adru</w:t>
      </w:r>
      <w:r w:rsidR="001C44FB">
        <w:rPr>
          <w:rFonts w:ascii="Calibri Light" w:hAnsi="Calibri Light" w:cs="Calibri Light"/>
          <w:sz w:val="20"/>
          <w:szCs w:val="20"/>
          <w:lang w:val="ro-RO"/>
        </w:rPr>
        <w:t>l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de supraveghere </w:t>
      </w:r>
      <w:r w:rsidR="00C3709F">
        <w:rPr>
          <w:rFonts w:ascii="Calibri Light" w:hAnsi="Calibri Light" w:cs="Calibri Light"/>
          <w:sz w:val="20"/>
          <w:szCs w:val="20"/>
          <w:lang w:val="ro-RO"/>
        </w:rPr>
        <w:t xml:space="preserve">privind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riscuril</w:t>
      </w:r>
      <w:r w:rsidR="00C3709F">
        <w:rPr>
          <w:rFonts w:ascii="Calibri Light" w:hAnsi="Calibri Light" w:cs="Calibri Light"/>
          <w:sz w:val="20"/>
          <w:szCs w:val="20"/>
          <w:lang w:val="ro-RO"/>
        </w:rPr>
        <w:t>e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climatice </w:t>
      </w:r>
      <w:r w:rsidR="00C3709F">
        <w:rPr>
          <w:rFonts w:ascii="Calibri Light" w:hAnsi="Calibri Light" w:cs="Calibri Light"/>
          <w:sz w:val="20"/>
          <w:szCs w:val="20"/>
          <w:lang w:val="ro-RO"/>
        </w:rPr>
        <w:t xml:space="preserve">din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Români</w:t>
      </w:r>
      <w:r w:rsidR="00C3709F">
        <w:rPr>
          <w:rFonts w:ascii="Calibri Light" w:hAnsi="Calibri Light" w:cs="Calibri Light"/>
          <w:sz w:val="20"/>
          <w:szCs w:val="20"/>
          <w:lang w:val="ro-RO"/>
        </w:rPr>
        <w:t>a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va fi prim</w:t>
      </w:r>
      <w:r w:rsidR="00C3709F">
        <w:rPr>
          <w:rFonts w:ascii="Calibri Light" w:hAnsi="Calibri Light" w:cs="Calibri Light"/>
          <w:sz w:val="20"/>
          <w:szCs w:val="20"/>
          <w:lang w:val="ro-RO"/>
        </w:rPr>
        <w:t>ul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de acest gen din UE</w:t>
      </w:r>
      <w:r w:rsidR="00C3709F">
        <w:rPr>
          <w:rFonts w:ascii="Calibri Light" w:hAnsi="Calibri Light" w:cs="Calibri Light"/>
          <w:sz w:val="20"/>
          <w:szCs w:val="20"/>
          <w:lang w:val="ro-RO"/>
        </w:rPr>
        <w:t>, conform așteptărilor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. Băncile vor trebui, în esență, să își re-segmenteze portofoliile </w:t>
      </w:r>
      <w:r w:rsidR="00C3709F">
        <w:rPr>
          <w:rFonts w:ascii="Calibri Light" w:hAnsi="Calibri Light" w:cs="Calibri Light"/>
          <w:sz w:val="20"/>
          <w:szCs w:val="20"/>
          <w:lang w:val="ro-RO"/>
        </w:rPr>
        <w:t xml:space="preserve">pe baza unor indicatori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privind riscurile climatice, </w:t>
      </w:r>
      <w:r w:rsidR="00C3709F">
        <w:rPr>
          <w:rFonts w:ascii="Calibri Light" w:hAnsi="Calibri Light" w:cs="Calibri Light"/>
          <w:sz w:val="20"/>
          <w:szCs w:val="20"/>
          <w:lang w:val="ro-RO"/>
        </w:rPr>
        <w:t xml:space="preserve">a unei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modalit</w:t>
      </w:r>
      <w:r w:rsidR="00C3709F">
        <w:rPr>
          <w:rFonts w:ascii="Calibri Light" w:hAnsi="Calibri Light" w:cs="Calibri Light"/>
          <w:sz w:val="20"/>
          <w:szCs w:val="20"/>
          <w:lang w:val="ro-RO"/>
        </w:rPr>
        <w:t xml:space="preserve">ăți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de cuantifica</w:t>
      </w:r>
      <w:r w:rsidR="00C3709F">
        <w:rPr>
          <w:rFonts w:ascii="Calibri Light" w:hAnsi="Calibri Light" w:cs="Calibri Light"/>
          <w:sz w:val="20"/>
          <w:szCs w:val="20"/>
          <w:lang w:val="ro-RO"/>
        </w:rPr>
        <w:t>re a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riscuril</w:t>
      </w:r>
      <w:r w:rsidR="00C3709F">
        <w:rPr>
          <w:rFonts w:ascii="Calibri Light" w:hAnsi="Calibri Light" w:cs="Calibri Light"/>
          <w:sz w:val="20"/>
          <w:szCs w:val="20"/>
          <w:lang w:val="ro-RO"/>
        </w:rPr>
        <w:t>or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și </w:t>
      </w:r>
      <w:r w:rsidR="00C3709F">
        <w:rPr>
          <w:rFonts w:ascii="Calibri Light" w:hAnsi="Calibri Light" w:cs="Calibri Light"/>
          <w:sz w:val="20"/>
          <w:szCs w:val="20"/>
          <w:lang w:val="ro-RO"/>
        </w:rPr>
        <w:t xml:space="preserve">a 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>strategie</w:t>
      </w:r>
      <w:r w:rsidR="00C3709F">
        <w:rPr>
          <w:rFonts w:ascii="Calibri Light" w:hAnsi="Calibri Light" w:cs="Calibri Light"/>
          <w:sz w:val="20"/>
          <w:szCs w:val="20"/>
          <w:lang w:val="ro-RO"/>
        </w:rPr>
        <w:t>i</w:t>
      </w:r>
      <w:r w:rsidRPr="00683950">
        <w:rPr>
          <w:rFonts w:ascii="Calibri Light" w:hAnsi="Calibri Light" w:cs="Calibri Light"/>
          <w:sz w:val="20"/>
          <w:szCs w:val="20"/>
          <w:lang w:val="ro-RO"/>
        </w:rPr>
        <w:t xml:space="preserve"> de abordare a acestora.</w:t>
      </w:r>
    </w:p>
    <w:p w14:paraId="33E5EF6C" w14:textId="5DAE0C06" w:rsidR="005D7A84" w:rsidRPr="00683950" w:rsidRDefault="00C3709F" w:rsidP="005D7A84">
      <w:pPr>
        <w:spacing w:line="288" w:lineRule="auto"/>
        <w:contextualSpacing/>
        <w:jc w:val="both"/>
        <w:rPr>
          <w:rFonts w:ascii="Calibri Light" w:hAnsi="Calibri Light" w:cs="Calibri Light"/>
          <w:sz w:val="20"/>
          <w:szCs w:val="20"/>
          <w:lang w:val="ro-RO"/>
        </w:rPr>
      </w:pPr>
      <w:r>
        <w:rPr>
          <w:rFonts w:ascii="Calibri Light" w:hAnsi="Calibri Light" w:cs="Calibri Light"/>
          <w:sz w:val="20"/>
          <w:szCs w:val="20"/>
          <w:lang w:val="ro-RO"/>
        </w:rPr>
        <w:t>De asemenea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, băncile </w:t>
      </w:r>
      <w:r>
        <w:rPr>
          <w:rFonts w:ascii="Calibri Light" w:hAnsi="Calibri Light" w:cs="Calibri Light"/>
          <w:sz w:val="20"/>
          <w:szCs w:val="20"/>
          <w:lang w:val="ro-RO"/>
        </w:rPr>
        <w:t>din R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>omân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ia 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>vor trebui să</w:t>
      </w:r>
      <w:r>
        <w:rPr>
          <w:rFonts w:ascii="Calibri Light" w:hAnsi="Calibri Light" w:cs="Calibri Light"/>
          <w:sz w:val="20"/>
          <w:szCs w:val="20"/>
          <w:lang w:val="ro-RO"/>
        </w:rPr>
        <w:t>-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și intensifice eforturile de 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asigurare a 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>prote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cției în fața 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>riscu</w:t>
      </w:r>
      <w:r>
        <w:rPr>
          <w:rFonts w:ascii="Calibri Light" w:hAnsi="Calibri Light" w:cs="Calibri Light"/>
          <w:sz w:val="20"/>
          <w:szCs w:val="20"/>
          <w:lang w:val="ro-RO"/>
        </w:rPr>
        <w:t>rilor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 cibernetic</w:t>
      </w:r>
      <w:r>
        <w:rPr>
          <w:rFonts w:ascii="Calibri Light" w:hAnsi="Calibri Light" w:cs="Calibri Light"/>
          <w:sz w:val="20"/>
          <w:szCs w:val="20"/>
          <w:lang w:val="ro-RO"/>
        </w:rPr>
        <w:t>e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. Intensificarea războiului cibernetic și situația geopolitică instabilă </w:t>
      </w:r>
      <w:r>
        <w:rPr>
          <w:rFonts w:ascii="Calibri Light" w:hAnsi="Calibri Light" w:cs="Calibri Light"/>
          <w:sz w:val="20"/>
          <w:szCs w:val="20"/>
          <w:lang w:val="ro-RO"/>
        </w:rPr>
        <w:t>cresc mai mult decât oricând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riscul 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de contagiune în </w:t>
      </w:r>
      <w:r>
        <w:rPr>
          <w:rFonts w:ascii="Calibri Light" w:hAnsi="Calibri Light" w:cs="Calibri Light"/>
          <w:sz w:val="20"/>
          <w:szCs w:val="20"/>
          <w:lang w:val="ro-RO"/>
        </w:rPr>
        <w:t>Europa Centrală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 și 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în 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România, inclusiv 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prin 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măsuri neconvenționale, cum ar fi atacurile cibernetice. Deși băncile </w:t>
      </w:r>
      <w:r>
        <w:rPr>
          <w:rFonts w:ascii="Calibri Light" w:hAnsi="Calibri Light" w:cs="Calibri Light"/>
          <w:sz w:val="20"/>
          <w:szCs w:val="20"/>
          <w:lang w:val="ro-RO"/>
        </w:rPr>
        <w:t>din R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>omân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ia 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>au făcut progrese, pro</w:t>
      </w:r>
      <w:r>
        <w:rPr>
          <w:rFonts w:ascii="Calibri Light" w:hAnsi="Calibri Light" w:cs="Calibri Light"/>
          <w:sz w:val="20"/>
          <w:szCs w:val="20"/>
          <w:lang w:val="ro-RO"/>
        </w:rPr>
        <w:t>cesul accelerat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 de transformare digitală din ultimii ani </w:t>
      </w:r>
      <w:r w:rsidR="008F79D0">
        <w:rPr>
          <w:rFonts w:ascii="Calibri Light" w:hAnsi="Calibri Light" w:cs="Calibri Light"/>
          <w:sz w:val="20"/>
          <w:szCs w:val="20"/>
          <w:lang w:val="ro-RO"/>
        </w:rPr>
        <w:t xml:space="preserve">le </w:t>
      </w:r>
      <w:r>
        <w:rPr>
          <w:rFonts w:ascii="Calibri Light" w:hAnsi="Calibri Light" w:cs="Calibri Light"/>
          <w:sz w:val="20"/>
          <w:szCs w:val="20"/>
          <w:lang w:val="ro-RO"/>
        </w:rPr>
        <w:t>face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 mai vulnerabile </w:t>
      </w:r>
      <w:r>
        <w:rPr>
          <w:rFonts w:ascii="Calibri Light" w:hAnsi="Calibri Light" w:cs="Calibri Light"/>
          <w:sz w:val="20"/>
          <w:szCs w:val="20"/>
          <w:lang w:val="ro-RO"/>
        </w:rPr>
        <w:t>decât oricând</w:t>
      </w:r>
      <w:r w:rsidR="005D7A84" w:rsidRPr="00683950">
        <w:rPr>
          <w:rFonts w:ascii="Calibri Light" w:hAnsi="Calibri Light" w:cs="Calibri Light"/>
          <w:sz w:val="20"/>
          <w:szCs w:val="20"/>
          <w:lang w:val="ro-RO"/>
        </w:rPr>
        <w:t xml:space="preserve">. </w:t>
      </w:r>
    </w:p>
    <w:p w14:paraId="171EE2F8" w14:textId="77777777" w:rsidR="005D7A84" w:rsidRPr="00683950" w:rsidRDefault="005D7A84" w:rsidP="005D7A84">
      <w:pPr>
        <w:spacing w:line="288" w:lineRule="auto"/>
        <w:contextualSpacing/>
        <w:jc w:val="both"/>
        <w:rPr>
          <w:rFonts w:ascii="Calibri Light" w:hAnsi="Calibri Light" w:cs="Calibri Light"/>
          <w:sz w:val="20"/>
          <w:szCs w:val="20"/>
          <w:lang w:val="ro-RO"/>
        </w:rPr>
      </w:pPr>
    </w:p>
    <w:p w14:paraId="16F60AAE" w14:textId="77777777" w:rsidR="005D7A84" w:rsidRPr="00683950" w:rsidRDefault="005D7A84" w:rsidP="005D7A84">
      <w:pPr>
        <w:spacing w:line="288" w:lineRule="auto"/>
        <w:contextualSpacing/>
        <w:jc w:val="both"/>
        <w:rPr>
          <w:rFonts w:ascii="Calibri Light" w:hAnsi="Calibri Light" w:cs="Calibri Light"/>
          <w:sz w:val="20"/>
          <w:szCs w:val="20"/>
          <w:lang w:val="ro-RO"/>
        </w:rPr>
      </w:pPr>
    </w:p>
    <w:p w14:paraId="1E0EF8C7" w14:textId="769AC2DB" w:rsidR="002E429D" w:rsidRPr="00683950" w:rsidRDefault="002E429D" w:rsidP="005D7A84">
      <w:pPr>
        <w:spacing w:line="288" w:lineRule="auto"/>
        <w:contextualSpacing/>
        <w:jc w:val="both"/>
        <w:rPr>
          <w:rFonts w:ascii="Calibri Light" w:hAnsi="Calibri Light" w:cs="Calibri Light"/>
          <w:sz w:val="20"/>
          <w:szCs w:val="20"/>
          <w:lang w:val="ro-RO"/>
        </w:rPr>
      </w:pPr>
    </w:p>
    <w:sectPr w:rsidR="002E429D" w:rsidRPr="00683950">
      <w:headerReference w:type="default" r:id="rId12"/>
      <w:footerReference w:type="default" r:id="rId13"/>
      <w:pgSz w:w="11909" w:h="16834" w:code="9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2C62B" w14:textId="77777777" w:rsidR="00FE3440" w:rsidRDefault="00FE3440">
      <w:pPr>
        <w:spacing w:after="0" w:line="240" w:lineRule="auto"/>
      </w:pPr>
      <w:r>
        <w:separator/>
      </w:r>
    </w:p>
  </w:endnote>
  <w:endnote w:type="continuationSeparator" w:id="0">
    <w:p w14:paraId="79568A6E" w14:textId="77777777" w:rsidR="00FE3440" w:rsidRDefault="00FE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64EA" w14:textId="77777777" w:rsidR="00DB7829" w:rsidRDefault="00E33F12">
    <w:pPr>
      <w:pStyle w:val="Footer"/>
      <w:jc w:val="center"/>
      <w:rPr>
        <w:rFonts w:ascii="Calibri Light" w:hAnsi="Calibri Light" w:cs="Calibri Light"/>
        <w:sz w:val="20"/>
        <w:szCs w:val="20"/>
      </w:rPr>
    </w:pPr>
    <w:r>
      <w:rPr>
        <w:rFonts w:ascii="Calibri Light" w:hAnsi="Calibri Light" w:cs="Calibri Light"/>
        <w:sz w:val="20"/>
        <w:szCs w:val="20"/>
      </w:rPr>
      <w:t>2</w:t>
    </w:r>
  </w:p>
  <w:p w14:paraId="1F4B38C8" w14:textId="77777777" w:rsidR="00DB7829" w:rsidRDefault="00DB7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A4190" w14:textId="77777777" w:rsidR="00FE3440" w:rsidRDefault="00FE3440">
      <w:pPr>
        <w:spacing w:after="0" w:line="240" w:lineRule="auto"/>
      </w:pPr>
      <w:r>
        <w:separator/>
      </w:r>
    </w:p>
  </w:footnote>
  <w:footnote w:type="continuationSeparator" w:id="0">
    <w:p w14:paraId="6BA7EC33" w14:textId="77777777" w:rsidR="00FE3440" w:rsidRDefault="00FE3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38E8" w14:textId="7908869D" w:rsidR="00DB7829" w:rsidRDefault="00076899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0288" behindDoc="0" locked="0" layoutInCell="1" allowOverlap="1" wp14:anchorId="2F9C6109" wp14:editId="615E970E">
          <wp:simplePos x="0" y="0"/>
          <wp:positionH relativeFrom="column">
            <wp:posOffset>3619500</wp:posOffset>
          </wp:positionH>
          <wp:positionV relativeFrom="paragraph">
            <wp:posOffset>-411480</wp:posOffset>
          </wp:positionV>
          <wp:extent cx="2221230" cy="1663700"/>
          <wp:effectExtent l="0" t="0" r="7620" b="0"/>
          <wp:wrapTopAndBottom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230" cy="166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 wp14:anchorId="29749D6B" wp14:editId="66A408D9">
          <wp:simplePos x="0" y="0"/>
          <wp:positionH relativeFrom="column">
            <wp:posOffset>1864</wp:posOffset>
          </wp:positionH>
          <wp:positionV relativeFrom="paragraph">
            <wp:posOffset>205740</wp:posOffset>
          </wp:positionV>
          <wp:extent cx="1653540" cy="314044"/>
          <wp:effectExtent l="0" t="0" r="3810" b="0"/>
          <wp:wrapThrough wrapText="bothSides">
            <wp:wrapPolygon edited="0">
              <wp:start x="0" y="0"/>
              <wp:lineTo x="0" y="19676"/>
              <wp:lineTo x="21401" y="19676"/>
              <wp:lineTo x="2140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314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456"/>
    <w:multiLevelType w:val="hybridMultilevel"/>
    <w:tmpl w:val="C04EE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3A61"/>
    <w:multiLevelType w:val="hybridMultilevel"/>
    <w:tmpl w:val="AE4C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CCC"/>
    <w:multiLevelType w:val="hybridMultilevel"/>
    <w:tmpl w:val="71EA8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965BE"/>
    <w:multiLevelType w:val="hybridMultilevel"/>
    <w:tmpl w:val="8188C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13CED"/>
    <w:multiLevelType w:val="hybridMultilevel"/>
    <w:tmpl w:val="3D42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07C07"/>
    <w:multiLevelType w:val="hybridMultilevel"/>
    <w:tmpl w:val="D5F0D6D8"/>
    <w:lvl w:ilvl="0" w:tplc="391C37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277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033539"/>
    <w:multiLevelType w:val="hybridMultilevel"/>
    <w:tmpl w:val="E32468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02725"/>
    <w:multiLevelType w:val="hybridMultilevel"/>
    <w:tmpl w:val="94FE4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C260B"/>
    <w:multiLevelType w:val="hybridMultilevel"/>
    <w:tmpl w:val="64E886A2"/>
    <w:lvl w:ilvl="0" w:tplc="391C3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77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82E64"/>
    <w:multiLevelType w:val="hybridMultilevel"/>
    <w:tmpl w:val="BD1C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C0ECE"/>
    <w:multiLevelType w:val="hybridMultilevel"/>
    <w:tmpl w:val="40C6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2691D"/>
    <w:multiLevelType w:val="hybridMultilevel"/>
    <w:tmpl w:val="C6682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0462A"/>
    <w:multiLevelType w:val="hybridMultilevel"/>
    <w:tmpl w:val="94FE4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0DCF"/>
    <w:multiLevelType w:val="hybridMultilevel"/>
    <w:tmpl w:val="D6DA07E8"/>
    <w:lvl w:ilvl="0" w:tplc="391C3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77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607D7"/>
    <w:multiLevelType w:val="hybridMultilevel"/>
    <w:tmpl w:val="05BA18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DD2834"/>
    <w:multiLevelType w:val="hybridMultilevel"/>
    <w:tmpl w:val="347CD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61EBC"/>
    <w:multiLevelType w:val="hybridMultilevel"/>
    <w:tmpl w:val="90AA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06638"/>
    <w:multiLevelType w:val="hybridMultilevel"/>
    <w:tmpl w:val="799E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D47D3"/>
    <w:multiLevelType w:val="hybridMultilevel"/>
    <w:tmpl w:val="FEDCD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249E7"/>
    <w:multiLevelType w:val="hybridMultilevel"/>
    <w:tmpl w:val="94FE4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F14D5"/>
    <w:multiLevelType w:val="hybridMultilevel"/>
    <w:tmpl w:val="D0189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C6746"/>
    <w:multiLevelType w:val="hybridMultilevel"/>
    <w:tmpl w:val="8C12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36578"/>
    <w:multiLevelType w:val="hybridMultilevel"/>
    <w:tmpl w:val="048CEAD6"/>
    <w:lvl w:ilvl="0" w:tplc="78C8080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C5E32"/>
    <w:multiLevelType w:val="hybridMultilevel"/>
    <w:tmpl w:val="347CD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077C6"/>
    <w:multiLevelType w:val="hybridMultilevel"/>
    <w:tmpl w:val="DB4C9C50"/>
    <w:lvl w:ilvl="0" w:tplc="1738292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2D4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240576">
    <w:abstractNumId w:val="23"/>
  </w:num>
  <w:num w:numId="2" w16cid:durableId="1778057798">
    <w:abstractNumId w:val="24"/>
  </w:num>
  <w:num w:numId="3" w16cid:durableId="1712000057">
    <w:abstractNumId w:val="11"/>
  </w:num>
  <w:num w:numId="4" w16cid:durableId="121581789">
    <w:abstractNumId w:val="13"/>
  </w:num>
  <w:num w:numId="5" w16cid:durableId="1586110792">
    <w:abstractNumId w:val="5"/>
  </w:num>
  <w:num w:numId="6" w16cid:durableId="832141708">
    <w:abstractNumId w:val="8"/>
  </w:num>
  <w:num w:numId="7" w16cid:durableId="841552244">
    <w:abstractNumId w:val="15"/>
  </w:num>
  <w:num w:numId="8" w16cid:durableId="1301417089">
    <w:abstractNumId w:val="4"/>
  </w:num>
  <w:num w:numId="9" w16cid:durableId="899947144">
    <w:abstractNumId w:val="3"/>
  </w:num>
  <w:num w:numId="10" w16cid:durableId="1235159756">
    <w:abstractNumId w:val="6"/>
  </w:num>
  <w:num w:numId="11" w16cid:durableId="699086569">
    <w:abstractNumId w:val="19"/>
  </w:num>
  <w:num w:numId="12" w16cid:durableId="1479496650">
    <w:abstractNumId w:val="7"/>
  </w:num>
  <w:num w:numId="13" w16cid:durableId="184028944">
    <w:abstractNumId w:val="12"/>
  </w:num>
  <w:num w:numId="14" w16cid:durableId="28459955">
    <w:abstractNumId w:val="18"/>
  </w:num>
  <w:num w:numId="15" w16cid:durableId="117526227">
    <w:abstractNumId w:val="1"/>
  </w:num>
  <w:num w:numId="16" w16cid:durableId="1479608728">
    <w:abstractNumId w:val="16"/>
  </w:num>
  <w:num w:numId="17" w16cid:durableId="820579382">
    <w:abstractNumId w:val="10"/>
  </w:num>
  <w:num w:numId="18" w16cid:durableId="1653607133">
    <w:abstractNumId w:val="0"/>
  </w:num>
  <w:num w:numId="19" w16cid:durableId="854880823">
    <w:abstractNumId w:val="20"/>
  </w:num>
  <w:num w:numId="20" w16cid:durableId="2080131533">
    <w:abstractNumId w:val="14"/>
  </w:num>
  <w:num w:numId="21" w16cid:durableId="1688097480">
    <w:abstractNumId w:val="9"/>
  </w:num>
  <w:num w:numId="22" w16cid:durableId="729155282">
    <w:abstractNumId w:val="17"/>
  </w:num>
  <w:num w:numId="23" w16cid:durableId="1682899113">
    <w:abstractNumId w:val="21"/>
  </w:num>
  <w:num w:numId="24" w16cid:durableId="1670131427">
    <w:abstractNumId w:val="22"/>
  </w:num>
  <w:num w:numId="25" w16cid:durableId="448552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29"/>
    <w:rsid w:val="00076899"/>
    <w:rsid w:val="00094B12"/>
    <w:rsid w:val="00110D9A"/>
    <w:rsid w:val="001C44FB"/>
    <w:rsid w:val="00263DF8"/>
    <w:rsid w:val="002C5FEA"/>
    <w:rsid w:val="002E429D"/>
    <w:rsid w:val="003A58DA"/>
    <w:rsid w:val="00430F4D"/>
    <w:rsid w:val="005D7A84"/>
    <w:rsid w:val="00683950"/>
    <w:rsid w:val="00697F70"/>
    <w:rsid w:val="00851E41"/>
    <w:rsid w:val="008928F9"/>
    <w:rsid w:val="008E656B"/>
    <w:rsid w:val="008F79D0"/>
    <w:rsid w:val="0098137E"/>
    <w:rsid w:val="009F6174"/>
    <w:rsid w:val="00A838EF"/>
    <w:rsid w:val="00C3709F"/>
    <w:rsid w:val="00C664D9"/>
    <w:rsid w:val="00D611EF"/>
    <w:rsid w:val="00D61C4B"/>
    <w:rsid w:val="00DB7829"/>
    <w:rsid w:val="00E24D95"/>
    <w:rsid w:val="00E33F12"/>
    <w:rsid w:val="00E36039"/>
    <w:rsid w:val="00E362AF"/>
    <w:rsid w:val="00F21A3C"/>
    <w:rsid w:val="00F830C8"/>
    <w:rsid w:val="00FE3440"/>
    <w:rsid w:val="00F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8AEFF"/>
  <w15:docId w15:val="{AC33DC2F-8F84-4A77-9C15-3324133A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A0D9231F5854286462B03240A44C9" ma:contentTypeVersion="13" ma:contentTypeDescription="Create a new document." ma:contentTypeScope="" ma:versionID="86bc6b3643cad6e847e669b9392c0cae">
  <xsd:schema xmlns:xsd="http://www.w3.org/2001/XMLSchema" xmlns:xs="http://www.w3.org/2001/XMLSchema" xmlns:p="http://schemas.microsoft.com/office/2006/metadata/properties" xmlns:ns2="fc964935-f53d-4b95-80f4-181d7c6fc15b" xmlns:ns3="a4e8a7bf-90b4-42de-871c-e752faf43d5d" targetNamespace="http://schemas.microsoft.com/office/2006/metadata/properties" ma:root="true" ma:fieldsID="7b1dd7a72bf8fed3e1e5404ae3c06d78" ns2:_="" ns3:_="">
    <xsd:import namespace="fc964935-f53d-4b95-80f4-181d7c6fc15b"/>
    <xsd:import namespace="a4e8a7bf-90b4-42de-871c-e752faf43d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64935-f53d-4b95-80f4-181d7c6fc1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8a7bf-90b4-42de-871c-e752faf43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2910FD1-F75B-451B-A47A-3C09E149F4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B63FF1-A933-4110-9765-2D3158CABF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7063F5-7CC0-4599-9F37-F91040368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1DF91D-DCCB-47F6-A4CA-580E26072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64935-f53d-4b95-80f4-181d7c6fc15b"/>
    <ds:schemaRef ds:uri="a4e8a7bf-90b4-42de-871c-e752faf43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B42BD7-0C0C-4BC1-B087-3CD9E114AB6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Central Europe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Anghel, Oana</dc:creator>
  <cp:lastModifiedBy>Anghel, Oana</cp:lastModifiedBy>
  <cp:revision>3</cp:revision>
  <cp:lastPrinted>2018-07-29T06:01:00Z</cp:lastPrinted>
  <dcterms:created xsi:type="dcterms:W3CDTF">2022-11-28T09:17:00Z</dcterms:created>
  <dcterms:modified xsi:type="dcterms:W3CDTF">2022-11-28T09:27:00Z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2022-02-23T13:26:58Z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e250f9d9-c8c7-4719-8f7a-979cc639bb71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0x0101007D3A0D9231F5854286462B03240A44C9</vt:lpwstr>
  </property>
  <property fmtid="{D5CDD505-2E9C-101B-9397-08002B2CF9AE}" pid="10" name="GrammarlyDocumentId">
    <vt:lpwstr>cee9df9d74c1c6f8ade1a124e6a20a87bf3f1f7c4b94f58a675c043f5898c890</vt:lpwstr>
  </property>
</Properties>
</file>