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B14E" w14:textId="642DD6B8" w:rsidR="003D32AC" w:rsidRPr="00675F5D" w:rsidRDefault="003D32AC" w:rsidP="00E4253C">
      <w:pPr>
        <w:spacing w:before="12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ro-RO"/>
        </w:rPr>
      </w:pPr>
      <w:r w:rsidRPr="00675F5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„Taxa Netflix” în România </w:t>
      </w:r>
      <w:r w:rsidR="004C5C60" w:rsidRPr="00675F5D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este </w:t>
      </w:r>
      <w:r w:rsidRPr="00675F5D">
        <w:rPr>
          <w:rFonts w:asciiTheme="majorHAnsi" w:hAnsiTheme="majorHAnsi" w:cstheme="majorHAnsi"/>
          <w:b/>
          <w:bCs/>
          <w:sz w:val="24"/>
          <w:szCs w:val="24"/>
          <w:lang w:val="ro-RO"/>
        </w:rPr>
        <w:t>pe punctul de a fi adoptată</w:t>
      </w:r>
      <w:r w:rsidR="00C161A5" w:rsidRPr="00675F5D">
        <w:rPr>
          <w:rFonts w:asciiTheme="majorHAnsi" w:hAnsiTheme="majorHAnsi" w:cstheme="majorHAnsi"/>
          <w:b/>
          <w:bCs/>
          <w:sz w:val="24"/>
          <w:szCs w:val="24"/>
          <w:lang w:val="ro-RO"/>
        </w:rPr>
        <w:t>. Care sunt implicațiile?</w:t>
      </w:r>
    </w:p>
    <w:p w14:paraId="37B4EA3F" w14:textId="77777777" w:rsidR="004C5C60" w:rsidRPr="00675F5D" w:rsidRDefault="004C5C60" w:rsidP="00E4253C">
      <w:pPr>
        <w:spacing w:before="120" w:line="288" w:lineRule="auto"/>
        <w:rPr>
          <w:rFonts w:asciiTheme="majorHAnsi" w:hAnsiTheme="majorHAnsi" w:cstheme="majorHAnsi"/>
          <w:bCs/>
          <w:i/>
          <w:sz w:val="20"/>
          <w:szCs w:val="20"/>
          <w:lang w:val="ro-RO"/>
        </w:rPr>
      </w:pPr>
    </w:p>
    <w:p w14:paraId="36B69B8A" w14:textId="0485755B" w:rsidR="003D32AC" w:rsidRPr="00675F5D" w:rsidRDefault="003D32AC" w:rsidP="00E4253C">
      <w:pPr>
        <w:spacing w:before="120" w:line="288" w:lineRule="auto"/>
        <w:rPr>
          <w:rFonts w:asciiTheme="majorHAnsi" w:hAnsiTheme="majorHAnsi" w:cstheme="majorHAnsi"/>
          <w:b/>
          <w:bCs/>
          <w:sz w:val="20"/>
          <w:szCs w:val="20"/>
          <w:u w:val="single"/>
          <w:lang w:val="ro-RO"/>
        </w:rPr>
      </w:pPr>
      <w:r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>Material de opinie de Anca Ghizdavu, Manager</w:t>
      </w:r>
      <w:r w:rsidR="000B123D"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 xml:space="preserve"> Senior</w:t>
      </w:r>
      <w:r w:rsidR="004C5C60"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>,</w:t>
      </w:r>
      <w:r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 xml:space="preserve"> </w:t>
      </w:r>
      <w:r w:rsidR="00BE3AD3"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>și Rebeca Zugravu, Consultant Senior,</w:t>
      </w:r>
      <w:r w:rsidR="00297C5B"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 xml:space="preserve"> Taxare Directă, D</w:t>
      </w:r>
      <w:r w:rsidRPr="00675F5D">
        <w:rPr>
          <w:rFonts w:asciiTheme="majorHAnsi" w:hAnsiTheme="majorHAnsi" w:cstheme="majorHAnsi"/>
          <w:bCs/>
          <w:i/>
          <w:sz w:val="20"/>
          <w:szCs w:val="20"/>
          <w:lang w:val="ro-RO"/>
        </w:rPr>
        <w:t>eloitte România</w:t>
      </w:r>
    </w:p>
    <w:p w14:paraId="24FFCDC3" w14:textId="77777777" w:rsidR="004C5C60" w:rsidRPr="00675F5D" w:rsidRDefault="004C5C60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52482BC2" w14:textId="4D935025" w:rsidR="00325BBE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Proiectul 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lege care prevede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introducerea unei taxe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în România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asupra veniturilor obținute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furnizorii de servicii media audiovizuale la cerere, cum ar fi Netflix, HBO GO, Amazon Prime Video, Voyo, de la utilizatorii români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pentru 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vizionarea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>de filme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online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cunoscută drept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„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taxa Netflix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”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 fost adoptat </w:t>
      </w:r>
      <w:r w:rsidR="0060363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Camera Deputaților în data de 7 decembrie 2021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. Pentru a deveni lege, </w:t>
      </w:r>
      <w:r w:rsidR="00411C25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în următoarea etapă,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>proiectul trebuie să treacă de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Senat. 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>În varianta a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dopt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>ată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prima cameră sesizată, 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cot</w:t>
      </w:r>
      <w:r w:rsidR="00325BBE"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a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de impozitare </w:t>
      </w:r>
      <w:r w:rsidR="00325BBE"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propusă este de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2%, </w:t>
      </w:r>
      <w:r w:rsidR="00325BBE"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la jumătate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față de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cea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cuprinsă în forma inițială a proiectului de lege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>, respectiv 4%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10750773" w14:textId="00D00E84" w:rsidR="003D32AC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Baza la care s-ar aplica taxa de 2% este formată din veniturile obținute 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operatorii vizați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de la utilizatorii români, din tranzacții unice sau sub formă de abonament.</w:t>
      </w:r>
      <w:r w:rsidR="00AB608F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B215F" w:rsidRPr="00675F5D">
        <w:rPr>
          <w:rFonts w:asciiTheme="majorHAnsi" w:hAnsiTheme="majorHAnsi" w:cstheme="majorHAnsi"/>
          <w:sz w:val="20"/>
          <w:szCs w:val="20"/>
          <w:lang w:val="ro-RO"/>
        </w:rPr>
        <w:t>T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axa ar urma să se aplice și 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entităților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nerezidente,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care nu au filiale înregistrate în România. Pe de altă parte, p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latformele care obțin venituri anuale mai mici de 65.000 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euro sau au un nivel de audiență sub 1% raportat la numărul 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total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abonați 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>din Rom</w:t>
      </w:r>
      <w:r w:rsidR="008D3BF0" w:rsidRPr="00675F5D">
        <w:rPr>
          <w:rFonts w:asciiTheme="majorHAnsi" w:hAnsiTheme="majorHAnsi" w:cstheme="majorHAnsi"/>
          <w:sz w:val="20"/>
          <w:szCs w:val="20"/>
          <w:lang w:val="ro-RO"/>
        </w:rPr>
        <w:t>â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nia 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vor fi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excepta</w:t>
      </w:r>
      <w:r w:rsidR="00325BBE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te,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conform proiectului menționat. </w:t>
      </w:r>
    </w:p>
    <w:p w14:paraId="2D8D8982" w14:textId="2D8C5512" w:rsidR="00CD72B1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>Taxa se va achita la Centrul Național al Cinematografiei, iar o parte din fondurile astfel colectate (40%) pot merge către finanțarea directă a producției cinematografice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locale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31A34955" w14:textId="77777777" w:rsidR="004C5C60" w:rsidRPr="00675F5D" w:rsidRDefault="004C5C60" w:rsidP="00E4253C">
      <w:pPr>
        <w:spacing w:before="120" w:line="288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</w:p>
    <w:p w14:paraId="60AA75B7" w14:textId="6D8C1234" w:rsidR="00CD72B1" w:rsidRPr="00675F5D" w:rsidRDefault="00E127E9" w:rsidP="00E4253C">
      <w:pPr>
        <w:spacing w:before="120" w:line="288" w:lineRule="auto"/>
        <w:jc w:val="both"/>
        <w:rPr>
          <w:rFonts w:asciiTheme="majorHAnsi" w:hAnsiTheme="majorHAnsi" w:cstheme="majorHAnsi"/>
          <w:b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b/>
          <w:sz w:val="20"/>
          <w:szCs w:val="20"/>
          <w:lang w:val="ro-RO"/>
        </w:rPr>
        <w:t xml:space="preserve">Tendințe internaționale </w:t>
      </w:r>
      <w:r w:rsidR="002531A7" w:rsidRPr="00675F5D">
        <w:rPr>
          <w:rFonts w:asciiTheme="majorHAnsi" w:hAnsiTheme="majorHAnsi" w:cstheme="majorHAnsi"/>
          <w:b/>
          <w:sz w:val="20"/>
          <w:szCs w:val="20"/>
          <w:lang w:val="ro-RO"/>
        </w:rPr>
        <w:t>în impozitarea serviciilor digitale</w:t>
      </w:r>
    </w:p>
    <w:p w14:paraId="5970F7E7" w14:textId="09FC149D" w:rsidR="00CD72B1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Prin adoptarea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unei astfel de măsuri,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România se alătură unui număr relativ restrâns de țări care au impus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sau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sunt pe punctul de a impune 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o fiscalizare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>similară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asupra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veniturilor din 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>vizion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area </w:t>
      </w:r>
      <w:r w:rsidR="00FA1260" w:rsidRPr="00675F5D">
        <w:rPr>
          <w:rFonts w:asciiTheme="majorHAnsi" w:hAnsiTheme="majorHAnsi" w:cstheme="majorHAnsi"/>
          <w:sz w:val="20"/>
          <w:szCs w:val="20"/>
          <w:lang w:val="ro-RO"/>
        </w:rPr>
        <w:t>de filme</w:t>
      </w:r>
      <w:r w:rsidR="00AB608F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online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cum ar fi Portugalia, Polonia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sau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Canada.</w:t>
      </w:r>
    </w:p>
    <w:p w14:paraId="535D185B" w14:textId="1A4C6C51" w:rsidR="003D32AC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>Analizând argumentele aduse în nota de fundamentare a proiectului de lege, se remarcă o oarecare notă discriminatorie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față de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platformel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filme online. 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Inițiatorii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precizează că introducerea noii taxe este necesară 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>în contextul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încasărilor în scădere</w:t>
      </w:r>
      <w:r w:rsidRPr="00675F5D" w:rsidDel="00A469EE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la Fondul cinematografic, 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din cauza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restricțiilor 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legate de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pandemie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inclusiv închiderea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sălil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or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cinematograf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în timp ce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piața platformelor de filme online este în ascensiune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</w:p>
    <w:p w14:paraId="01F2B3A6" w14:textId="1817D3F5" w:rsidR="00E127E9" w:rsidRPr="00675F5D" w:rsidRDefault="003D32AC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>Odată cu progresul tehnologic, dar și pe măsura schimbării comportament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ului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consumatorilor 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în contextul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pandemiei de C</w:t>
      </w:r>
      <w:r w:rsidR="00CD72B1" w:rsidRPr="00675F5D">
        <w:rPr>
          <w:rFonts w:asciiTheme="majorHAnsi" w:hAnsiTheme="majorHAnsi" w:cstheme="majorHAnsi"/>
          <w:sz w:val="20"/>
          <w:szCs w:val="20"/>
          <w:lang w:val="ro-RO"/>
        </w:rPr>
        <w:t>OVID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-19, companiile care creează și distribuie conținut online au beneficiat de o creștere exponențială a vânzărilor. În acest context, era de așteptat ca statele să reacționeze prin direcționarea unor măsuri fiscale către aceste tipuri de companii. 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>„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Taxa Netflix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>”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1A0B05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este inspirată dintr-un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curent mai larg</w:t>
      </w:r>
      <w:r w:rsidR="008D3BF0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E127E9" w:rsidRPr="00675F5D">
        <w:rPr>
          <w:rFonts w:asciiTheme="majorHAnsi" w:hAnsiTheme="majorHAnsi" w:cstheme="majorHAnsi"/>
          <w:sz w:val="20"/>
          <w:szCs w:val="20"/>
          <w:lang w:val="ro-RO"/>
        </w:rPr>
        <w:t>existent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în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Uniun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>ea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Europe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n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, și anume taxa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pe serviciile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digital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p w14:paraId="79E66323" w14:textId="06C33D78" w:rsidR="003D32AC" w:rsidRPr="00675F5D" w:rsidRDefault="00DC166D" w:rsidP="00E4253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t>Totodată, l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a nivel internațional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jucătorii care obțin venituri din domeniul digital se află 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mai mulți ani în atenția autorităților fiscale, preocupate să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identific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>e soluții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echitabile de impozitare a profiturilor obținute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aceste companii care își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desfășoară activitatea 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>în mediul virtual și nu a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>u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prezență fizică 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în țara în care se află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consumatori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>i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>E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xistă jurisdicții care au introdus deja</w:t>
      </w:r>
      <w:r w:rsidR="00D84F1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sau aveau în plan să aplice,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unilateral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impozite pe serviciile digitale, fie asupra unui spectru mai larg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servicii digitale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(Franța, Spania, Italia, Marea Britanie) sau mai redus, cum ar fi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>„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taxa Netflix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>”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(propusă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în România),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dar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acestea vor fi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obligate să le elimine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în momentul în care recomandările O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rganizației pentru Cooperare și Dezvoltare Economică (O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CDE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), axate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prin cei doi piloni de impozitare a multinaționalelor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(impozitul minim pe profit la nivel global, de 15%, și mecanismul de distribuire a profiturilor în țările sursă)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vor fi adoptate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inclusiv </w:t>
      </w:r>
      <w:r w:rsidR="000B123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de către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România</w:t>
      </w:r>
      <w:r w:rsidR="003D32AC" w:rsidRPr="00675F5D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864C9FA" w14:textId="53ED37F4" w:rsidR="0042208C" w:rsidRPr="00675F5D" w:rsidRDefault="003D32AC" w:rsidP="00E4253C">
      <w:pPr>
        <w:spacing w:before="120" w:line="288" w:lineRule="auto"/>
        <w:jc w:val="both"/>
        <w:rPr>
          <w:lang w:val="ro-RO"/>
        </w:rPr>
      </w:pPr>
      <w:r w:rsidRPr="00675F5D">
        <w:rPr>
          <w:rFonts w:asciiTheme="majorHAnsi" w:hAnsiTheme="majorHAnsi" w:cstheme="majorHAnsi"/>
          <w:sz w:val="20"/>
          <w:szCs w:val="20"/>
          <w:lang w:val="ro-RO"/>
        </w:rPr>
        <w:lastRenderedPageBreak/>
        <w:t>În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tre timp, </w:t>
      </w:r>
      <w:r w:rsidR="00DC166D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pe plan local,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dacă proiectul de lege trece de </w:t>
      </w:r>
      <w:r w:rsidR="00A93AED">
        <w:rPr>
          <w:rFonts w:asciiTheme="majorHAnsi" w:hAnsiTheme="majorHAnsi" w:cstheme="majorHAnsi"/>
          <w:sz w:val="20"/>
          <w:szCs w:val="20"/>
          <w:lang w:val="ro-RO"/>
        </w:rPr>
        <w:t>P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arlament în forma actuală,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este de așteptat ca platformele de streaming 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video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să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fie nevoite să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se 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înregistreze fiscal în România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sau să desemneze un reprezenta</w:t>
      </w:r>
      <w:r w:rsidR="00A93AED">
        <w:rPr>
          <w:rFonts w:asciiTheme="majorHAnsi" w:hAnsiTheme="majorHAnsi" w:cstheme="majorHAnsi"/>
          <w:sz w:val="20"/>
          <w:szCs w:val="20"/>
          <w:lang w:val="ro-RO"/>
        </w:rPr>
        <w:t>n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t fiscal pentru efectuarea demersurilor de plată a acestei taxe în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țara noastră.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Mai mult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dat fiind că respectivele companii au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rezidența fiscală în alt stat, este posibil ca veniturile obținute din România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să fie </w:t>
      </w:r>
      <w:r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>dublu impozitate</w:t>
      </w:r>
      <w:r w:rsidR="005E36A6" w:rsidRPr="00675F5D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-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atât </w:t>
      </w:r>
      <w:r w:rsidR="002531A7" w:rsidRPr="00675F5D">
        <w:rPr>
          <w:rFonts w:asciiTheme="majorHAnsi" w:hAnsiTheme="majorHAnsi" w:cstheme="majorHAnsi"/>
          <w:sz w:val="20"/>
          <w:szCs w:val="20"/>
          <w:lang w:val="ro-RO"/>
        </w:rPr>
        <w:t>local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>prin nou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a taxă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dar și în </w:t>
      </w:r>
      <w:r w:rsidR="005E36A6" w:rsidRPr="00675F5D">
        <w:rPr>
          <w:rFonts w:asciiTheme="majorHAnsi" w:hAnsiTheme="majorHAnsi" w:cstheme="majorHAnsi"/>
          <w:sz w:val="20"/>
          <w:szCs w:val="20"/>
          <w:lang w:val="ro-RO"/>
        </w:rPr>
        <w:t>statul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de rezidență</w:t>
      </w:r>
      <w:r w:rsidR="004C5C60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-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1A0B05" w:rsidRPr="00675F5D">
        <w:rPr>
          <w:rFonts w:asciiTheme="majorHAnsi" w:hAnsiTheme="majorHAnsi" w:cstheme="majorHAnsi"/>
          <w:sz w:val="20"/>
          <w:szCs w:val="20"/>
          <w:lang w:val="ro-RO"/>
        </w:rPr>
        <w:t>astfel că apare necesitatea implementării unui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mecanism de compensare</w:t>
      </w:r>
      <w:r w:rsidR="001A0B05"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 în perioada imediat următoare</w:t>
      </w:r>
      <w:r w:rsidRPr="00675F5D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</w:p>
    <w:sectPr w:rsidR="0042208C" w:rsidRPr="00675F5D" w:rsidSect="00C619FC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692C" w14:textId="77777777" w:rsidR="00145990" w:rsidRDefault="00145990" w:rsidP="00B5449B">
      <w:r>
        <w:separator/>
      </w:r>
    </w:p>
  </w:endnote>
  <w:endnote w:type="continuationSeparator" w:id="0">
    <w:p w14:paraId="32B05638" w14:textId="77777777" w:rsidR="00145990" w:rsidRDefault="00145990" w:rsidP="00B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4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0BEEF6" w14:textId="47B58938" w:rsidR="00C20617" w:rsidRDefault="00164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DB05A5" w14:textId="77777777" w:rsidR="00C20617" w:rsidRDefault="00145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5E7A" w14:textId="77777777" w:rsidR="00145990" w:rsidRDefault="00145990" w:rsidP="00B5449B">
      <w:r>
        <w:separator/>
      </w:r>
    </w:p>
  </w:footnote>
  <w:footnote w:type="continuationSeparator" w:id="0">
    <w:p w14:paraId="5DAD366B" w14:textId="77777777" w:rsidR="00145990" w:rsidRDefault="00145990" w:rsidP="00B5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871F" w14:textId="77777777" w:rsidR="00C20617" w:rsidRDefault="00164227">
    <w:pPr>
      <w:pStyle w:val="Header"/>
    </w:pPr>
    <w:r w:rsidRPr="00BD5748">
      <w:rPr>
        <w:noProof/>
      </w:rPr>
      <w:drawing>
        <wp:anchor distT="0" distB="0" distL="114300" distR="114300" simplePos="0" relativeHeight="251659264" behindDoc="0" locked="0" layoutInCell="1" allowOverlap="1" wp14:anchorId="1B9BC638" wp14:editId="42101A93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736"/>
    <w:multiLevelType w:val="hybridMultilevel"/>
    <w:tmpl w:val="8228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44E"/>
    <w:multiLevelType w:val="hybridMultilevel"/>
    <w:tmpl w:val="F29010A6"/>
    <w:lvl w:ilvl="0" w:tplc="EE607E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F76"/>
    <w:multiLevelType w:val="hybridMultilevel"/>
    <w:tmpl w:val="6338B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3C"/>
    <w:rsid w:val="00015085"/>
    <w:rsid w:val="00040220"/>
    <w:rsid w:val="00070AA0"/>
    <w:rsid w:val="000B123D"/>
    <w:rsid w:val="000B5D30"/>
    <w:rsid w:val="000E7BB9"/>
    <w:rsid w:val="00117464"/>
    <w:rsid w:val="00135BBE"/>
    <w:rsid w:val="00140D5D"/>
    <w:rsid w:val="00145990"/>
    <w:rsid w:val="00160F56"/>
    <w:rsid w:val="00164227"/>
    <w:rsid w:val="001A0B05"/>
    <w:rsid w:val="002531A7"/>
    <w:rsid w:val="00281137"/>
    <w:rsid w:val="00297C5B"/>
    <w:rsid w:val="002D5B41"/>
    <w:rsid w:val="003148CB"/>
    <w:rsid w:val="00325BBE"/>
    <w:rsid w:val="003D32AC"/>
    <w:rsid w:val="003E450B"/>
    <w:rsid w:val="00400804"/>
    <w:rsid w:val="00406B3C"/>
    <w:rsid w:val="00411C25"/>
    <w:rsid w:val="0042208C"/>
    <w:rsid w:val="004A7144"/>
    <w:rsid w:val="004C5C60"/>
    <w:rsid w:val="004F4AAF"/>
    <w:rsid w:val="005350F1"/>
    <w:rsid w:val="00546E5A"/>
    <w:rsid w:val="00547616"/>
    <w:rsid w:val="00572E77"/>
    <w:rsid w:val="005E36A6"/>
    <w:rsid w:val="005E40DF"/>
    <w:rsid w:val="0060363E"/>
    <w:rsid w:val="00675F5D"/>
    <w:rsid w:val="006E3CEF"/>
    <w:rsid w:val="00702A0C"/>
    <w:rsid w:val="00724427"/>
    <w:rsid w:val="007647F0"/>
    <w:rsid w:val="00790AD7"/>
    <w:rsid w:val="007C3E6B"/>
    <w:rsid w:val="007D5680"/>
    <w:rsid w:val="007F565F"/>
    <w:rsid w:val="0082537F"/>
    <w:rsid w:val="00894E7F"/>
    <w:rsid w:val="008B480C"/>
    <w:rsid w:val="008D3BF0"/>
    <w:rsid w:val="008E39FC"/>
    <w:rsid w:val="009173DB"/>
    <w:rsid w:val="00922274"/>
    <w:rsid w:val="00945CC0"/>
    <w:rsid w:val="00966A50"/>
    <w:rsid w:val="009B146A"/>
    <w:rsid w:val="009C6A97"/>
    <w:rsid w:val="009F7BBC"/>
    <w:rsid w:val="00A049D7"/>
    <w:rsid w:val="00A469EE"/>
    <w:rsid w:val="00A60446"/>
    <w:rsid w:val="00A93AED"/>
    <w:rsid w:val="00AB608F"/>
    <w:rsid w:val="00AD05EC"/>
    <w:rsid w:val="00AE4E1A"/>
    <w:rsid w:val="00AF0BAC"/>
    <w:rsid w:val="00AF4EBD"/>
    <w:rsid w:val="00AF50CB"/>
    <w:rsid w:val="00AF5EF8"/>
    <w:rsid w:val="00B5449B"/>
    <w:rsid w:val="00BD5E87"/>
    <w:rsid w:val="00BE3AD3"/>
    <w:rsid w:val="00C161A5"/>
    <w:rsid w:val="00C30117"/>
    <w:rsid w:val="00CB215F"/>
    <w:rsid w:val="00CD72B1"/>
    <w:rsid w:val="00CE2989"/>
    <w:rsid w:val="00CE2B83"/>
    <w:rsid w:val="00D02E46"/>
    <w:rsid w:val="00D84F16"/>
    <w:rsid w:val="00DA372C"/>
    <w:rsid w:val="00DC166D"/>
    <w:rsid w:val="00E016BF"/>
    <w:rsid w:val="00E10FD6"/>
    <w:rsid w:val="00E127E9"/>
    <w:rsid w:val="00E4253C"/>
    <w:rsid w:val="00E462C7"/>
    <w:rsid w:val="00E615B6"/>
    <w:rsid w:val="00E95205"/>
    <w:rsid w:val="00EF7018"/>
    <w:rsid w:val="00F20CB9"/>
    <w:rsid w:val="00F23E62"/>
    <w:rsid w:val="00F540EB"/>
    <w:rsid w:val="00FA1260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E74D6"/>
  <w15:chartTrackingRefBased/>
  <w15:docId w15:val="{A2F3DE4A-3D41-4873-A69B-20A680A4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C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C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0E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D32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D32A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1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RO</dc:creator>
  <cp:keywords/>
  <dc:description/>
  <cp:lastModifiedBy>Codrina Apostol</cp:lastModifiedBy>
  <cp:revision>29</cp:revision>
  <dcterms:created xsi:type="dcterms:W3CDTF">2021-12-13T08:08:00Z</dcterms:created>
  <dcterms:modified xsi:type="dcterms:W3CDTF">2021-12-13T09:19:00Z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2021-12-05T19:39:47Z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784a5ab0-fdbb-4ebb-b456-78e61c5db834</vt:lpwstr>
  </property>
  <property fmtid="{D5CDD505-2E9C-101B-9397-08002B2CF9AE}" pid="8" name="MSIP_Label_ea60d57e-af5b-4752-ac57-3e4f28ca11dc_ContentBits">
    <vt:lpwstr>0</vt:lpwstr>
  </property>
</Properties>
</file>