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9CBD" w14:textId="3253BB12" w:rsidR="004D60D7" w:rsidRDefault="00E327EB" w:rsidP="005B1DA7">
      <w:pPr>
        <w:spacing w:before="120" w:line="264" w:lineRule="auto"/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sz w:val="24"/>
          <w:szCs w:val="24"/>
          <w:lang w:val="ro-RO"/>
        </w:rPr>
        <w:t>Provocări fiscale de final de an în industria auto –</w:t>
      </w:r>
      <w:r w:rsidR="00B324F1">
        <w:rPr>
          <w:rFonts w:asciiTheme="majorHAnsi" w:hAnsiTheme="majorHAnsi" w:cstheme="majorHAnsi"/>
          <w:b/>
          <w:sz w:val="24"/>
          <w:szCs w:val="24"/>
          <w:lang w:val="ro-RO"/>
        </w:rPr>
        <w:t xml:space="preserve"> obligații și oportunități </w:t>
      </w:r>
    </w:p>
    <w:p w14:paraId="150611BB" w14:textId="77777777" w:rsidR="006A1E89" w:rsidRDefault="006A1E89" w:rsidP="005B1DA7">
      <w:pPr>
        <w:spacing w:before="12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469CC6AB" w14:textId="13CCF87B" w:rsidR="00BB2DCF" w:rsidRPr="002A3470" w:rsidRDefault="004D60D7" w:rsidP="005B1DA7">
      <w:pPr>
        <w:spacing w:before="12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>Material de opinie de Elena Geageac, Senior Manager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 Impozitare D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>irect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ă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>, Victoria Dobre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 xml:space="preserve"> Senior Manager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 Impozitare I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>ndirect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ă,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ș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>i Adelina Grosu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 xml:space="preserve"> Senior Manager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 xml:space="preserve"> Pre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țuri de T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>ransfer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2A3470">
        <w:rPr>
          <w:rFonts w:asciiTheme="majorHAnsi" w:hAnsiTheme="majorHAnsi" w:cstheme="majorHAnsi"/>
          <w:i/>
          <w:sz w:val="20"/>
          <w:szCs w:val="20"/>
          <w:lang w:val="ro-RO"/>
        </w:rPr>
        <w:t xml:space="preserve"> Deloitte </w:t>
      </w:r>
      <w:r w:rsidR="006A1E89" w:rsidRPr="002A3470">
        <w:rPr>
          <w:rFonts w:asciiTheme="majorHAnsi" w:hAnsiTheme="majorHAnsi" w:cstheme="majorHAnsi"/>
          <w:i/>
          <w:sz w:val="20"/>
          <w:szCs w:val="20"/>
          <w:lang w:val="ro-RO"/>
        </w:rPr>
        <w:t>Rom</w:t>
      </w:r>
      <w:r w:rsidR="006A1E89">
        <w:rPr>
          <w:rFonts w:asciiTheme="majorHAnsi" w:hAnsiTheme="majorHAnsi" w:cstheme="majorHAnsi"/>
          <w:i/>
          <w:sz w:val="20"/>
          <w:szCs w:val="20"/>
          <w:lang w:val="ro-RO"/>
        </w:rPr>
        <w:t>â</w:t>
      </w:r>
      <w:r w:rsidR="006A1E89" w:rsidRPr="002A3470">
        <w:rPr>
          <w:rFonts w:asciiTheme="majorHAnsi" w:hAnsiTheme="majorHAnsi" w:cstheme="majorHAnsi"/>
          <w:i/>
          <w:sz w:val="20"/>
          <w:szCs w:val="20"/>
          <w:lang w:val="ro-RO"/>
        </w:rPr>
        <w:t>nia</w:t>
      </w:r>
    </w:p>
    <w:p w14:paraId="332373FC" w14:textId="77777777" w:rsidR="006A1E89" w:rsidRDefault="006A1E89" w:rsidP="005B1DA7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</w:p>
    <w:p w14:paraId="5924DF23" w14:textId="5234FB7A" w:rsidR="007E30BB" w:rsidRDefault="00BB2DCF" w:rsidP="005B1DA7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 final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ul fiecărui an, 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departamentele financiar-contabile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din cadrul companiilor 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se concentrează pe îndeplinirea obligațiilor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legate de 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declar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area și plata taxelor la bugetul de stat</w:t>
      </w:r>
      <w:r w:rsidR="0069619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. Însă, pentru conformare</w:t>
      </w:r>
      <w:r w:rsidR="006C549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fiscală </w:t>
      </w:r>
      <w:r w:rsidR="0069619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pentru optimizarea fluxului de numerar,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societățile comerciale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19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trebuie să deruleze o serie de operațiuni, cum ar fi inventarierea stocurilor, ajustarea voluntară a prețurilor de transfer, </w:t>
      </w:r>
      <w:r w:rsidR="006C549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unde este cazul, analizarea capitalurilor proprii în vederea aplicării unor bonificații sau </w:t>
      </w:r>
      <w:r w:rsidR="006C549C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r</w:t>
      </w:r>
      <w:r w:rsidR="006C549C"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evizuirea deducerii suplimentare a TVA aferentă achizițiilor</w:t>
      </w:r>
      <w:r w:rsidR="006C549C" w:rsidRPr="002A3470">
        <w:rPr>
          <w:rStyle w:val="Strong"/>
          <w:rFonts w:asciiTheme="majorHAnsi" w:hAnsiTheme="majorHAnsi" w:cstheme="majorHAnsi"/>
          <w:sz w:val="20"/>
          <w:szCs w:val="20"/>
          <w:lang w:val="ro-RO"/>
        </w:rPr>
        <w:t> </w:t>
      </w:r>
      <w:r w:rsidR="006C549C" w:rsidRPr="002A3470">
        <w:rPr>
          <w:rFonts w:asciiTheme="majorHAnsi" w:hAnsiTheme="majorHAnsi" w:cstheme="majorHAnsi"/>
          <w:sz w:val="20"/>
          <w:szCs w:val="20"/>
          <w:lang w:val="ro-RO"/>
        </w:rPr>
        <w:t>de la furnizori</w:t>
      </w:r>
      <w:r w:rsidR="006C549C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6C549C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declarați inactivi sau cu codul de TVA anulat</w:t>
      </w:r>
      <w:r w:rsidR="006C549C">
        <w:rPr>
          <w:rFonts w:asciiTheme="majorHAnsi" w:hAnsiTheme="majorHAnsi" w:cstheme="majorHAnsi"/>
          <w:sz w:val="20"/>
          <w:szCs w:val="20"/>
          <w:lang w:val="ro-RO"/>
        </w:rPr>
        <w:t>. A</w:t>
      </w:r>
      <w:r w:rsidR="006C549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ceste</w:t>
      </w:r>
      <w:r w:rsidR="007E30B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verificări ar trebui realizate periodic</w:t>
      </w:r>
      <w:r w:rsidR="006A1E89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</w:t>
      </w:r>
      <w:r w:rsidR="006C549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dar, de regulă,</w:t>
      </w:r>
      <w:r w:rsidR="007E30B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sunt amânate din cauza presiunilor cotidiene</w:t>
      </w:r>
      <w:r w:rsidR="006C549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, iar </w:t>
      </w:r>
      <w:r w:rsidR="007E30B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contribuabilii riscă să omită anumite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obligații de declarare</w:t>
      </w:r>
      <w:r w:rsidR="007E30B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și să rateze o serie de </w:t>
      </w:r>
      <w:r w:rsidR="004D60D7" w:rsidRPr="002A347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oportunități</w:t>
      </w:r>
      <w:r w:rsidR="007E30B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</w:t>
      </w:r>
    </w:p>
    <w:p w14:paraId="105AF247" w14:textId="482475E7" w:rsidR="004D60D7" w:rsidRPr="002A3470" w:rsidRDefault="007E30BB" w:rsidP="005B1DA7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Situația este valabilă pentru majoritatea companiilor, dar cele mai afectate sunt </w:t>
      </w:r>
      <w:r w:rsidR="00B324F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ele care fac parte din grupuri multinaționale, inclusiv cele din domeniul auto. </w:t>
      </w:r>
    </w:p>
    <w:p w14:paraId="5C03713D" w14:textId="77777777" w:rsidR="009448F5" w:rsidRDefault="009448F5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</w:pPr>
    </w:p>
    <w:p w14:paraId="0C0D476B" w14:textId="34DB4C1B" w:rsidR="004D60D7" w:rsidRPr="00696193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</w:pPr>
      <w:r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Inventarierea anuală și implicațiile sale</w:t>
      </w:r>
    </w:p>
    <w:p w14:paraId="74797B21" w14:textId="4DEA5027" w:rsidR="004D60D7" w:rsidRPr="002A3470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b w:val="0"/>
          <w:bCs w:val="0"/>
          <w:i/>
          <w:iCs/>
          <w:sz w:val="20"/>
          <w:szCs w:val="20"/>
          <w:lang w:val="ro-RO"/>
        </w:rPr>
      </w:pP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ntr-o industrie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 care stocurile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reprezintă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principalul activ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necesar 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 desf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urarea activit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ăț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ii economice, este de a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teptat ca</w:t>
      </w:r>
      <w:r w:rsidR="009448F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 urma procesului de inventariere anual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</w:t>
      </w:r>
      <w:r w:rsidR="009448F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s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rezulte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valori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materiale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care trebuie analizate cu 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a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tenție de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departamentele financiar-contabile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. În acest sens,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este bine de 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tiut c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exist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multiple situa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ț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ii 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 care 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lipsurile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la inventar nu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sunt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considerate 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automat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nedeductibile din perspectiva impozitului pe profit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. Este cazul minusurilor care rezultă din cauza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unor erori de comunicare 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ntre sistemele de gestiune a stocurilor 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i sistemele financiar-contabile. 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Exemplele de acest gen pot continua și, de aceea, contribuabilii trebuie să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analiz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eze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riguros fiec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are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situa</w:t>
      </w:r>
      <w:r w:rsidR="000A422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ț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i</w:t>
      </w:r>
      <w:r w:rsidR="00AD2CBC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e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care</w:t>
      </w:r>
      <w:r w:rsidR="00C44C92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gener</w:t>
      </w:r>
      <w:r w:rsidR="00C44C92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ează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="00C44C92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lipsuri în inventar.</w:t>
      </w:r>
    </w:p>
    <w:p w14:paraId="7375A815" w14:textId="71671FF1" w:rsidR="004D60D7" w:rsidRPr="007E30BB" w:rsidRDefault="004D60D7" w:rsidP="005B1DA7">
      <w:pPr>
        <w:shd w:val="clear" w:color="auto" w:fill="FFFFFF"/>
        <w:spacing w:before="12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val="ro-RO"/>
        </w:rPr>
      </w:pP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>Din perspectiva TVA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>,</w:t>
      </w:r>
      <w:r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</w:t>
      </w:r>
      <w:r w:rsidR="00C44C92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de asemenea, este </w:t>
      </w:r>
      <w:r w:rsidR="00C44C92"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esențială realizarea unei </w:t>
      </w:r>
      <w:r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>analiz</w:t>
      </w:r>
      <w:r w:rsidR="00C44C92"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>e cu privire la</w:t>
      </w:r>
      <w:r w:rsidR="00C44C92" w:rsidRPr="00B324F1" w:rsidDel="00C44C92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obligațiil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e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 de ajustare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 sau de 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auto</w:t>
      </w:r>
      <w:r w:rsidR="007E30BB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-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colectare 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în cazul 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bunuril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or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 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care 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lips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esc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 din inventar</w:t>
      </w:r>
      <w:r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sau </w:t>
      </w:r>
      <w:r w:rsidR="00C44C92"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>l</w:t>
      </w:r>
      <w:r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>a cel</w:t>
      </w:r>
      <w:r w:rsidR="00C44C92" w:rsidRPr="00E327EB">
        <w:rPr>
          <w:rFonts w:asciiTheme="majorHAnsi" w:eastAsia="Times New Roman" w:hAnsiTheme="majorHAnsi" w:cstheme="majorHAnsi"/>
          <w:sz w:val="20"/>
          <w:szCs w:val="20"/>
          <w:lang w:val="ro-RO"/>
        </w:rPr>
        <w:t>e</w:t>
      </w:r>
      <w:r w:rsidRPr="00B324F1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ce pot </w:t>
      </w:r>
      <w:r w:rsidR="00C44C92" w:rsidRPr="00B324F1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să apară ca urmare a 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pierderil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or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 tehnologice și 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a 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consumul</w:t>
      </w:r>
      <w:r w:rsidR="00C44C92"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>ui</w:t>
      </w:r>
      <w:r w:rsidRPr="00696193">
        <w:rPr>
          <w:rFonts w:asciiTheme="majorHAnsi" w:eastAsia="Times New Roman" w:hAnsiTheme="majorHAnsi" w:cstheme="majorHAnsi"/>
          <w:bCs/>
          <w:sz w:val="20"/>
          <w:szCs w:val="20"/>
          <w:lang w:val="ro-RO"/>
        </w:rPr>
        <w:t xml:space="preserve"> propriu</w:t>
      </w:r>
      <w:r w:rsidRPr="007E30BB">
        <w:rPr>
          <w:rFonts w:asciiTheme="majorHAnsi" w:eastAsia="Times New Roman" w:hAnsiTheme="majorHAnsi" w:cstheme="majorHAnsi"/>
          <w:sz w:val="20"/>
          <w:szCs w:val="20"/>
          <w:lang w:val="ro-RO"/>
        </w:rPr>
        <w:t>.</w:t>
      </w:r>
      <w:r w:rsidR="000A422E" w:rsidRPr="007E30BB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</w:t>
      </w:r>
    </w:p>
    <w:p w14:paraId="03BE1AA7" w14:textId="3392BB24" w:rsidR="004D60D7" w:rsidRPr="002A3470" w:rsidRDefault="004D60D7" w:rsidP="005B1DA7">
      <w:pPr>
        <w:shd w:val="clear" w:color="auto" w:fill="FFFFFF"/>
        <w:spacing w:before="12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val="ro-RO"/>
        </w:rPr>
      </w:pPr>
      <w:r>
        <w:rPr>
          <w:rFonts w:asciiTheme="majorHAnsi" w:eastAsia="Times New Roman" w:hAnsiTheme="majorHAnsi" w:cstheme="majorHAnsi"/>
          <w:sz w:val="20"/>
          <w:szCs w:val="20"/>
          <w:lang w:val="ro-RO"/>
        </w:rPr>
        <w:t>Î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n cadrul inspecțiilor fiscale, autoritățile 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acordă o atenție sporită 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unor astfel de 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>aspecte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și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>,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de cele mai multe ori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>,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>concluzia acestora este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defavo</w:t>
      </w:r>
      <w:r w:rsidR="000A422E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rabilă </w:t>
      </w:r>
      <w:r w:rsidRPr="002A3470">
        <w:rPr>
          <w:rFonts w:asciiTheme="majorHAnsi" w:eastAsia="Times New Roman" w:hAnsiTheme="majorHAnsi" w:cstheme="majorHAnsi"/>
          <w:sz w:val="20"/>
          <w:szCs w:val="20"/>
          <w:lang w:val="ro-RO"/>
        </w:rPr>
        <w:t>contribuabililor.</w:t>
      </w:r>
    </w:p>
    <w:p w14:paraId="1482B36A" w14:textId="77777777" w:rsidR="009448F5" w:rsidRDefault="009448F5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</w:pPr>
    </w:p>
    <w:p w14:paraId="2F11373C" w14:textId="3111D770" w:rsidR="004D60D7" w:rsidRPr="00696193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</w:pPr>
      <w:r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Ajust</w:t>
      </w:r>
      <w:r w:rsidR="000A422E"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ă</w:t>
      </w:r>
      <w:r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ri din perspectiva pre</w:t>
      </w:r>
      <w:r w:rsidR="000A422E"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ț</w:t>
      </w:r>
      <w:r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urilor de transfer</w:t>
      </w:r>
    </w:p>
    <w:p w14:paraId="4280C5F9" w14:textId="19D55BF0" w:rsidR="004D60D7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Pregătirea dosarului de prețuri de transfer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reprezintă un moment potrivit pentru a verifica</w:t>
      </w:r>
      <w:r w:rsidR="000A422E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pe baza unor studii de piață actualizate, dacă prețurile de transfer practicate de contribuabili în anul fiscal </w:t>
      </w:r>
      <w:r w:rsidR="000A422E">
        <w:rPr>
          <w:rFonts w:asciiTheme="majorHAnsi" w:hAnsiTheme="majorHAnsi" w:cstheme="majorHAnsi"/>
          <w:sz w:val="20"/>
          <w:szCs w:val="20"/>
          <w:lang w:val="ro-RO"/>
        </w:rPr>
        <w:t>pentru care se face raportarea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sunt la nivelul pieței.</w:t>
      </w:r>
    </w:p>
    <w:p w14:paraId="560F54F2" w14:textId="55A06696" w:rsidR="00B20BBB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Având în vedere </w:t>
      </w:r>
      <w:r w:rsidRPr="00FB68F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impactul fiscal important pe care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prețurile de transfer</w:t>
      </w:r>
      <w:r w:rsidRPr="00FB68F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îl au asupra impozitelor și taxelor plătite de contribuabili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="000A422E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dacă, în urma verificărilor,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se constată că acestea nu se situează în </w:t>
      </w:r>
      <w:r w:rsidRPr="008D3ED8">
        <w:rPr>
          <w:rFonts w:asciiTheme="majorHAnsi" w:hAnsiTheme="majorHAnsi" w:cstheme="majorHAnsi"/>
          <w:sz w:val="20"/>
          <w:szCs w:val="20"/>
          <w:lang w:val="ro-RO"/>
        </w:rPr>
        <w:t xml:space="preserve">intervalul </w:t>
      </w:r>
      <w:r w:rsidR="00C44C92">
        <w:rPr>
          <w:rFonts w:asciiTheme="majorHAnsi" w:hAnsiTheme="majorHAnsi" w:cstheme="majorHAnsi"/>
          <w:sz w:val="20"/>
          <w:szCs w:val="20"/>
          <w:lang w:val="ro-RO"/>
        </w:rPr>
        <w:t xml:space="preserve">stabilit </w:t>
      </w:r>
      <w:r w:rsidRPr="008D3ED8">
        <w:rPr>
          <w:rFonts w:asciiTheme="majorHAnsi" w:hAnsiTheme="majorHAnsi" w:cstheme="majorHAnsi"/>
          <w:sz w:val="20"/>
          <w:szCs w:val="20"/>
          <w:lang w:val="ro-RO"/>
        </w:rPr>
        <w:t>de piață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 xml:space="preserve">se </w:t>
      </w:r>
      <w:r>
        <w:rPr>
          <w:rFonts w:asciiTheme="majorHAnsi" w:hAnsiTheme="majorHAnsi" w:cstheme="majorHAnsi"/>
          <w:sz w:val="20"/>
          <w:szCs w:val="20"/>
          <w:lang w:val="ro-RO"/>
        </w:rPr>
        <w:t>recomandă efectuarea de ajustări voluntare de prețuri de transfer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>, înainte de depunerea declarației de impozit pe profit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Ajustările voluntare pot fi 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>aplicate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asupra prețului bunurilor sau serviciilor sau asupra profitabilității obținute din tranzacțiile intra-grup, în cursul sau la sfârșitul anului fiscal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>.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Deși legislația locală nu conține prevederi specifice cu privire la modu</w:t>
      </w:r>
      <w:r w:rsidR="00C44C92">
        <w:rPr>
          <w:rFonts w:asciiTheme="majorHAnsi" w:hAnsiTheme="majorHAnsi" w:cstheme="majorHAnsi"/>
          <w:sz w:val="20"/>
          <w:szCs w:val="20"/>
          <w:lang w:val="ro-RO"/>
        </w:rPr>
        <w:t>l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44C92">
        <w:rPr>
          <w:rFonts w:asciiTheme="majorHAnsi" w:hAnsiTheme="majorHAnsi" w:cstheme="majorHAnsi"/>
          <w:sz w:val="20"/>
          <w:szCs w:val="20"/>
          <w:lang w:val="ro-RO"/>
        </w:rPr>
        <w:t xml:space="preserve">în care se </w:t>
      </w:r>
      <w:r>
        <w:rPr>
          <w:rFonts w:asciiTheme="majorHAnsi" w:hAnsiTheme="majorHAnsi" w:cstheme="majorHAnsi"/>
          <w:sz w:val="20"/>
          <w:szCs w:val="20"/>
          <w:lang w:val="ro-RO"/>
        </w:rPr>
        <w:t>opere</w:t>
      </w:r>
      <w:r w:rsidR="00C44C92">
        <w:rPr>
          <w:rFonts w:asciiTheme="majorHAnsi" w:hAnsiTheme="majorHAnsi" w:cstheme="majorHAnsi"/>
          <w:sz w:val="20"/>
          <w:szCs w:val="20"/>
          <w:lang w:val="ro-RO"/>
        </w:rPr>
        <w:t>ază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și implement</w:t>
      </w:r>
      <w:r w:rsidR="00C44C92">
        <w:rPr>
          <w:rFonts w:asciiTheme="majorHAnsi" w:hAnsiTheme="majorHAnsi" w:cstheme="majorHAnsi"/>
          <w:sz w:val="20"/>
          <w:szCs w:val="20"/>
          <w:lang w:val="ro-RO"/>
        </w:rPr>
        <w:t>ează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ajustăril</w:t>
      </w:r>
      <w:r w:rsidR="008D3ED8">
        <w:rPr>
          <w:rFonts w:asciiTheme="majorHAnsi" w:hAnsiTheme="majorHAnsi" w:cstheme="majorHAnsi"/>
          <w:sz w:val="20"/>
          <w:szCs w:val="20"/>
          <w:lang w:val="ro-RO"/>
        </w:rPr>
        <w:t>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voluntare de prețuri de transfer, acestea sunt acceptate în practică de autoritățile fiscale dacă sunt documentate corespunzător. </w:t>
      </w:r>
    </w:p>
    <w:p w14:paraId="081FD7C5" w14:textId="24F61A66" w:rsidR="00B20BBB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Opțiunea de a efectua </w:t>
      </w:r>
      <w:r w:rsidR="008D3ED8">
        <w:rPr>
          <w:rFonts w:asciiTheme="majorHAnsi" w:hAnsiTheme="majorHAnsi" w:cstheme="majorHAnsi"/>
          <w:sz w:val="20"/>
          <w:szCs w:val="20"/>
          <w:lang w:val="ro-RO"/>
        </w:rPr>
        <w:t xml:space="preserve">astfel de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ajustări prezintă 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 xml:space="preserve">anumite </w:t>
      </w:r>
      <w:r>
        <w:rPr>
          <w:rFonts w:asciiTheme="majorHAnsi" w:hAnsiTheme="majorHAnsi" w:cstheme="majorHAnsi"/>
          <w:sz w:val="20"/>
          <w:szCs w:val="20"/>
          <w:lang w:val="ro-RO"/>
        </w:rPr>
        <w:t>beneficii pentru contribuabili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>. În primul rând</w:t>
      </w:r>
      <w:r w:rsidR="009448F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>
        <w:rPr>
          <w:rFonts w:asciiTheme="majorHAnsi" w:hAnsiTheme="majorHAnsi" w:cstheme="majorHAnsi"/>
          <w:sz w:val="20"/>
          <w:szCs w:val="20"/>
          <w:lang w:val="ro-RO"/>
        </w:rPr>
        <w:t>cestea pot fi operate de contribuabili la orice nivel în cadrul intervalului de piață. Astfel</w:t>
      </w:r>
      <w:r w:rsidR="009448F5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contribuabilii pot aloca profituril</w:t>
      </w:r>
      <w:r w:rsidR="00E44380">
        <w:rPr>
          <w:rFonts w:asciiTheme="majorHAnsi" w:hAnsiTheme="majorHAnsi" w:cstheme="majorHAnsi"/>
          <w:sz w:val="20"/>
          <w:szCs w:val="20"/>
          <w:lang w:val="ro-RO"/>
        </w:rPr>
        <w:t>e corespu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nzător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între persoanele afiliate, în funcție de profilul funcțional, particularitățile afacerii și ale pieței în </w:t>
      </w:r>
      <w:r>
        <w:rPr>
          <w:rFonts w:asciiTheme="majorHAnsi" w:hAnsiTheme="majorHAnsi" w:cstheme="majorHAnsi"/>
          <w:sz w:val="20"/>
          <w:szCs w:val="20"/>
          <w:lang w:val="ro-RO"/>
        </w:rPr>
        <w:lastRenderedPageBreak/>
        <w:t xml:space="preserve">care </w:t>
      </w:r>
      <w:r w:rsidR="008D3ED8">
        <w:rPr>
          <w:rFonts w:asciiTheme="majorHAnsi" w:hAnsiTheme="majorHAnsi" w:cstheme="majorHAnsi"/>
          <w:sz w:val="20"/>
          <w:szCs w:val="20"/>
          <w:lang w:val="ro-RO"/>
        </w:rPr>
        <w:t>activează</w:t>
      </w:r>
      <w:r>
        <w:rPr>
          <w:rFonts w:asciiTheme="majorHAnsi" w:hAnsiTheme="majorHAnsi" w:cstheme="majorHAnsi"/>
          <w:sz w:val="20"/>
          <w:szCs w:val="20"/>
          <w:lang w:val="ro-RO"/>
        </w:rPr>
        <w:t>. Conform legii, într-o inspecție fiscal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9448F5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autoritățile vor efectua întotdeauna ajustări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>le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de prețuri de transfer la </w:t>
      </w:r>
      <w:r w:rsidR="0073216F">
        <w:rPr>
          <w:rFonts w:asciiTheme="majorHAnsi" w:hAnsiTheme="majorHAnsi" w:cstheme="majorHAnsi"/>
          <w:sz w:val="20"/>
          <w:szCs w:val="20"/>
          <w:lang w:val="ro-RO"/>
        </w:rPr>
        <w:t xml:space="preserve">tendința centrală a pieței. 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>În al doilea rând, prin acest</w:t>
      </w:r>
      <w:r w:rsidR="009448F5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 operațiuni</w:t>
      </w:r>
      <w:r w:rsidR="009448F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 contribuabilul reduce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riscul 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ca ANAF să aplice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potențiale ajustări 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în cadrul </w:t>
      </w:r>
      <w:r>
        <w:rPr>
          <w:rFonts w:asciiTheme="majorHAnsi" w:hAnsiTheme="majorHAnsi" w:cstheme="majorHAnsi"/>
          <w:sz w:val="20"/>
          <w:szCs w:val="20"/>
          <w:lang w:val="ro-RO"/>
        </w:rPr>
        <w:t>inspecți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>ilor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viitoare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 și, implicit, </w:t>
      </w:r>
      <w:r>
        <w:rPr>
          <w:rFonts w:asciiTheme="majorHAnsi" w:hAnsiTheme="majorHAnsi" w:cstheme="majorHAnsi"/>
          <w:sz w:val="20"/>
          <w:szCs w:val="20"/>
          <w:lang w:val="ro-RO"/>
        </w:rPr>
        <w:t>impactul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 unor astfel de dispoziții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asupra fluxurilor de numerar, indicatorilor de performanță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deciziilor de afaceri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 xml:space="preserve"> etc.</w:t>
      </w:r>
    </w:p>
    <w:p w14:paraId="4B967EB8" w14:textId="2F829934" w:rsidR="004D60D7" w:rsidRPr="002A3470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De cele mai multe ori,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aceste 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>aju</w:t>
      </w:r>
      <w:r>
        <w:rPr>
          <w:rFonts w:asciiTheme="majorHAnsi" w:hAnsiTheme="majorHAnsi" w:cstheme="majorHAnsi"/>
          <w:sz w:val="20"/>
          <w:szCs w:val="20"/>
          <w:lang w:val="ro-RO"/>
        </w:rPr>
        <w:t>s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>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>ri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>pot influența și cuantumul taxelor vamale sau a</w:t>
      </w:r>
      <w:r w:rsidR="00B20BBB">
        <w:rPr>
          <w:rFonts w:asciiTheme="majorHAnsi" w:hAnsiTheme="majorHAnsi" w:cstheme="majorHAnsi"/>
          <w:sz w:val="20"/>
          <w:szCs w:val="20"/>
          <w:lang w:val="ro-RO"/>
        </w:rPr>
        <w:t>l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TVA</w:t>
      </w:r>
      <w:r w:rsidR="008D3ED8">
        <w:rPr>
          <w:rFonts w:asciiTheme="majorHAnsi" w:hAnsiTheme="majorHAnsi" w:cstheme="majorHAnsi"/>
          <w:sz w:val="20"/>
          <w:szCs w:val="20"/>
          <w:lang w:val="ro-RO"/>
        </w:rPr>
        <w:t>, astfel că orice contribuabil</w:t>
      </w:r>
      <w:r w:rsidR="00713235">
        <w:rPr>
          <w:rFonts w:asciiTheme="majorHAnsi" w:hAnsiTheme="majorHAnsi" w:cstheme="majorHAnsi"/>
          <w:sz w:val="20"/>
          <w:szCs w:val="20"/>
          <w:lang w:val="ro-RO"/>
        </w:rPr>
        <w:t xml:space="preserve"> trebuie să analizeze individual f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>iecare situație</w:t>
      </w:r>
      <w:r w:rsidR="00713235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>în funcție de specif</w:t>
      </w:r>
      <w:r>
        <w:rPr>
          <w:rFonts w:asciiTheme="majorHAnsi" w:hAnsiTheme="majorHAnsi" w:cstheme="majorHAnsi"/>
          <w:sz w:val="20"/>
          <w:szCs w:val="20"/>
          <w:lang w:val="ro-RO"/>
        </w:rPr>
        <w:t>icul său</w:t>
      </w:r>
      <w:r w:rsidR="00713235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iar ulterior să se asigure c</w:t>
      </w:r>
      <w:r w:rsidR="00713235">
        <w:rPr>
          <w:rFonts w:asciiTheme="majorHAnsi" w:hAnsiTheme="majorHAnsi" w:cstheme="majorHAnsi"/>
          <w:sz w:val="20"/>
          <w:szCs w:val="20"/>
          <w:lang w:val="ro-RO"/>
        </w:rPr>
        <w:t>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toate obligațiile </w:t>
      </w:r>
      <w:r w:rsidR="008D3ED8">
        <w:rPr>
          <w:rFonts w:asciiTheme="majorHAnsi" w:hAnsiTheme="majorHAnsi" w:cstheme="majorHAnsi"/>
          <w:sz w:val="20"/>
          <w:szCs w:val="20"/>
          <w:lang w:val="ro-RO"/>
        </w:rPr>
        <w:t xml:space="preserve">fiscale </w:t>
      </w:r>
      <w:r>
        <w:rPr>
          <w:rFonts w:asciiTheme="majorHAnsi" w:hAnsiTheme="majorHAnsi" w:cstheme="majorHAnsi"/>
          <w:sz w:val="20"/>
          <w:szCs w:val="20"/>
          <w:lang w:val="ro-RO"/>
        </w:rPr>
        <w:t>generate au fost stinse.</w:t>
      </w:r>
    </w:p>
    <w:p w14:paraId="3BA3E09A" w14:textId="77777777" w:rsidR="009448F5" w:rsidRDefault="009448F5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</w:pPr>
    </w:p>
    <w:p w14:paraId="6788300F" w14:textId="105F85FC" w:rsidR="004D60D7" w:rsidRPr="00696193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</w:pPr>
      <w:r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Verificările esențiale din perspectiv</w:t>
      </w:r>
      <w:r w:rsidR="00713235"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>ă</w:t>
      </w:r>
      <w:r w:rsidRPr="00696193">
        <w:rPr>
          <w:rStyle w:val="Strong"/>
          <w:rFonts w:asciiTheme="majorHAnsi" w:hAnsiTheme="majorHAnsi" w:cstheme="majorHAnsi"/>
          <w:iCs/>
          <w:sz w:val="20"/>
          <w:szCs w:val="20"/>
          <w:lang w:val="ro-RO"/>
        </w:rPr>
        <w:t xml:space="preserve"> fiscală</w:t>
      </w:r>
    </w:p>
    <w:p w14:paraId="6EA899C5" w14:textId="18EC356F" w:rsidR="004D60D7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</w:pP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Una dintre </w:t>
      </w:r>
      <w:hyperlink r:id="rId7" w:history="1">
        <w:r w:rsidRPr="004920C9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verific</w:t>
        </w:r>
        <w:r w:rsidR="008D3ED8" w:rsidRPr="004920C9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ă</w:t>
        </w:r>
        <w:r w:rsidRPr="004920C9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rile esen</w:t>
        </w:r>
        <w:r w:rsidR="008D3ED8" w:rsidRPr="004920C9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ț</w:t>
        </w:r>
        <w:r w:rsidRPr="004920C9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iale</w:t>
        </w:r>
      </w:hyperlink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i cu un poten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ț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ial impact pozitiv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 </w:t>
      </w:r>
      <w:r w:rsidR="008D3ED8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fluxul de numerar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ar fi analiza capitalurilor proprii,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dat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fiind faptul c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ă,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ncep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â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nd cu exerci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ț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iul de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nchidere </w:t>
      </w:r>
      <w:r w:rsidR="008D3ED8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pentru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impozit</w:t>
      </w:r>
      <w:r w:rsidR="008D3ED8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ul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pe profit aferent anului financiar 2021, companiile pot opta pentru aplicarea unor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reduceri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importante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de impozit pe profit.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Acestea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pot ajunge chiar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i la 12%</w:t>
      </w:r>
      <w:r w:rsidR="009448F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 cazul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n care capitalurile proprii au 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î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nregistrat cre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ș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teri fa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ță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de anul anterior.</w:t>
      </w:r>
    </w:p>
    <w:p w14:paraId="142F1313" w14:textId="79E0D7CB" w:rsidR="004D60D7" w:rsidRPr="003F2B8F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Style w:val="Strong"/>
          <w:rFonts w:asciiTheme="majorHAnsi" w:eastAsiaTheme="minorHAnsi" w:hAnsiTheme="majorHAnsi" w:cstheme="majorHAnsi"/>
          <w:b w:val="0"/>
          <w:bCs w:val="0"/>
          <w:sz w:val="20"/>
          <w:szCs w:val="20"/>
          <w:lang w:val="ro-RO"/>
        </w:rPr>
      </w:pP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O alt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ă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verificare esențială din perspectiva pregătirii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raportării de final de an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 cu impact în zona deductibilității cheltuielilor și a prețurilor de transfer</w:t>
      </w:r>
      <w:r w:rsidR="0071323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vizează 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cantitatea de informații d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eținut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e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pentru documentarea tranzacțiilor transfrontaliere (cu precădere) 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care implică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servicii </w:t>
      </w:r>
      <w:r w:rsidR="008D3ED8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prestate pentru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contribuabili de persoane afiliate. În acest caz, în plus față de testarea marjelor de profitabilitate, la finalul fiecărui an fiscal</w:t>
      </w:r>
      <w:r w:rsidR="009448F5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,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companiile trebuie să se asigure că d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ispun de suficiente informații și documente suport pentru a demonstra prestarea efectivă a serviciilor și beneficiul obținut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, dar și datele necesare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cu privire la 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prețurile plătite pentru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serviciil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>e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 primite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. </w:t>
      </w:r>
      <w:r w:rsidRPr="003F2B8F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Dacă astfel de informații nu au fost colectate și menținute în timpul anului, </w:t>
      </w:r>
      <w:r w:rsidR="00E54CAE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trebuie obținute de la </w:t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ro-RO"/>
        </w:rPr>
        <w:t xml:space="preserve">persoanele afiliate. </w:t>
      </w:r>
    </w:p>
    <w:p w14:paraId="6CFB8655" w14:textId="59A0C793" w:rsidR="004D60D7" w:rsidRPr="002A3470" w:rsidRDefault="000E189E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Revizuirea d</w:t>
      </w:r>
      <w:r w:rsidR="004D60D7"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educe</w:t>
      </w:r>
      <w:r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 xml:space="preserve">rii </w:t>
      </w:r>
      <w:r w:rsidR="004D60D7"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suplimentar</w:t>
      </w:r>
      <w:r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e</w:t>
      </w:r>
      <w:r w:rsidR="004D60D7"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 xml:space="preserve"> a TVA aferent</w:t>
      </w:r>
      <w:r w:rsidR="00713235"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ă</w:t>
      </w:r>
      <w:r w:rsidR="004D60D7" w:rsidRPr="00696193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 xml:space="preserve"> achizițiilor</w:t>
      </w:r>
      <w:r w:rsidR="004D60D7" w:rsidRPr="002A3470">
        <w:rPr>
          <w:rStyle w:val="Strong"/>
          <w:rFonts w:asciiTheme="majorHAnsi" w:hAnsiTheme="majorHAnsi" w:cstheme="majorHAnsi"/>
          <w:sz w:val="20"/>
          <w:szCs w:val="20"/>
          <w:lang w:val="ro-RO"/>
        </w:rPr>
        <w:t> 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>de la furnizori</w:t>
      </w:r>
      <w:r w:rsidR="00713235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declarați inactivi sau cu codul de TVA anulat </w:t>
      </w:r>
      <w:r w:rsidR="00E54CAE">
        <w:rPr>
          <w:rFonts w:asciiTheme="majorHAnsi" w:hAnsiTheme="majorHAnsi" w:cstheme="majorHAnsi"/>
          <w:sz w:val="20"/>
          <w:szCs w:val="20"/>
          <w:lang w:val="ro-RO"/>
        </w:rPr>
        <w:t xml:space="preserve">reprezintă, de asemenea, 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o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acțiune care 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>ar trebui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întreprinsă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cel puțin la final de an</w:t>
      </w:r>
      <w:r w:rsidR="001D2FA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dac</w:t>
      </w:r>
      <w:r w:rsidR="008B4E8E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nu cu o recuren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>ță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lunar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B4E8E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85D6132" w14:textId="475E4DDB" w:rsidR="004D60D7" w:rsidRDefault="004D60D7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2A3470">
        <w:rPr>
          <w:rFonts w:asciiTheme="majorHAnsi" w:hAnsiTheme="majorHAnsi" w:cstheme="majorHAnsi"/>
          <w:sz w:val="20"/>
          <w:szCs w:val="20"/>
          <w:lang w:val="ro-RO"/>
        </w:rPr>
        <w:t>Finalul anului este și un moment ideal pentru </w:t>
      </w:r>
      <w:r w:rsidRPr="00E327EB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Pr="00696193">
        <w:rPr>
          <w:rFonts w:asciiTheme="majorHAnsi" w:hAnsiTheme="majorHAnsi" w:cstheme="majorHAnsi"/>
          <w:bCs/>
          <w:sz w:val="20"/>
          <w:szCs w:val="20"/>
          <w:lang w:val="ro-RO"/>
        </w:rPr>
        <w:t>analiza retrospectiv operațiunile desfășurate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. De exemplu, </w:t>
      </w:r>
      <w:r w:rsidR="000E189E">
        <w:rPr>
          <w:rFonts w:asciiTheme="majorHAnsi" w:hAnsiTheme="majorHAnsi" w:cstheme="majorHAnsi"/>
          <w:sz w:val="20"/>
          <w:szCs w:val="20"/>
          <w:lang w:val="ro-RO"/>
        </w:rPr>
        <w:t xml:space="preserve">companiile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pot </w:t>
      </w:r>
      <w:r w:rsidR="001271E4">
        <w:rPr>
          <w:rFonts w:asciiTheme="majorHAnsi" w:hAnsiTheme="majorHAnsi" w:cstheme="majorHAnsi"/>
          <w:sz w:val="20"/>
          <w:szCs w:val="20"/>
          <w:lang w:val="ro-RO"/>
        </w:rPr>
        <w:t>realiza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verificări </w:t>
      </w:r>
      <w:r w:rsidR="000E189E">
        <w:rPr>
          <w:rFonts w:asciiTheme="majorHAnsi" w:hAnsiTheme="majorHAnsi" w:cstheme="majorHAnsi"/>
          <w:sz w:val="20"/>
          <w:szCs w:val="20"/>
          <w:lang w:val="ro-RO"/>
        </w:rPr>
        <w:t>temeinice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privind furnizorii pentru a </w:t>
      </w:r>
      <w:r>
        <w:rPr>
          <w:rFonts w:asciiTheme="majorHAnsi" w:hAnsiTheme="majorHAnsi" w:cstheme="majorHAnsi"/>
          <w:sz w:val="20"/>
          <w:szCs w:val="20"/>
          <w:lang w:val="ro-RO"/>
        </w:rPr>
        <w:t>evita situațiile în care aceștia</w:t>
      </w:r>
      <w:r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sunt implicați în potențiale activități frauduloase. </w:t>
      </w:r>
    </w:p>
    <w:p w14:paraId="6127456D" w14:textId="022EABDB" w:rsidR="00BA4E3B" w:rsidRDefault="000E189E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La rândul lor, c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 xml:space="preserve">ontribuabilii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care derulează 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>operațiuni scutite cu drept de deducere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 TVA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 xml:space="preserve"> trebuie să se asigure că 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>deț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>in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documente justifica</w:t>
      </w:r>
      <w:r w:rsidR="00BA4E3B">
        <w:rPr>
          <w:rFonts w:asciiTheme="majorHAnsi" w:hAnsiTheme="majorHAnsi" w:cstheme="majorHAnsi"/>
          <w:sz w:val="20"/>
          <w:szCs w:val="20"/>
          <w:lang w:val="ro-RO"/>
        </w:rPr>
        <w:t xml:space="preserve">tive în acest scop 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>pentru livrări intracomunitare de bunuri</w:t>
      </w:r>
      <w:r w:rsidR="004D60D7">
        <w:rPr>
          <w:rFonts w:asciiTheme="majorHAnsi" w:hAnsiTheme="majorHAnsi" w:cstheme="majorHAnsi"/>
          <w:sz w:val="20"/>
          <w:szCs w:val="20"/>
          <w:lang w:val="ro-RO"/>
        </w:rPr>
        <w:t xml:space="preserve"> sau pentru export.</w:t>
      </w:r>
      <w:r w:rsidR="00BA4E3B">
        <w:rPr>
          <w:rFonts w:asciiTheme="majorHAnsi" w:hAnsiTheme="majorHAnsi" w:cstheme="majorHAnsi"/>
          <w:sz w:val="20"/>
          <w:szCs w:val="20"/>
          <w:lang w:val="ro-RO"/>
        </w:rPr>
        <w:t xml:space="preserve"> Î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="004D60D7" w:rsidRPr="005B1DA7">
        <w:rPr>
          <w:rFonts w:asciiTheme="majorHAnsi" w:hAnsiTheme="majorHAnsi" w:cstheme="majorHAnsi"/>
          <w:bCs/>
          <w:sz w:val="20"/>
          <w:szCs w:val="20"/>
          <w:lang w:val="ro-RO"/>
        </w:rPr>
        <w:t>cazul</w:t>
      </w:r>
      <w:r w:rsidR="004D60D7" w:rsidRPr="00696193">
        <w:rPr>
          <w:rFonts w:asciiTheme="majorHAnsi" w:hAnsiTheme="majorHAnsi" w:cstheme="majorHAnsi"/>
          <w:b/>
          <w:sz w:val="20"/>
          <w:szCs w:val="20"/>
          <w:lang w:val="ro-RO"/>
        </w:rPr>
        <w:t> </w:t>
      </w:r>
      <w:r w:rsidR="004D60D7" w:rsidRPr="00E327EB">
        <w:rPr>
          <w:rStyle w:val="Strong"/>
          <w:rFonts w:asciiTheme="majorHAnsi" w:hAnsiTheme="majorHAnsi" w:cstheme="majorHAnsi"/>
          <w:b w:val="0"/>
          <w:sz w:val="20"/>
          <w:szCs w:val="20"/>
          <w:lang w:val="ro-RO"/>
        </w:rPr>
        <w:t>bunurilor de capital</w:t>
      </w:r>
      <w:r w:rsidR="004D60D7" w:rsidRPr="005B1DA7">
        <w:rPr>
          <w:rFonts w:asciiTheme="majorHAnsi" w:hAnsiTheme="majorHAnsi" w:cstheme="majorHAnsi"/>
          <w:bCs/>
          <w:sz w:val="20"/>
          <w:szCs w:val="20"/>
          <w:lang w:val="ro-RO"/>
        </w:rPr>
        <w:t>,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A4E3B">
        <w:rPr>
          <w:rFonts w:asciiTheme="majorHAnsi" w:hAnsiTheme="majorHAnsi" w:cstheme="majorHAnsi"/>
          <w:sz w:val="20"/>
          <w:szCs w:val="20"/>
          <w:lang w:val="ro-RO"/>
        </w:rPr>
        <w:t xml:space="preserve">compania trebuie să stabilească în ce măsură poate fi exercitat 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dreptul de deducere a TVA și </w:t>
      </w:r>
      <w:r w:rsidR="00BA4E3B">
        <w:rPr>
          <w:rFonts w:asciiTheme="majorHAnsi" w:hAnsiTheme="majorHAnsi" w:cstheme="majorHAnsi"/>
          <w:sz w:val="20"/>
          <w:szCs w:val="20"/>
          <w:lang w:val="ro-RO"/>
        </w:rPr>
        <w:t xml:space="preserve">să 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>verific</w:t>
      </w:r>
      <w:r w:rsidR="00BA4E3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4D60D7" w:rsidRPr="002A3470">
        <w:rPr>
          <w:rFonts w:asciiTheme="majorHAnsi" w:hAnsiTheme="majorHAnsi" w:cstheme="majorHAnsi"/>
          <w:sz w:val="20"/>
          <w:szCs w:val="20"/>
          <w:lang w:val="ro-RO"/>
        </w:rPr>
        <w:t xml:space="preserve"> obligația de ajustare anuală.</w:t>
      </w:r>
    </w:p>
    <w:p w14:paraId="428D6437" w14:textId="22200F4F" w:rsidR="000B2F9A" w:rsidRPr="004D60D7" w:rsidRDefault="00BA4E3B" w:rsidP="005B1DA7">
      <w:pPr>
        <w:pStyle w:val="NormalWeb"/>
        <w:shd w:val="clear" w:color="auto" w:fill="FFFFFF"/>
        <w:spacing w:before="120" w:beforeAutospacing="0" w:after="0" w:afterAutospacing="0" w:line="264" w:lineRule="auto"/>
        <w:jc w:val="both"/>
      </w:pPr>
      <w:r>
        <w:rPr>
          <w:rFonts w:asciiTheme="majorHAnsi" w:hAnsiTheme="majorHAnsi" w:cstheme="majorHAnsi"/>
          <w:sz w:val="20"/>
          <w:szCs w:val="20"/>
          <w:lang w:val="ro-RO"/>
        </w:rPr>
        <w:t>În concluzie, contribuabilii care activează în industria auto, dar nu numai, trebuie să analizeze cu atenție activitatea derulată în timpul anului și să țină cont de toate implicațiile fiscale aferente, pentru</w:t>
      </w:r>
      <w:r w:rsidR="00E327EB">
        <w:rPr>
          <w:rFonts w:asciiTheme="majorHAnsi" w:hAnsiTheme="majorHAnsi" w:cstheme="majorHAnsi"/>
          <w:sz w:val="20"/>
          <w:szCs w:val="20"/>
          <w:lang w:val="ro-RO"/>
        </w:rPr>
        <w:t xml:space="preserve"> a-și optimiza fluxul de numerar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327EB">
        <w:rPr>
          <w:rFonts w:asciiTheme="majorHAnsi" w:hAnsiTheme="majorHAnsi" w:cstheme="majorHAnsi"/>
          <w:sz w:val="20"/>
          <w:szCs w:val="20"/>
          <w:lang w:val="ro-RO"/>
        </w:rPr>
        <w:t xml:space="preserve">și pentru </w:t>
      </w:r>
      <w:r>
        <w:rPr>
          <w:rFonts w:asciiTheme="majorHAnsi" w:hAnsiTheme="majorHAnsi" w:cstheme="majorHAnsi"/>
          <w:sz w:val="20"/>
          <w:szCs w:val="20"/>
          <w:lang w:val="ro-RO"/>
        </w:rPr>
        <w:t>a se conforma reglementărilor legate de raportările de final de an.</w:t>
      </w:r>
    </w:p>
    <w:sectPr w:rsidR="000B2F9A" w:rsidRPr="004D60D7" w:rsidSect="00C619FC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8E99" w14:textId="77777777" w:rsidR="00830C6A" w:rsidRDefault="00830C6A" w:rsidP="00185448">
      <w:r>
        <w:separator/>
      </w:r>
    </w:p>
  </w:endnote>
  <w:endnote w:type="continuationSeparator" w:id="0">
    <w:p w14:paraId="111A2C7F" w14:textId="77777777" w:rsidR="00830C6A" w:rsidRDefault="00830C6A" w:rsidP="001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4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6058" w14:textId="03CFFCAD" w:rsidR="00C20617" w:rsidRDefault="00F45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080BF9" w14:textId="77777777" w:rsidR="00C20617" w:rsidRDefault="0083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FBC4" w14:textId="77777777" w:rsidR="00830C6A" w:rsidRDefault="00830C6A" w:rsidP="00185448">
      <w:r>
        <w:separator/>
      </w:r>
    </w:p>
  </w:footnote>
  <w:footnote w:type="continuationSeparator" w:id="0">
    <w:p w14:paraId="128D0056" w14:textId="77777777" w:rsidR="00830C6A" w:rsidRDefault="00830C6A" w:rsidP="001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A775" w14:textId="77777777" w:rsidR="00C20617" w:rsidRDefault="00F45C89">
    <w:pPr>
      <w:pStyle w:val="Header"/>
    </w:pPr>
    <w:r w:rsidRPr="00BD5748">
      <w:rPr>
        <w:noProof/>
      </w:rPr>
      <w:drawing>
        <wp:anchor distT="0" distB="0" distL="114300" distR="114300" simplePos="0" relativeHeight="251659264" behindDoc="0" locked="0" layoutInCell="1" allowOverlap="1" wp14:anchorId="4289717D" wp14:editId="2DD3AADE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817"/>
    <w:multiLevelType w:val="hybridMultilevel"/>
    <w:tmpl w:val="2CD2E1CC"/>
    <w:lvl w:ilvl="0" w:tplc="68C84F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74F0"/>
    <w:multiLevelType w:val="multilevel"/>
    <w:tmpl w:val="B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DE"/>
    <w:rsid w:val="00063CD3"/>
    <w:rsid w:val="000954DE"/>
    <w:rsid w:val="000A41C2"/>
    <w:rsid w:val="000A422E"/>
    <w:rsid w:val="000B0A3A"/>
    <w:rsid w:val="000B2F9A"/>
    <w:rsid w:val="000E189E"/>
    <w:rsid w:val="00115F3E"/>
    <w:rsid w:val="001271E4"/>
    <w:rsid w:val="00132049"/>
    <w:rsid w:val="00133EF1"/>
    <w:rsid w:val="00147A19"/>
    <w:rsid w:val="001770F8"/>
    <w:rsid w:val="00185448"/>
    <w:rsid w:val="001A0EB4"/>
    <w:rsid w:val="001D2FAD"/>
    <w:rsid w:val="001D7430"/>
    <w:rsid w:val="00207970"/>
    <w:rsid w:val="002A3470"/>
    <w:rsid w:val="002F6436"/>
    <w:rsid w:val="003031CE"/>
    <w:rsid w:val="00307650"/>
    <w:rsid w:val="00351559"/>
    <w:rsid w:val="003C70F2"/>
    <w:rsid w:val="003D16B1"/>
    <w:rsid w:val="003F2B8F"/>
    <w:rsid w:val="003F2E41"/>
    <w:rsid w:val="00472A71"/>
    <w:rsid w:val="004920C9"/>
    <w:rsid w:val="00494018"/>
    <w:rsid w:val="004D60D7"/>
    <w:rsid w:val="00556F24"/>
    <w:rsid w:val="0058549D"/>
    <w:rsid w:val="005A3889"/>
    <w:rsid w:val="005B1DA7"/>
    <w:rsid w:val="00696193"/>
    <w:rsid w:val="006A1E89"/>
    <w:rsid w:val="006C549C"/>
    <w:rsid w:val="006F5B21"/>
    <w:rsid w:val="007002EC"/>
    <w:rsid w:val="00704075"/>
    <w:rsid w:val="007044A4"/>
    <w:rsid w:val="00713235"/>
    <w:rsid w:val="0073216F"/>
    <w:rsid w:val="007E30BB"/>
    <w:rsid w:val="00830C6A"/>
    <w:rsid w:val="0086160C"/>
    <w:rsid w:val="008B3D46"/>
    <w:rsid w:val="008B4E8E"/>
    <w:rsid w:val="008D3428"/>
    <w:rsid w:val="008D3ED8"/>
    <w:rsid w:val="008F37FC"/>
    <w:rsid w:val="009448F5"/>
    <w:rsid w:val="0096241B"/>
    <w:rsid w:val="009F4853"/>
    <w:rsid w:val="00A0662C"/>
    <w:rsid w:val="00AD2CBC"/>
    <w:rsid w:val="00AF7A3C"/>
    <w:rsid w:val="00B10533"/>
    <w:rsid w:val="00B20BBB"/>
    <w:rsid w:val="00B324F1"/>
    <w:rsid w:val="00B448A1"/>
    <w:rsid w:val="00B54B34"/>
    <w:rsid w:val="00B97199"/>
    <w:rsid w:val="00BA4E3B"/>
    <w:rsid w:val="00BB2DCF"/>
    <w:rsid w:val="00BC084F"/>
    <w:rsid w:val="00BD46F1"/>
    <w:rsid w:val="00BF7D46"/>
    <w:rsid w:val="00C16990"/>
    <w:rsid w:val="00C20837"/>
    <w:rsid w:val="00C44C92"/>
    <w:rsid w:val="00CC7EDB"/>
    <w:rsid w:val="00CF1343"/>
    <w:rsid w:val="00D6778B"/>
    <w:rsid w:val="00DB3195"/>
    <w:rsid w:val="00DB35BB"/>
    <w:rsid w:val="00E074EF"/>
    <w:rsid w:val="00E327EB"/>
    <w:rsid w:val="00E43AD7"/>
    <w:rsid w:val="00E44380"/>
    <w:rsid w:val="00E54CAE"/>
    <w:rsid w:val="00E76ACC"/>
    <w:rsid w:val="00E81487"/>
    <w:rsid w:val="00EB5472"/>
    <w:rsid w:val="00EC0C1E"/>
    <w:rsid w:val="00EC17F1"/>
    <w:rsid w:val="00EC49A4"/>
    <w:rsid w:val="00ED3B2E"/>
    <w:rsid w:val="00EE013E"/>
    <w:rsid w:val="00EE5D16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310"/>
  <w15:chartTrackingRefBased/>
  <w15:docId w15:val="{67A5C1D6-1C48-4C72-8D91-60A1E70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F9A"/>
    <w:rPr>
      <w:b/>
      <w:bCs/>
    </w:rPr>
  </w:style>
  <w:style w:type="character" w:styleId="Emphasis">
    <w:name w:val="Emphasis"/>
    <w:basedOn w:val="DefaultParagraphFont"/>
    <w:uiPriority w:val="20"/>
    <w:qFormat/>
    <w:rsid w:val="000B2F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60D7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60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0D7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0D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B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BB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ro/pages/about-deloitte/events/industria-auto-sens-unic-spre-adaptabilitate-fiscala.html?nc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Dobre, Victoria-Mihaela</dc:creator>
  <cp:keywords/>
  <dc:description/>
  <cp:lastModifiedBy>Anghel, Oana</cp:lastModifiedBy>
  <cp:revision>3</cp:revision>
  <dcterms:created xsi:type="dcterms:W3CDTF">2021-12-14T09:24:00Z</dcterms:created>
  <dcterms:modified xsi:type="dcterms:W3CDTF">2021-12-14T09:33:00Z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2021-12-03T14:20:20Z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3349ee10-62e9-4649-a2fc-6e3cb66d23a6</vt:lpwstr>
  </property>
  <property fmtid="{D5CDD505-2E9C-101B-9397-08002B2CF9AE}" pid="8" name="MSIP_Label_ea60d57e-af5b-4752-ac57-3e4f28ca11dc_ContentBits">
    <vt:lpwstr>0</vt:lpwstr>
  </property>
</Properties>
</file>