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6683" w14:textId="0BA9B467" w:rsidR="00F82819" w:rsidRPr="00F82819" w:rsidRDefault="00D97856" w:rsidP="00B23A90">
      <w:pPr>
        <w:spacing w:before="120" w:line="264" w:lineRule="auto"/>
        <w:jc w:val="center"/>
        <w:rPr>
          <w:rFonts w:asciiTheme="majorHAnsi" w:hAnsiTheme="majorHAnsi" w:cstheme="majorHAnsi"/>
          <w:b/>
          <w:color w:val="000000" w:themeColor="text1"/>
          <w:sz w:val="24"/>
          <w:szCs w:val="24"/>
          <w:lang w:val="ro-RO"/>
        </w:rPr>
      </w:pPr>
      <w:r>
        <w:rPr>
          <w:rFonts w:asciiTheme="majorHAnsi" w:hAnsiTheme="majorHAnsi" w:cstheme="majorHAnsi"/>
          <w:b/>
          <w:color w:val="000000" w:themeColor="text1"/>
          <w:sz w:val="24"/>
          <w:szCs w:val="24"/>
          <w:lang w:val="ro-RO"/>
        </w:rPr>
        <w:t>Creșterea colectării</w:t>
      </w:r>
      <w:r w:rsidR="00F82819" w:rsidRPr="00F82819">
        <w:rPr>
          <w:rFonts w:asciiTheme="majorHAnsi" w:hAnsiTheme="majorHAnsi" w:cstheme="majorHAnsi"/>
          <w:b/>
          <w:color w:val="000000" w:themeColor="text1"/>
          <w:sz w:val="24"/>
          <w:szCs w:val="24"/>
          <w:lang w:val="ro-RO"/>
        </w:rPr>
        <w:t xml:space="preserve"> TVA, opțiunea viabilă pentru majorarea veniturilor la buget</w:t>
      </w:r>
      <w:r w:rsidR="00CC3DC4">
        <w:rPr>
          <w:rFonts w:asciiTheme="majorHAnsi" w:hAnsiTheme="majorHAnsi" w:cstheme="majorHAnsi"/>
          <w:b/>
          <w:color w:val="000000" w:themeColor="text1"/>
          <w:sz w:val="24"/>
          <w:szCs w:val="24"/>
          <w:lang w:val="ro-RO"/>
        </w:rPr>
        <w:t>. La cât a ajuns decalajul</w:t>
      </w:r>
      <w:r>
        <w:rPr>
          <w:rFonts w:asciiTheme="majorHAnsi" w:hAnsiTheme="majorHAnsi" w:cstheme="majorHAnsi"/>
          <w:b/>
          <w:color w:val="000000" w:themeColor="text1"/>
          <w:sz w:val="24"/>
          <w:szCs w:val="24"/>
          <w:lang w:val="ro-RO"/>
        </w:rPr>
        <w:t xml:space="preserve"> de încasare</w:t>
      </w:r>
      <w:r w:rsidR="00CC3DC4">
        <w:rPr>
          <w:rFonts w:asciiTheme="majorHAnsi" w:hAnsiTheme="majorHAnsi" w:cstheme="majorHAnsi"/>
          <w:b/>
          <w:color w:val="000000" w:themeColor="text1"/>
          <w:sz w:val="24"/>
          <w:szCs w:val="24"/>
          <w:lang w:val="ro-RO"/>
        </w:rPr>
        <w:t>?</w:t>
      </w:r>
    </w:p>
    <w:p w14:paraId="258A5C52" w14:textId="77777777" w:rsidR="006432A7" w:rsidRDefault="006432A7" w:rsidP="00B23A90">
      <w:pPr>
        <w:spacing w:before="120" w:line="264" w:lineRule="auto"/>
        <w:jc w:val="both"/>
        <w:rPr>
          <w:rFonts w:asciiTheme="majorHAnsi" w:hAnsiTheme="majorHAnsi" w:cstheme="majorHAnsi"/>
          <w:i/>
          <w:color w:val="000000" w:themeColor="text1"/>
          <w:lang w:val="ro-RO"/>
        </w:rPr>
      </w:pPr>
    </w:p>
    <w:p w14:paraId="51E89E42" w14:textId="66640114" w:rsidR="00F82819" w:rsidRPr="00D17454" w:rsidRDefault="00F82819" w:rsidP="00B23A90">
      <w:pPr>
        <w:spacing w:before="120" w:line="264" w:lineRule="auto"/>
        <w:jc w:val="both"/>
        <w:rPr>
          <w:rFonts w:asciiTheme="majorHAnsi" w:hAnsiTheme="majorHAnsi" w:cstheme="majorHAnsi"/>
          <w:i/>
          <w:color w:val="000000" w:themeColor="text1"/>
          <w:lang w:val="ro-RO"/>
        </w:rPr>
      </w:pPr>
      <w:r w:rsidRPr="00D17454">
        <w:rPr>
          <w:rFonts w:asciiTheme="majorHAnsi" w:hAnsiTheme="majorHAnsi" w:cstheme="majorHAnsi"/>
          <w:i/>
          <w:color w:val="000000" w:themeColor="text1"/>
          <w:lang w:val="ro-RO"/>
        </w:rPr>
        <w:t>Material de opinie de Vlad Boeriu, Partener Coordonator Servicii Fiscale și Juridice, Deloitte România</w:t>
      </w:r>
    </w:p>
    <w:p w14:paraId="6EB6EB4F" w14:textId="77777777" w:rsidR="006432A7" w:rsidRDefault="006432A7" w:rsidP="00B23A90">
      <w:pPr>
        <w:spacing w:before="120" w:line="264" w:lineRule="auto"/>
        <w:jc w:val="both"/>
        <w:rPr>
          <w:rFonts w:asciiTheme="majorHAnsi" w:hAnsiTheme="majorHAnsi" w:cstheme="majorHAnsi"/>
          <w:color w:val="000000" w:themeColor="text1"/>
          <w:lang w:val="ro-RO"/>
        </w:rPr>
      </w:pPr>
    </w:p>
    <w:p w14:paraId="640C2EC1" w14:textId="5CC543F6" w:rsidR="00F82819" w:rsidRPr="00D17454" w:rsidRDefault="00F82819" w:rsidP="00B23A90">
      <w:pPr>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Restabilirea echilibrului bugetar prin reducerea deficitului la un nivel sustenabil trebuie să preocupe factorii de decizie din întreaga economie românească, dat fiind că finanțarea datoriilor devine tot mai scumpă și, odată cu disiparea efectelor pandemiei de COVID-19, toleranța investitorilor și a organismelor internaționale față de țările cu deficite ridicate va scădea. Misiunea este dificilă, având în vedere ritmul insuficient de creștere a veniturilor la buget în raport cu cheltuielile și opțiunile limitate pe care statul le are la dispoziție pentru a majora încasările fără să afecteze contribuabilii deja slăbiți de pandemie. Dar noul raport al Comisiei Europene privind decalajul de încasare la TVA indică, o dată în plus, zona în care există potențial de creștere a colectării.</w:t>
      </w:r>
    </w:p>
    <w:p w14:paraId="426A87B7" w14:textId="55FD6874" w:rsidR="00F82819" w:rsidRPr="00D17454" w:rsidRDefault="00F82819" w:rsidP="00B23A90">
      <w:pPr>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 xml:space="preserve">Construcția bugetară pe 2021 se bazează pe venituri de </w:t>
      </w:r>
      <w:r w:rsidR="00DD6EBB">
        <w:rPr>
          <w:rFonts w:asciiTheme="majorHAnsi" w:hAnsiTheme="majorHAnsi" w:cstheme="majorHAnsi"/>
          <w:color w:val="000000" w:themeColor="text1"/>
          <w:lang w:val="ro-RO"/>
        </w:rPr>
        <w:t xml:space="preserve">peste </w:t>
      </w:r>
      <w:r w:rsidRPr="00D17454">
        <w:rPr>
          <w:rFonts w:asciiTheme="majorHAnsi" w:hAnsiTheme="majorHAnsi" w:cstheme="majorHAnsi"/>
          <w:color w:val="000000" w:themeColor="text1"/>
          <w:lang w:val="ro-RO"/>
        </w:rPr>
        <w:t>3</w:t>
      </w:r>
      <w:r w:rsidR="00DD6EBB">
        <w:rPr>
          <w:rFonts w:asciiTheme="majorHAnsi" w:hAnsiTheme="majorHAnsi" w:cstheme="majorHAnsi"/>
          <w:color w:val="000000" w:themeColor="text1"/>
          <w:lang w:val="ro-RO"/>
        </w:rPr>
        <w:t>86</w:t>
      </w:r>
      <w:r w:rsidRPr="00D17454">
        <w:rPr>
          <w:rFonts w:asciiTheme="majorHAnsi" w:hAnsiTheme="majorHAnsi" w:cstheme="majorHAnsi"/>
          <w:color w:val="000000" w:themeColor="text1"/>
          <w:lang w:val="ro-RO"/>
        </w:rPr>
        <w:t xml:space="preserve"> de miliarde de lei</w:t>
      </w:r>
      <w:r w:rsidR="00DD6EBB">
        <w:rPr>
          <w:rFonts w:asciiTheme="majorHAnsi" w:hAnsiTheme="majorHAnsi" w:cstheme="majorHAnsi"/>
          <w:color w:val="000000" w:themeColor="text1"/>
          <w:lang w:val="ro-RO"/>
        </w:rPr>
        <w:t>, conform celei mai recente rectificări bugetare</w:t>
      </w:r>
      <w:r w:rsidRPr="00D17454">
        <w:rPr>
          <w:rFonts w:asciiTheme="majorHAnsi" w:hAnsiTheme="majorHAnsi" w:cstheme="majorHAnsi"/>
          <w:color w:val="000000" w:themeColor="text1"/>
          <w:lang w:val="ro-RO"/>
        </w:rPr>
        <w:t>, din care</w:t>
      </w:r>
      <w:r w:rsidR="0027179D">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însă,</w:t>
      </w:r>
      <w:r w:rsidR="00D97856">
        <w:rPr>
          <w:rFonts w:asciiTheme="majorHAnsi" w:hAnsiTheme="majorHAnsi" w:cstheme="majorHAnsi"/>
          <w:color w:val="000000" w:themeColor="text1"/>
          <w:lang w:val="ro-RO"/>
        </w:rPr>
        <w:t xml:space="preserve"> potrivit Consiliului Fiscal, în jur de zece</w:t>
      </w:r>
      <w:r w:rsidRPr="00D17454">
        <w:rPr>
          <w:rFonts w:asciiTheme="majorHAnsi" w:hAnsiTheme="majorHAnsi" w:cstheme="majorHAnsi"/>
          <w:color w:val="000000" w:themeColor="text1"/>
          <w:lang w:val="ro-RO"/>
        </w:rPr>
        <w:t xml:space="preserve"> miliarde de lei reprezintă sume recuperate din impozitele amânate la plată anul trecut de către contribuabili, în baza înlesnirilor acordate de stat. În același timp, cheltuielile progr</w:t>
      </w:r>
      <w:r w:rsidR="00DD6EBB">
        <w:rPr>
          <w:rFonts w:asciiTheme="majorHAnsi" w:hAnsiTheme="majorHAnsi" w:cstheme="majorHAnsi"/>
          <w:color w:val="000000" w:themeColor="text1"/>
          <w:lang w:val="ro-RO"/>
        </w:rPr>
        <w:t>amate pentru acest an depășesc 471</w:t>
      </w:r>
      <w:r w:rsidRPr="00D17454">
        <w:rPr>
          <w:rFonts w:asciiTheme="majorHAnsi" w:hAnsiTheme="majorHAnsi" w:cstheme="majorHAnsi"/>
          <w:color w:val="000000" w:themeColor="text1"/>
          <w:lang w:val="ro-RO"/>
        </w:rPr>
        <w:t xml:space="preserve"> de miliarde de lei, astfel că deficitul bugetar va ajunge </w:t>
      </w:r>
      <w:r w:rsidR="00DD6EBB">
        <w:rPr>
          <w:rFonts w:asciiTheme="majorHAnsi" w:hAnsiTheme="majorHAnsi" w:cstheme="majorHAnsi"/>
          <w:color w:val="000000" w:themeColor="text1"/>
          <w:lang w:val="ro-RO"/>
        </w:rPr>
        <w:t>aproape de 85</w:t>
      </w:r>
      <w:r w:rsidRPr="00D17454">
        <w:rPr>
          <w:rFonts w:asciiTheme="majorHAnsi" w:hAnsiTheme="majorHAnsi" w:cstheme="majorHAnsi"/>
          <w:color w:val="000000" w:themeColor="text1"/>
          <w:lang w:val="ro-RO"/>
        </w:rPr>
        <w:t xml:space="preserve"> de miliarde de lei (7,13% din PIB). În condițiile în care reducerea cheltuielilor este dificil de realizat și, mai ales, de nedorit</w:t>
      </w:r>
      <w:r w:rsidR="005032F1">
        <w:rPr>
          <w:rFonts w:asciiTheme="majorHAnsi" w:hAnsiTheme="majorHAnsi" w:cstheme="majorHAnsi"/>
          <w:color w:val="000000" w:themeColor="text1"/>
          <w:lang w:val="ro-RO"/>
        </w:rPr>
        <w:t xml:space="preserve"> </w:t>
      </w:r>
      <w:r w:rsidRPr="00D17454">
        <w:rPr>
          <w:rFonts w:asciiTheme="majorHAnsi" w:hAnsiTheme="majorHAnsi" w:cstheme="majorHAnsi"/>
          <w:color w:val="000000" w:themeColor="text1"/>
          <w:lang w:val="ro-RO"/>
        </w:rPr>
        <w:t>pentru că ar afecta atât populația</w:t>
      </w:r>
      <w:r w:rsidR="006432A7">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cât și proiectele de dezvoltare necesare pentru recuperarea decalajelor față de celelalte state europene, majorarea veniturilor rămâne singura soluție pentru readucerea deficitului bugetar sub 3% din PIB, nivel considerat sustenabil la nivel european și asumat de autoritățile române pentru finalul anului 2024. </w:t>
      </w:r>
    </w:p>
    <w:p w14:paraId="62A05918" w14:textId="77777777" w:rsidR="006432A7" w:rsidRDefault="006432A7" w:rsidP="00B23A90">
      <w:pPr>
        <w:spacing w:before="120" w:line="264" w:lineRule="auto"/>
        <w:jc w:val="both"/>
        <w:rPr>
          <w:rFonts w:asciiTheme="majorHAnsi" w:hAnsiTheme="majorHAnsi" w:cstheme="majorHAnsi"/>
          <w:b/>
          <w:color w:val="000000" w:themeColor="text1"/>
          <w:lang w:val="ro-RO"/>
        </w:rPr>
      </w:pPr>
    </w:p>
    <w:p w14:paraId="0BE55D03" w14:textId="3FDED50E" w:rsidR="00F82819" w:rsidRDefault="00B60BED" w:rsidP="00B23A90">
      <w:pPr>
        <w:spacing w:before="120" w:line="264" w:lineRule="auto"/>
        <w:jc w:val="both"/>
        <w:rPr>
          <w:rFonts w:asciiTheme="majorHAnsi" w:hAnsiTheme="majorHAnsi" w:cstheme="majorHAnsi"/>
          <w:b/>
          <w:color w:val="000000" w:themeColor="text1"/>
          <w:lang w:val="ro-RO"/>
        </w:rPr>
      </w:pPr>
      <w:r w:rsidRPr="00B60BED">
        <w:rPr>
          <w:rFonts w:asciiTheme="majorHAnsi" w:hAnsiTheme="majorHAnsi" w:cstheme="majorHAnsi"/>
          <w:b/>
          <w:color w:val="000000" w:themeColor="text1"/>
          <w:lang w:val="ro-RO"/>
        </w:rPr>
        <w:t>Deficitul de încasare l</w:t>
      </w:r>
      <w:r>
        <w:rPr>
          <w:rFonts w:asciiTheme="majorHAnsi" w:hAnsiTheme="majorHAnsi" w:cstheme="majorHAnsi"/>
          <w:b/>
          <w:color w:val="000000" w:themeColor="text1"/>
          <w:lang w:val="ro-RO"/>
        </w:rPr>
        <w:t>a TVA este în creștere</w:t>
      </w:r>
    </w:p>
    <w:p w14:paraId="792DF448" w14:textId="2C3C58AC" w:rsidR="00F82819" w:rsidRDefault="00F82819" w:rsidP="00B23A90">
      <w:pPr>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Obiectivul nu este ușor de atins într-o perioadă complicată din punct de vedere economic și cu perspective încă incerte, în care contribuabilii trebuie mai degrabă susținuți</w:t>
      </w:r>
      <w:r w:rsidR="006432A7">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decât împovărați suplimentar. Așadar, opțiunile autorităților, prin care să asigure atât creșterea veniturilor</w:t>
      </w:r>
      <w:r w:rsidR="006432A7">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cât și protejarea contribuabililor, sunt oarecum limitate</w:t>
      </w:r>
      <w:r w:rsidR="006432A7">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dar nu inexistente. Doar din reducerea evaziunii fiscale din zona de TVA statul ar putea colecta sume importante, având în vedere că</w:t>
      </w:r>
      <w:r w:rsidR="00935434">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din datele Comisiei Europene</w:t>
      </w:r>
      <w:r w:rsidR="00935434">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rezultă că deficitul de încasare la TVA s-a menținut ridicat</w:t>
      </w:r>
      <w:r w:rsidR="00C33ACE">
        <w:rPr>
          <w:rFonts w:asciiTheme="majorHAnsi" w:hAnsiTheme="majorHAnsi" w:cstheme="majorHAnsi"/>
          <w:color w:val="000000" w:themeColor="text1"/>
          <w:lang w:val="ro-RO"/>
        </w:rPr>
        <w:t xml:space="preserve"> și</w:t>
      </w:r>
      <w:r w:rsidRPr="00D17454">
        <w:rPr>
          <w:rFonts w:asciiTheme="majorHAnsi" w:hAnsiTheme="majorHAnsi" w:cstheme="majorHAnsi"/>
          <w:color w:val="000000" w:themeColor="text1"/>
          <w:lang w:val="ro-RO"/>
        </w:rPr>
        <w:t xml:space="preserve"> în</w:t>
      </w:r>
      <w:r w:rsidR="00C33ACE">
        <w:rPr>
          <w:rFonts w:asciiTheme="majorHAnsi" w:hAnsiTheme="majorHAnsi" w:cstheme="majorHAnsi"/>
          <w:color w:val="000000" w:themeColor="text1"/>
          <w:lang w:val="ro-RO"/>
        </w:rPr>
        <w:t xml:space="preserve"> creștere în</w:t>
      </w:r>
      <w:r w:rsidRPr="00D17454">
        <w:rPr>
          <w:rFonts w:asciiTheme="majorHAnsi" w:hAnsiTheme="majorHAnsi" w:cstheme="majorHAnsi"/>
          <w:color w:val="000000" w:themeColor="text1"/>
          <w:lang w:val="ro-RO"/>
        </w:rPr>
        <w:t xml:space="preserve"> România, în 2019, la </w:t>
      </w:r>
      <w:r w:rsidR="00DD6EBB" w:rsidRPr="00092633">
        <w:rPr>
          <w:rFonts w:asciiTheme="majorHAnsi" w:hAnsiTheme="majorHAnsi" w:cstheme="majorHAnsi"/>
          <w:color w:val="000000" w:themeColor="text1"/>
          <w:lang w:val="ro-RO"/>
        </w:rPr>
        <w:t>34,9</w:t>
      </w:r>
      <w:r w:rsidRPr="00092633">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w:t>
      </w:r>
      <w:r w:rsidR="00DD6EBB">
        <w:rPr>
          <w:rFonts w:asciiTheme="majorHAnsi" w:hAnsiTheme="majorHAnsi" w:cstheme="majorHAnsi"/>
          <w:color w:val="000000" w:themeColor="text1"/>
          <w:lang w:val="ro-RO"/>
        </w:rPr>
        <w:t xml:space="preserve">peste </w:t>
      </w:r>
      <w:r w:rsidR="00C33ACE">
        <w:rPr>
          <w:rFonts w:asciiTheme="majorHAnsi" w:hAnsiTheme="majorHAnsi" w:cstheme="majorHAnsi"/>
          <w:color w:val="000000" w:themeColor="text1"/>
          <w:lang w:val="ro-RO"/>
        </w:rPr>
        <w:t>nivelul din 2018, de 32,7</w:t>
      </w:r>
      <w:r w:rsidRPr="00D17454">
        <w:rPr>
          <w:rFonts w:asciiTheme="majorHAnsi" w:hAnsiTheme="majorHAnsi" w:cstheme="majorHAnsi"/>
          <w:color w:val="000000" w:themeColor="text1"/>
          <w:lang w:val="ro-RO"/>
        </w:rPr>
        <w:t xml:space="preserve">%), cel mai mare din UE pentru al șaptelea an consecutiv. În sumă absolută, acest procent reprezintă echivalentul a </w:t>
      </w:r>
      <w:r w:rsidR="00DD6EBB">
        <w:rPr>
          <w:rFonts w:asciiTheme="majorHAnsi" w:hAnsiTheme="majorHAnsi" w:cstheme="majorHAnsi"/>
          <w:color w:val="000000" w:themeColor="text1"/>
          <w:lang w:val="ro-RO"/>
        </w:rPr>
        <w:t>7,</w:t>
      </w:r>
      <w:r w:rsidR="00DD6EBB" w:rsidRPr="00092633">
        <w:rPr>
          <w:rFonts w:asciiTheme="majorHAnsi" w:hAnsiTheme="majorHAnsi" w:cstheme="majorHAnsi"/>
          <w:color w:val="000000" w:themeColor="text1"/>
          <w:lang w:val="ro-RO"/>
        </w:rPr>
        <w:t xml:space="preserve">4 </w:t>
      </w:r>
      <w:r w:rsidRPr="00092633">
        <w:rPr>
          <w:rFonts w:asciiTheme="majorHAnsi" w:hAnsiTheme="majorHAnsi" w:cstheme="majorHAnsi"/>
          <w:color w:val="000000" w:themeColor="text1"/>
          <w:lang w:val="ro-RO"/>
        </w:rPr>
        <w:t>miliarde de euro.</w:t>
      </w:r>
      <w:r w:rsidRPr="00D17454">
        <w:rPr>
          <w:rFonts w:asciiTheme="majorHAnsi" w:hAnsiTheme="majorHAnsi" w:cstheme="majorHAnsi"/>
          <w:color w:val="000000" w:themeColor="text1"/>
          <w:lang w:val="ro-RO"/>
        </w:rPr>
        <w:t xml:space="preserve"> </w:t>
      </w:r>
    </w:p>
    <w:p w14:paraId="52976F99" w14:textId="3464950C" w:rsidR="00092633" w:rsidRPr="00092633" w:rsidRDefault="004D7165" w:rsidP="00B23A90">
      <w:pPr>
        <w:spacing w:before="120" w:line="264" w:lineRule="auto"/>
        <w:jc w:val="both"/>
        <w:rPr>
          <w:rFonts w:asciiTheme="majorHAnsi" w:hAnsiTheme="majorHAnsi" w:cstheme="majorHAnsi"/>
          <w:color w:val="000000" w:themeColor="text1"/>
          <w:lang w:val="ro-RO"/>
        </w:rPr>
      </w:pPr>
      <w:r>
        <w:rPr>
          <w:rFonts w:asciiTheme="majorHAnsi" w:hAnsiTheme="majorHAnsi" w:cstheme="majorHAnsi"/>
          <w:color w:val="000000" w:themeColor="text1"/>
          <w:lang w:val="ro-RO"/>
        </w:rPr>
        <w:t>În clasamentul european, România este urmată</w:t>
      </w:r>
      <w:r w:rsidR="00F82819" w:rsidRPr="00092633">
        <w:rPr>
          <w:rFonts w:asciiTheme="majorHAnsi" w:hAnsiTheme="majorHAnsi" w:cstheme="majorHAnsi"/>
          <w:color w:val="000000" w:themeColor="text1"/>
          <w:lang w:val="ro-RO"/>
        </w:rPr>
        <w:t xml:space="preserve"> de Grecia (</w:t>
      </w:r>
      <w:r w:rsidR="00DD6EBB" w:rsidRPr="00092633">
        <w:rPr>
          <w:rFonts w:asciiTheme="majorHAnsi" w:hAnsiTheme="majorHAnsi" w:cstheme="majorHAnsi"/>
          <w:color w:val="000000" w:themeColor="text1"/>
          <w:lang w:val="ro-RO"/>
        </w:rPr>
        <w:t xml:space="preserve">cu un deficit de 25,8%, în scădere de la </w:t>
      </w:r>
      <w:r w:rsidR="00F82819" w:rsidRPr="00092633">
        <w:rPr>
          <w:rFonts w:asciiTheme="majorHAnsi" w:hAnsiTheme="majorHAnsi" w:cstheme="majorHAnsi"/>
          <w:color w:val="000000" w:themeColor="text1"/>
          <w:lang w:val="ro-RO"/>
        </w:rPr>
        <w:t>30,1%</w:t>
      </w:r>
      <w:r w:rsidR="006432A7">
        <w:rPr>
          <w:rFonts w:asciiTheme="majorHAnsi" w:hAnsiTheme="majorHAnsi" w:cstheme="majorHAnsi"/>
          <w:color w:val="000000" w:themeColor="text1"/>
          <w:lang w:val="ro-RO"/>
        </w:rPr>
        <w:t>,</w:t>
      </w:r>
      <w:r w:rsidR="00DD6EBB" w:rsidRPr="00092633">
        <w:rPr>
          <w:rFonts w:asciiTheme="majorHAnsi" w:hAnsiTheme="majorHAnsi" w:cstheme="majorHAnsi"/>
          <w:color w:val="000000" w:themeColor="text1"/>
          <w:lang w:val="ro-RO"/>
        </w:rPr>
        <w:t xml:space="preserve"> cu un an în urmă</w:t>
      </w:r>
      <w:r w:rsidR="00F82819" w:rsidRPr="00092633">
        <w:rPr>
          <w:rFonts w:asciiTheme="majorHAnsi" w:hAnsiTheme="majorHAnsi" w:cstheme="majorHAnsi"/>
          <w:color w:val="000000" w:themeColor="text1"/>
          <w:lang w:val="ro-RO"/>
        </w:rPr>
        <w:t xml:space="preserve">) și </w:t>
      </w:r>
      <w:r w:rsidR="00DD6EBB" w:rsidRPr="00092633">
        <w:rPr>
          <w:rFonts w:asciiTheme="majorHAnsi" w:hAnsiTheme="majorHAnsi" w:cstheme="majorHAnsi"/>
          <w:color w:val="000000" w:themeColor="text1"/>
          <w:lang w:val="ro-RO"/>
        </w:rPr>
        <w:t>Malta (23,5%</w:t>
      </w:r>
      <w:r w:rsidR="00C6000C" w:rsidRPr="00092633">
        <w:rPr>
          <w:rFonts w:asciiTheme="majorHAnsi" w:hAnsiTheme="majorHAnsi" w:cstheme="majorHAnsi"/>
          <w:color w:val="000000" w:themeColor="text1"/>
          <w:lang w:val="ro-RO"/>
        </w:rPr>
        <w:t>, în creștere cu 5,4 puncte procentuale</w:t>
      </w:r>
      <w:r w:rsidR="00DD6EBB" w:rsidRPr="00092633">
        <w:rPr>
          <w:rFonts w:asciiTheme="majorHAnsi" w:hAnsiTheme="majorHAnsi" w:cstheme="majorHAnsi"/>
          <w:color w:val="000000" w:themeColor="text1"/>
          <w:lang w:val="ro-RO"/>
        </w:rPr>
        <w:t>)</w:t>
      </w:r>
      <w:r w:rsidR="00092633" w:rsidRPr="00092633">
        <w:rPr>
          <w:rFonts w:asciiTheme="majorHAnsi" w:hAnsiTheme="majorHAnsi" w:cstheme="majorHAnsi"/>
          <w:color w:val="000000" w:themeColor="text1"/>
          <w:lang w:val="ro-RO"/>
        </w:rPr>
        <w:t>. Media europeană a fost de 8,6</w:t>
      </w:r>
      <w:r w:rsidR="00F82819" w:rsidRPr="00092633">
        <w:rPr>
          <w:rFonts w:asciiTheme="majorHAnsi" w:hAnsiTheme="majorHAnsi" w:cstheme="majorHAnsi"/>
          <w:color w:val="000000" w:themeColor="text1"/>
          <w:lang w:val="ro-RO"/>
        </w:rPr>
        <w:t>%</w:t>
      </w:r>
      <w:r w:rsidR="00092633" w:rsidRPr="00092633">
        <w:rPr>
          <w:rFonts w:asciiTheme="majorHAnsi" w:hAnsiTheme="majorHAnsi" w:cstheme="majorHAnsi"/>
          <w:color w:val="000000" w:themeColor="text1"/>
          <w:lang w:val="ro-RO"/>
        </w:rPr>
        <w:t xml:space="preserve">, în scădere cu 0,8 puncte procentuale față de 2018. </w:t>
      </w:r>
    </w:p>
    <w:p w14:paraId="5A96E0CF" w14:textId="68C64580" w:rsidR="00092633" w:rsidRDefault="00092633" w:rsidP="00B23A90">
      <w:pPr>
        <w:spacing w:before="120" w:line="264" w:lineRule="auto"/>
        <w:jc w:val="both"/>
        <w:rPr>
          <w:rFonts w:asciiTheme="majorHAnsi" w:hAnsiTheme="majorHAnsi" w:cstheme="majorHAnsi"/>
          <w:color w:val="000000" w:themeColor="text1"/>
          <w:lang w:val="ro-RO"/>
        </w:rPr>
      </w:pPr>
      <w:r w:rsidRPr="00092633">
        <w:rPr>
          <w:rFonts w:asciiTheme="majorHAnsi" w:hAnsiTheme="majorHAnsi" w:cstheme="majorHAnsi"/>
          <w:color w:val="000000" w:themeColor="text1"/>
          <w:lang w:val="ro-RO"/>
        </w:rPr>
        <w:t>Prin comparație, în țările vecine, deficitul de încasare la TVA este mult mai mic și în scădere</w:t>
      </w:r>
      <w:r w:rsidR="00D97856">
        <w:rPr>
          <w:rFonts w:asciiTheme="majorHAnsi" w:hAnsiTheme="majorHAnsi" w:cstheme="majorHAnsi"/>
          <w:color w:val="000000" w:themeColor="text1"/>
          <w:lang w:val="ro-RO"/>
        </w:rPr>
        <w:t>. În Bulgaria s-a redus cu</w:t>
      </w:r>
      <w:r w:rsidRPr="00092633">
        <w:rPr>
          <w:rFonts w:asciiTheme="majorHAnsi" w:hAnsiTheme="majorHAnsi" w:cstheme="majorHAnsi"/>
          <w:color w:val="000000" w:themeColor="text1"/>
          <w:lang w:val="ro-RO"/>
        </w:rPr>
        <w:t xml:space="preserve"> 2,5 puncte procentuale, la 8,3%, și în Polonia, cu 0,3 puncte, la 11,3%. În Ungaria, deși a crescut cu 0,8 puncte procent</w:t>
      </w:r>
      <w:r w:rsidR="00D97856">
        <w:rPr>
          <w:rFonts w:asciiTheme="majorHAnsi" w:hAnsiTheme="majorHAnsi" w:cstheme="majorHAnsi"/>
          <w:color w:val="000000" w:themeColor="text1"/>
          <w:lang w:val="ro-RO"/>
        </w:rPr>
        <w:t>uale, deficitul se menține scăzut</w:t>
      </w:r>
      <w:r w:rsidRPr="00092633">
        <w:rPr>
          <w:rFonts w:asciiTheme="majorHAnsi" w:hAnsiTheme="majorHAnsi" w:cstheme="majorHAnsi"/>
          <w:color w:val="000000" w:themeColor="text1"/>
          <w:lang w:val="ro-RO"/>
        </w:rPr>
        <w:t xml:space="preserve">, la 9,6%. </w:t>
      </w:r>
    </w:p>
    <w:p w14:paraId="7645F9CF" w14:textId="44F0D2CF" w:rsidR="004D7165" w:rsidRPr="004D7165" w:rsidRDefault="004D7165" w:rsidP="00B23A90">
      <w:pPr>
        <w:spacing w:before="120" w:line="264" w:lineRule="auto"/>
        <w:jc w:val="both"/>
        <w:rPr>
          <w:rFonts w:asciiTheme="majorHAnsi" w:hAnsiTheme="majorHAnsi" w:cstheme="majorHAnsi"/>
          <w:color w:val="000000" w:themeColor="text1"/>
          <w:highlight w:val="yellow"/>
          <w:lang w:val="ro-RO"/>
        </w:rPr>
      </w:pPr>
      <w:r>
        <w:rPr>
          <w:rFonts w:asciiTheme="majorHAnsi" w:hAnsiTheme="majorHAnsi" w:cstheme="majorHAnsi"/>
          <w:color w:val="000000" w:themeColor="text1"/>
          <w:lang w:val="ro-RO"/>
        </w:rPr>
        <w:t xml:space="preserve">Pentru 2020, </w:t>
      </w:r>
      <w:r w:rsidR="006432A7">
        <w:rPr>
          <w:rFonts w:asciiTheme="majorHAnsi" w:hAnsiTheme="majorHAnsi" w:cstheme="majorHAnsi"/>
          <w:color w:val="000000" w:themeColor="text1"/>
          <w:lang w:val="ro-RO"/>
        </w:rPr>
        <w:t xml:space="preserve">comisia </w:t>
      </w:r>
      <w:r>
        <w:rPr>
          <w:rFonts w:asciiTheme="majorHAnsi" w:hAnsiTheme="majorHAnsi" w:cstheme="majorHAnsi"/>
          <w:color w:val="000000" w:themeColor="text1"/>
          <w:lang w:val="ro-RO"/>
        </w:rPr>
        <w:t>estimează că</w:t>
      </w:r>
      <w:r w:rsidR="007C12FD">
        <w:rPr>
          <w:rFonts w:asciiTheme="majorHAnsi" w:hAnsiTheme="majorHAnsi" w:cstheme="majorHAnsi"/>
          <w:color w:val="000000" w:themeColor="text1"/>
          <w:lang w:val="ro-RO"/>
        </w:rPr>
        <w:t>,</w:t>
      </w:r>
      <w:r>
        <w:rPr>
          <w:rFonts w:asciiTheme="majorHAnsi" w:hAnsiTheme="majorHAnsi" w:cstheme="majorHAnsi"/>
          <w:color w:val="000000" w:themeColor="text1"/>
          <w:lang w:val="ro-RO"/>
        </w:rPr>
        <w:t xml:space="preserve"> în România</w:t>
      </w:r>
      <w:r w:rsidR="007C12FD">
        <w:rPr>
          <w:rFonts w:asciiTheme="majorHAnsi" w:hAnsiTheme="majorHAnsi" w:cstheme="majorHAnsi"/>
          <w:color w:val="000000" w:themeColor="text1"/>
          <w:lang w:val="ro-RO"/>
        </w:rPr>
        <w:t>,</w:t>
      </w:r>
      <w:r>
        <w:rPr>
          <w:rFonts w:asciiTheme="majorHAnsi" w:hAnsiTheme="majorHAnsi" w:cstheme="majorHAnsi"/>
          <w:color w:val="000000" w:themeColor="text1"/>
          <w:lang w:val="ro-RO"/>
        </w:rPr>
        <w:t xml:space="preserve"> deficitul de încasare va scădea la 33,9% (cu un punct procentual), în Bulgaria va ajunge la 7,2%, în Ungaria</w:t>
      </w:r>
      <w:r w:rsidR="006432A7">
        <w:rPr>
          <w:rFonts w:asciiTheme="majorHAnsi" w:hAnsiTheme="majorHAnsi" w:cstheme="majorHAnsi"/>
          <w:color w:val="000000" w:themeColor="text1"/>
          <w:lang w:val="ro-RO"/>
        </w:rPr>
        <w:t>,</w:t>
      </w:r>
      <w:r>
        <w:rPr>
          <w:rFonts w:asciiTheme="majorHAnsi" w:hAnsiTheme="majorHAnsi" w:cstheme="majorHAnsi"/>
          <w:color w:val="000000" w:themeColor="text1"/>
          <w:lang w:val="ro-RO"/>
        </w:rPr>
        <w:t xml:space="preserve"> la 6,1%, iar în Polonia</w:t>
      </w:r>
      <w:r w:rsidR="006432A7">
        <w:rPr>
          <w:rFonts w:asciiTheme="majorHAnsi" w:hAnsiTheme="majorHAnsi" w:cstheme="majorHAnsi"/>
          <w:color w:val="000000" w:themeColor="text1"/>
          <w:lang w:val="ro-RO"/>
        </w:rPr>
        <w:t>,</w:t>
      </w:r>
      <w:r>
        <w:rPr>
          <w:rFonts w:asciiTheme="majorHAnsi" w:hAnsiTheme="majorHAnsi" w:cstheme="majorHAnsi"/>
          <w:color w:val="000000" w:themeColor="text1"/>
          <w:lang w:val="ro-RO"/>
        </w:rPr>
        <w:t xml:space="preserve"> la 10%.</w:t>
      </w:r>
    </w:p>
    <w:p w14:paraId="6CB68515" w14:textId="409FB072" w:rsidR="00F82819" w:rsidRPr="00D17454" w:rsidRDefault="00F82819" w:rsidP="00B23A90">
      <w:pPr>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Așa</w:t>
      </w:r>
      <w:r>
        <w:rPr>
          <w:rFonts w:asciiTheme="majorHAnsi" w:hAnsiTheme="majorHAnsi" w:cstheme="majorHAnsi"/>
          <w:color w:val="000000" w:themeColor="text1"/>
          <w:lang w:val="ro-RO"/>
        </w:rPr>
        <w:t>dar</w:t>
      </w:r>
      <w:r w:rsidR="006432A7">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există potențial de creștere a veniturilor la bugetul de stat din reducerea decalajului de încasare la TVA, mai ales dacă ne raportăm la evoluția din țările vecine în urma aplicării unor măsuri eficiente în această direcție. Spre exemplu, dacă România ar reduce acest deficit de încasare cu cinci puncte procentuale într-un an, performanță posibilă </w:t>
      </w:r>
      <w:r w:rsidR="00092633">
        <w:rPr>
          <w:rFonts w:asciiTheme="majorHAnsi" w:hAnsiTheme="majorHAnsi" w:cstheme="majorHAnsi"/>
          <w:color w:val="000000" w:themeColor="text1"/>
          <w:lang w:val="ro-RO"/>
        </w:rPr>
        <w:t xml:space="preserve">dacă ne raportăm la Grecia, în 2019, sau la </w:t>
      </w:r>
      <w:r w:rsidRPr="00D17454">
        <w:rPr>
          <w:rFonts w:asciiTheme="majorHAnsi" w:hAnsiTheme="majorHAnsi" w:cstheme="majorHAnsi"/>
          <w:color w:val="000000" w:themeColor="text1"/>
          <w:lang w:val="ro-RO"/>
        </w:rPr>
        <w:t>Ungar</w:t>
      </w:r>
      <w:r w:rsidR="00092633">
        <w:rPr>
          <w:rFonts w:asciiTheme="majorHAnsi" w:hAnsiTheme="majorHAnsi" w:cstheme="majorHAnsi"/>
          <w:color w:val="000000" w:themeColor="text1"/>
          <w:lang w:val="ro-RO"/>
        </w:rPr>
        <w:t>ia și Polonia</w:t>
      </w:r>
      <w:r w:rsidR="006432A7">
        <w:rPr>
          <w:rFonts w:asciiTheme="majorHAnsi" w:hAnsiTheme="majorHAnsi" w:cstheme="majorHAnsi"/>
          <w:color w:val="000000" w:themeColor="text1"/>
          <w:lang w:val="ro-RO"/>
        </w:rPr>
        <w:t>,</w:t>
      </w:r>
      <w:r w:rsidR="00092633">
        <w:rPr>
          <w:rFonts w:asciiTheme="majorHAnsi" w:hAnsiTheme="majorHAnsi" w:cstheme="majorHAnsi"/>
          <w:color w:val="000000" w:themeColor="text1"/>
          <w:lang w:val="ro-RO"/>
        </w:rPr>
        <w:t xml:space="preserve"> în anii anterior</w:t>
      </w:r>
      <w:r w:rsidRPr="00D17454">
        <w:rPr>
          <w:rFonts w:asciiTheme="majorHAnsi" w:hAnsiTheme="majorHAnsi" w:cstheme="majorHAnsi"/>
          <w:color w:val="000000" w:themeColor="text1"/>
          <w:lang w:val="ro-RO"/>
        </w:rPr>
        <w:t>i, ar putea încasa venituri supl</w:t>
      </w:r>
      <w:r w:rsidR="00092633">
        <w:rPr>
          <w:rFonts w:asciiTheme="majorHAnsi" w:hAnsiTheme="majorHAnsi" w:cstheme="majorHAnsi"/>
          <w:color w:val="000000" w:themeColor="text1"/>
          <w:lang w:val="ro-RO"/>
        </w:rPr>
        <w:t>imentare la buget de peste</w:t>
      </w:r>
      <w:r w:rsidRPr="00D17454">
        <w:rPr>
          <w:rFonts w:asciiTheme="majorHAnsi" w:hAnsiTheme="majorHAnsi" w:cstheme="majorHAnsi"/>
          <w:color w:val="000000" w:themeColor="text1"/>
          <w:lang w:val="ro-RO"/>
        </w:rPr>
        <w:t xml:space="preserve"> </w:t>
      </w:r>
      <w:r w:rsidR="00092633" w:rsidRPr="00092633">
        <w:rPr>
          <w:rFonts w:asciiTheme="majorHAnsi" w:hAnsiTheme="majorHAnsi" w:cstheme="majorHAnsi"/>
          <w:color w:val="000000" w:themeColor="text1"/>
          <w:lang w:val="ro-RO"/>
        </w:rPr>
        <w:t>un miliard de euro pe an.</w:t>
      </w:r>
    </w:p>
    <w:p w14:paraId="311C6B71" w14:textId="280541BF" w:rsidR="00F82819" w:rsidRPr="00D17454" w:rsidRDefault="00F82819" w:rsidP="00B23A90">
      <w:pPr>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Pentru acest an, venitu</w:t>
      </w:r>
      <w:r w:rsidR="00C01B7D">
        <w:rPr>
          <w:rFonts w:asciiTheme="majorHAnsi" w:hAnsiTheme="majorHAnsi" w:cstheme="majorHAnsi"/>
          <w:color w:val="000000" w:themeColor="text1"/>
          <w:lang w:val="ro-RO"/>
        </w:rPr>
        <w:t>rile din TVA sunt estimate la 79</w:t>
      </w:r>
      <w:r w:rsidRPr="00D17454">
        <w:rPr>
          <w:rFonts w:asciiTheme="majorHAnsi" w:hAnsiTheme="majorHAnsi" w:cstheme="majorHAnsi"/>
          <w:color w:val="000000" w:themeColor="text1"/>
          <w:lang w:val="ro-RO"/>
        </w:rPr>
        <w:t xml:space="preserve"> de miliarde</w:t>
      </w:r>
      <w:r w:rsidR="007A30A3">
        <w:rPr>
          <w:rFonts w:asciiTheme="majorHAnsi" w:hAnsiTheme="majorHAnsi" w:cstheme="majorHAnsi"/>
          <w:color w:val="000000" w:themeColor="text1"/>
          <w:lang w:val="ro-RO"/>
        </w:rPr>
        <w:t xml:space="preserve"> de lei, în creștere cu peste 30</w:t>
      </w:r>
      <w:r w:rsidRPr="00D17454">
        <w:rPr>
          <w:rFonts w:asciiTheme="majorHAnsi" w:hAnsiTheme="majorHAnsi" w:cstheme="majorHAnsi"/>
          <w:color w:val="000000" w:themeColor="text1"/>
          <w:lang w:val="ro-RO"/>
        </w:rPr>
        <w:t>% comparativ cu 2020, însă, dincolo de faptul că se raportează la un an extrem de dificil pentru activitățile economice, în care veniturile din TVA au scăzut comparativ cu anul anterior, încorporează și plățile amânate anul trecut. În aceste co</w:t>
      </w:r>
      <w:r>
        <w:rPr>
          <w:rFonts w:asciiTheme="majorHAnsi" w:hAnsiTheme="majorHAnsi" w:cstheme="majorHAnsi"/>
          <w:color w:val="000000" w:themeColor="text1"/>
          <w:lang w:val="ro-RO"/>
        </w:rPr>
        <w:t xml:space="preserve">ndiții, o </w:t>
      </w:r>
      <w:r>
        <w:rPr>
          <w:rFonts w:asciiTheme="majorHAnsi" w:hAnsiTheme="majorHAnsi" w:cstheme="majorHAnsi"/>
          <w:color w:val="000000" w:themeColor="text1"/>
          <w:lang w:val="ro-RO"/>
        </w:rPr>
        <w:lastRenderedPageBreak/>
        <w:t>reducere a deficitului</w:t>
      </w:r>
      <w:r w:rsidRPr="00D17454">
        <w:rPr>
          <w:rFonts w:asciiTheme="majorHAnsi" w:hAnsiTheme="majorHAnsi" w:cstheme="majorHAnsi"/>
          <w:color w:val="000000" w:themeColor="text1"/>
          <w:lang w:val="ro-RO"/>
        </w:rPr>
        <w:t xml:space="preserve"> de încasare la TVA ar ajuta la creșterea încasărilor bugetare din această taxă care reprezintă, în prezent, aproximativ 20% din totalul veniturilor la bugetul de stat</w:t>
      </w:r>
      <w:r>
        <w:rPr>
          <w:rFonts w:asciiTheme="majorHAnsi" w:hAnsiTheme="majorHAnsi" w:cstheme="majorHAnsi"/>
          <w:color w:val="000000" w:themeColor="text1"/>
          <w:lang w:val="ro-RO"/>
        </w:rPr>
        <w:t>.</w:t>
      </w:r>
    </w:p>
    <w:p w14:paraId="2A52AEC9" w14:textId="61B5EB2A" w:rsidR="00F82819" w:rsidRDefault="00F82819" w:rsidP="00B23A90">
      <w:pPr>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Implementarea măsurilor necesare pentru creșterea colectări</w:t>
      </w:r>
      <w:r w:rsidR="00BC5DEF">
        <w:rPr>
          <w:rFonts w:asciiTheme="majorHAnsi" w:hAnsiTheme="majorHAnsi" w:cstheme="majorHAnsi"/>
          <w:color w:val="000000" w:themeColor="text1"/>
          <w:lang w:val="ro-RO"/>
        </w:rPr>
        <w:t>i</w:t>
      </w:r>
      <w:r w:rsidRPr="00D17454">
        <w:rPr>
          <w:rFonts w:asciiTheme="majorHAnsi" w:hAnsiTheme="majorHAnsi" w:cstheme="majorHAnsi"/>
          <w:color w:val="000000" w:themeColor="text1"/>
          <w:lang w:val="ro-RO"/>
        </w:rPr>
        <w:t xml:space="preserve"> a fost dema</w:t>
      </w:r>
      <w:r w:rsidR="004B5DF1">
        <w:rPr>
          <w:rFonts w:asciiTheme="majorHAnsi" w:hAnsiTheme="majorHAnsi" w:cstheme="majorHAnsi"/>
          <w:color w:val="000000" w:themeColor="text1"/>
          <w:lang w:val="ro-RO"/>
        </w:rPr>
        <w:t xml:space="preserve">rată, </w:t>
      </w:r>
      <w:r w:rsidRPr="00D17454">
        <w:rPr>
          <w:rFonts w:asciiTheme="majorHAnsi" w:hAnsiTheme="majorHAnsi" w:cstheme="majorHAnsi"/>
          <w:color w:val="000000" w:themeColor="text1"/>
          <w:lang w:val="ro-RO"/>
        </w:rPr>
        <w:t>dar eforturile trebuie intensificate atât din partea autorităților</w:t>
      </w:r>
      <w:r w:rsidR="006432A7">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cât și din partea contribuabililor, având în vedere presiunile tot mai mari pe buget și situația economică încă incertă. </w:t>
      </w:r>
    </w:p>
    <w:p w14:paraId="05BE73B0" w14:textId="77777777" w:rsidR="006432A7" w:rsidRPr="00D17454" w:rsidRDefault="006432A7" w:rsidP="00B23A90">
      <w:pPr>
        <w:spacing w:before="120" w:line="264" w:lineRule="auto"/>
        <w:jc w:val="both"/>
        <w:rPr>
          <w:rFonts w:asciiTheme="majorHAnsi" w:hAnsiTheme="majorHAnsi" w:cstheme="majorHAnsi"/>
          <w:color w:val="000000" w:themeColor="text1"/>
          <w:lang w:val="ro-RO"/>
        </w:rPr>
      </w:pPr>
    </w:p>
    <w:p w14:paraId="41081B9A" w14:textId="3F130223" w:rsidR="00F82819" w:rsidRPr="00D17454" w:rsidRDefault="00F82819" w:rsidP="00B23A90">
      <w:pPr>
        <w:spacing w:before="120" w:line="264" w:lineRule="auto"/>
        <w:jc w:val="both"/>
        <w:rPr>
          <w:rFonts w:asciiTheme="majorHAnsi" w:hAnsiTheme="majorHAnsi" w:cstheme="majorHAnsi"/>
          <w:b/>
          <w:color w:val="000000" w:themeColor="text1"/>
          <w:lang w:val="ro-RO"/>
        </w:rPr>
      </w:pPr>
      <w:r w:rsidRPr="00D17454">
        <w:rPr>
          <w:rFonts w:asciiTheme="majorHAnsi" w:hAnsiTheme="majorHAnsi" w:cstheme="majorHAnsi"/>
          <w:b/>
          <w:color w:val="000000" w:themeColor="text1"/>
          <w:lang w:val="ro-RO"/>
        </w:rPr>
        <w:t>Soluțiile bazate pe tehnologie</w:t>
      </w:r>
      <w:r w:rsidR="004B5DF1">
        <w:rPr>
          <w:rFonts w:asciiTheme="majorHAnsi" w:hAnsiTheme="majorHAnsi" w:cstheme="majorHAnsi"/>
          <w:b/>
          <w:color w:val="000000" w:themeColor="text1"/>
          <w:lang w:val="ro-RO"/>
        </w:rPr>
        <w:t xml:space="preserve">, de luat în calcul </w:t>
      </w:r>
      <w:r>
        <w:rPr>
          <w:rFonts w:asciiTheme="majorHAnsi" w:hAnsiTheme="majorHAnsi" w:cstheme="majorHAnsi"/>
          <w:b/>
          <w:color w:val="000000" w:themeColor="text1"/>
          <w:lang w:val="ro-RO"/>
        </w:rPr>
        <w:t>în lupta cu evaziunea</w:t>
      </w:r>
    </w:p>
    <w:p w14:paraId="6F17C0D4" w14:textId="0DB4F26D" w:rsidR="00F82819" w:rsidRPr="00D17454" w:rsidRDefault="00F82819" w:rsidP="00B23A90">
      <w:pPr>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 xml:space="preserve">Dintre măsurile aflate în curs de implementare, de departe cea mai importantă este introducerea raportării în sistemul SAF-T (Fișierul Standard de Audit de Taxe), care devine obligatorie pentru marii contribuabili de la 1 ianuarie </w:t>
      </w:r>
      <w:r w:rsidR="004B5DF1">
        <w:rPr>
          <w:rFonts w:asciiTheme="majorHAnsi" w:hAnsiTheme="majorHAnsi" w:cstheme="majorHAnsi"/>
          <w:color w:val="000000" w:themeColor="text1"/>
          <w:lang w:val="ro-RO"/>
        </w:rPr>
        <w:t>2022,</w:t>
      </w:r>
      <w:r w:rsidRPr="00D17454">
        <w:rPr>
          <w:rFonts w:asciiTheme="majorHAnsi" w:hAnsiTheme="majorHAnsi" w:cstheme="majorHAnsi"/>
          <w:color w:val="000000" w:themeColor="text1"/>
          <w:lang w:val="ro-RO"/>
        </w:rPr>
        <w:t xml:space="preserve"> iar pentru contribuabilii mijlocii și mici</w:t>
      </w:r>
      <w:r w:rsidR="006432A7">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w:t>
      </w:r>
      <w:r w:rsidR="004B5DF1">
        <w:rPr>
          <w:rFonts w:asciiTheme="majorHAnsi" w:hAnsiTheme="majorHAnsi" w:cstheme="majorHAnsi"/>
          <w:color w:val="000000" w:themeColor="text1"/>
          <w:lang w:val="ro-RO"/>
        </w:rPr>
        <w:t xml:space="preserve">din </w:t>
      </w:r>
      <w:r w:rsidRPr="00D17454">
        <w:rPr>
          <w:rFonts w:asciiTheme="majorHAnsi" w:hAnsiTheme="majorHAnsi" w:cstheme="majorHAnsi"/>
          <w:color w:val="000000" w:themeColor="text1"/>
          <w:lang w:val="ro-RO"/>
        </w:rPr>
        <w:t>2023, respectiv 2025</w:t>
      </w:r>
      <w:r w:rsidRPr="00CF0790">
        <w:rPr>
          <w:rFonts w:asciiTheme="majorHAnsi" w:hAnsiTheme="majorHAnsi" w:cstheme="majorHAnsi"/>
          <w:color w:val="000000" w:themeColor="text1"/>
          <w:lang w:val="ro-RO"/>
        </w:rPr>
        <w:t xml:space="preserve">. Prin excepție, </w:t>
      </w:r>
      <w:r w:rsidRPr="00CF0790">
        <w:rPr>
          <w:rFonts w:asciiTheme="majorHAnsi" w:hAnsiTheme="majorHAnsi" w:cstheme="majorHAnsi"/>
          <w:color w:val="000000" w:themeColor="text1"/>
          <w:shd w:val="clear" w:color="auto" w:fill="FFFFFF"/>
          <w:lang w:val="ro-RO"/>
        </w:rPr>
        <w:t>pentru instituțiile financiar-bancare și societățile de asigurare</w:t>
      </w:r>
      <w:r w:rsidR="006432A7">
        <w:rPr>
          <w:rFonts w:asciiTheme="majorHAnsi" w:hAnsiTheme="majorHAnsi" w:cstheme="majorHAnsi"/>
          <w:color w:val="000000" w:themeColor="text1"/>
          <w:shd w:val="clear" w:color="auto" w:fill="FFFFFF"/>
          <w:lang w:val="ro-RO"/>
        </w:rPr>
        <w:t>-</w:t>
      </w:r>
      <w:r w:rsidRPr="00CF0790">
        <w:rPr>
          <w:rFonts w:asciiTheme="majorHAnsi" w:hAnsiTheme="majorHAnsi" w:cstheme="majorHAnsi"/>
          <w:color w:val="000000" w:themeColor="text1"/>
          <w:shd w:val="clear" w:color="auto" w:fill="FFFFFF"/>
          <w:lang w:val="ro-RO"/>
        </w:rPr>
        <w:t>reasigurare, încadrate la data de 31 decembrie 2021 în categoria marilor contribuabili, obligația de raportare în sistemul SAF-T</w:t>
      </w:r>
      <w:r w:rsidR="00CF0790" w:rsidRPr="00CF0790">
        <w:rPr>
          <w:rFonts w:asciiTheme="majorHAnsi" w:hAnsiTheme="majorHAnsi" w:cstheme="majorHAnsi"/>
          <w:color w:val="000000" w:themeColor="text1"/>
          <w:shd w:val="clear" w:color="auto" w:fill="FFFFFF"/>
          <w:lang w:val="ro-RO"/>
        </w:rPr>
        <w:t xml:space="preserve"> începe în anul </w:t>
      </w:r>
      <w:r w:rsidRPr="00CF0790">
        <w:rPr>
          <w:rFonts w:asciiTheme="majorHAnsi" w:hAnsiTheme="majorHAnsi" w:cstheme="majorHAnsi"/>
          <w:color w:val="000000" w:themeColor="text1"/>
          <w:shd w:val="clear" w:color="auto" w:fill="FFFFFF"/>
          <w:lang w:val="ro-RO"/>
        </w:rPr>
        <w:t>2023.</w:t>
      </w:r>
    </w:p>
    <w:p w14:paraId="44E4DE8D" w14:textId="4BF87450" w:rsidR="00F82819" w:rsidRPr="00D17454" w:rsidRDefault="00F82819" w:rsidP="00B23A90">
      <w:pPr>
        <w:shd w:val="clear" w:color="auto" w:fill="FFFFFF"/>
        <w:spacing w:before="120" w:line="264" w:lineRule="auto"/>
        <w:jc w:val="both"/>
        <w:rPr>
          <w:rFonts w:asciiTheme="majorHAnsi" w:hAnsiTheme="majorHAnsi" w:cstheme="majorHAnsi"/>
          <w:color w:val="001B44"/>
          <w:shd w:val="clear" w:color="auto" w:fill="FFFFFF"/>
          <w:lang w:val="ro-RO"/>
        </w:rPr>
      </w:pPr>
      <w:r w:rsidRPr="00CF0790">
        <w:rPr>
          <w:rFonts w:asciiTheme="majorHAnsi" w:hAnsiTheme="majorHAnsi" w:cstheme="majorHAnsi"/>
          <w:color w:val="000000" w:themeColor="text1"/>
          <w:shd w:val="clear" w:color="auto" w:fill="FFFFFF"/>
          <w:lang w:val="ro-RO"/>
        </w:rPr>
        <w:t>O altă măsură menită să ajute la creșterea colectării</w:t>
      </w:r>
      <w:r w:rsidR="00CF0790" w:rsidRPr="00CF0790">
        <w:rPr>
          <w:rFonts w:asciiTheme="majorHAnsi" w:hAnsiTheme="majorHAnsi" w:cstheme="majorHAnsi"/>
          <w:color w:val="000000" w:themeColor="text1"/>
          <w:shd w:val="clear" w:color="auto" w:fill="FFFFFF"/>
          <w:lang w:val="ro-RO"/>
        </w:rPr>
        <w:t xml:space="preserve"> este lansarea sistemului informatic e</w:t>
      </w:r>
      <w:r w:rsidRPr="00CF0790">
        <w:rPr>
          <w:rFonts w:asciiTheme="majorHAnsi" w:hAnsiTheme="majorHAnsi" w:cstheme="majorHAnsi"/>
          <w:color w:val="000000" w:themeColor="text1"/>
          <w:shd w:val="clear" w:color="auto" w:fill="FFFFFF"/>
          <w:lang w:val="ro-RO"/>
        </w:rPr>
        <w:t>-factur</w:t>
      </w:r>
      <w:r w:rsidR="000753E7">
        <w:rPr>
          <w:rFonts w:asciiTheme="majorHAnsi" w:hAnsiTheme="majorHAnsi" w:cstheme="majorHAnsi"/>
          <w:color w:val="000000" w:themeColor="text1"/>
          <w:shd w:val="clear" w:color="auto" w:fill="FFFFFF"/>
          <w:lang w:val="ro-RO"/>
        </w:rPr>
        <w:t>a</w:t>
      </w:r>
      <w:r w:rsidRPr="00CF0790">
        <w:rPr>
          <w:rFonts w:asciiTheme="majorHAnsi" w:hAnsiTheme="majorHAnsi" w:cstheme="majorHAnsi"/>
          <w:color w:val="000000" w:themeColor="text1"/>
          <w:shd w:val="clear" w:color="auto" w:fill="FFFFFF"/>
          <w:lang w:val="ro-RO"/>
        </w:rPr>
        <w:t xml:space="preserve"> </w:t>
      </w:r>
      <w:r w:rsidR="00801C94">
        <w:rPr>
          <w:rFonts w:asciiTheme="majorHAnsi" w:hAnsiTheme="majorHAnsi" w:cstheme="majorHAnsi"/>
          <w:color w:val="000000" w:themeColor="text1"/>
          <w:shd w:val="clear" w:color="auto" w:fill="FFFFFF"/>
          <w:lang w:val="ro-RO"/>
        </w:rPr>
        <w:t>(</w:t>
      </w:r>
      <w:r w:rsidR="00CF0790" w:rsidRPr="00CF0790">
        <w:rPr>
          <w:rFonts w:asciiTheme="majorHAnsi" w:hAnsiTheme="majorHAnsi" w:cstheme="majorHAnsi"/>
          <w:color w:val="000000" w:themeColor="text1"/>
          <w:shd w:val="clear" w:color="auto" w:fill="FFFFFF"/>
          <w:lang w:val="ro-RO"/>
        </w:rPr>
        <w:t>în prezent</w:t>
      </w:r>
      <w:r w:rsidR="00801C94">
        <w:rPr>
          <w:rFonts w:asciiTheme="majorHAnsi" w:hAnsiTheme="majorHAnsi" w:cstheme="majorHAnsi"/>
          <w:color w:val="000000" w:themeColor="text1"/>
          <w:shd w:val="clear" w:color="auto" w:fill="FFFFFF"/>
          <w:lang w:val="ro-RO"/>
        </w:rPr>
        <w:t>,</w:t>
      </w:r>
      <w:r w:rsidR="00CF0790" w:rsidRPr="00CF0790">
        <w:rPr>
          <w:rFonts w:asciiTheme="majorHAnsi" w:hAnsiTheme="majorHAnsi" w:cstheme="majorHAnsi"/>
          <w:color w:val="000000" w:themeColor="text1"/>
          <w:shd w:val="clear" w:color="auto" w:fill="FFFFFF"/>
          <w:lang w:val="ro-RO"/>
        </w:rPr>
        <w:t xml:space="preserve"> opțional</w:t>
      </w:r>
      <w:r w:rsidR="00801C94">
        <w:rPr>
          <w:rFonts w:asciiTheme="majorHAnsi" w:hAnsiTheme="majorHAnsi" w:cstheme="majorHAnsi"/>
          <w:color w:val="000000" w:themeColor="text1"/>
          <w:shd w:val="clear" w:color="auto" w:fill="FFFFFF"/>
          <w:lang w:val="ro-RO"/>
        </w:rPr>
        <w:t>)</w:t>
      </w:r>
      <w:r w:rsidR="00CF0790" w:rsidRPr="00CF0790">
        <w:rPr>
          <w:rFonts w:asciiTheme="majorHAnsi" w:hAnsiTheme="majorHAnsi" w:cstheme="majorHAnsi"/>
          <w:color w:val="000000" w:themeColor="text1"/>
          <w:shd w:val="clear" w:color="auto" w:fill="FFFFFF"/>
          <w:lang w:val="ro-RO"/>
        </w:rPr>
        <w:t xml:space="preserve"> în relația dintre companiile private și instituțiile de stat. Acest sistem urmează să devină obligatoriu pentru astfel de tranzacții și, în viitor, să fie extins </w:t>
      </w:r>
      <w:r w:rsidRPr="00CF0790">
        <w:rPr>
          <w:rFonts w:asciiTheme="majorHAnsi" w:hAnsiTheme="majorHAnsi" w:cstheme="majorHAnsi"/>
          <w:color w:val="000000" w:themeColor="text1"/>
          <w:shd w:val="clear" w:color="auto" w:fill="FFFFFF"/>
          <w:lang w:val="ro-RO"/>
        </w:rPr>
        <w:t xml:space="preserve">și pentru </w:t>
      </w:r>
      <w:r w:rsidR="00CF0790" w:rsidRPr="00CF0790">
        <w:rPr>
          <w:rFonts w:asciiTheme="majorHAnsi" w:hAnsiTheme="majorHAnsi" w:cstheme="majorHAnsi"/>
          <w:color w:val="000000" w:themeColor="text1"/>
          <w:shd w:val="clear" w:color="auto" w:fill="FFFFFF"/>
          <w:lang w:val="ro-RO"/>
        </w:rPr>
        <w:t xml:space="preserve">facturile emise între companii – cel mai probabil din 2023. </w:t>
      </w:r>
      <w:r w:rsidRPr="00CF0790">
        <w:rPr>
          <w:rFonts w:asciiTheme="majorHAnsi" w:hAnsiTheme="majorHAnsi" w:cstheme="majorHAnsi"/>
          <w:color w:val="000000" w:themeColor="text1"/>
          <w:shd w:val="clear" w:color="auto" w:fill="FFFFFF"/>
          <w:lang w:val="ro-RO"/>
        </w:rPr>
        <w:t xml:space="preserve">Acest sistem va </w:t>
      </w:r>
      <w:r w:rsidRPr="00CF0790">
        <w:rPr>
          <w:rFonts w:asciiTheme="majorHAnsi" w:eastAsia="Times New Roman" w:hAnsiTheme="majorHAnsi" w:cstheme="majorHAnsi"/>
          <w:color w:val="050505"/>
          <w:lang w:val="ro-RO"/>
        </w:rPr>
        <w:t>permite inspectorilor fiscali să urmărească în timp real situația facturilor emise, să facă verificări la distanță și să aibă o imagine mult mai clară a cazurilor în care trebuie să facă verificări suplimentare.</w:t>
      </w:r>
      <w:r w:rsidRPr="00D17454">
        <w:rPr>
          <w:rFonts w:asciiTheme="majorHAnsi" w:eastAsia="Times New Roman" w:hAnsiTheme="majorHAnsi" w:cstheme="majorHAnsi"/>
          <w:color w:val="050505"/>
          <w:lang w:val="ro-RO"/>
        </w:rPr>
        <w:t xml:space="preserve"> </w:t>
      </w:r>
    </w:p>
    <w:p w14:paraId="7F5982EC" w14:textId="77777777" w:rsidR="00AB683C" w:rsidRDefault="00F82819" w:rsidP="00B23A90">
      <w:pPr>
        <w:shd w:val="clear" w:color="auto" w:fill="FFFFFF"/>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În plus, ANAF mai are în plan și alte măsuri pentru a asigura o colectare mai bună a taxelor, bazate pe extinderea serviciilor digitale și asigurarea interoperabilității sistemelor IT care să genereze, în final, identificarea și reducerea neconformării la declarare și plată.</w:t>
      </w:r>
    </w:p>
    <w:p w14:paraId="326FDDED" w14:textId="168EF0C1" w:rsidR="00F82819" w:rsidRPr="00D17454" w:rsidRDefault="00F82819" w:rsidP="00B23A90">
      <w:pPr>
        <w:shd w:val="clear" w:color="auto" w:fill="FFFFFF"/>
        <w:spacing w:before="120" w:line="264" w:lineRule="auto"/>
        <w:jc w:val="both"/>
        <w:rPr>
          <w:rFonts w:asciiTheme="majorHAnsi" w:hAnsiTheme="majorHAnsi" w:cstheme="majorHAnsi"/>
          <w:color w:val="000000" w:themeColor="text1"/>
          <w:lang w:val="ro-RO"/>
        </w:rPr>
      </w:pPr>
      <w:r w:rsidRPr="00D17454">
        <w:rPr>
          <w:rFonts w:asciiTheme="majorHAnsi" w:hAnsiTheme="majorHAnsi" w:cstheme="majorHAnsi"/>
          <w:color w:val="000000" w:themeColor="text1"/>
          <w:lang w:val="ro-RO"/>
        </w:rPr>
        <w:t>În concluzie, colectarea unor sume mai mari la bugetul de stat reprezintă o necesitate incontestabilă și este tot mai evident că acest lucru nu este posibil în lipsa unor mecanisme moderne, bazate pe tehnologie, care să permită schimbul de informații în timp real între autorități și companii, astfel încât să se depisteze</w:t>
      </w:r>
      <w:r w:rsidR="00A8696D">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din timp</w:t>
      </w:r>
      <w:r w:rsidR="00A8696D">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eventualele tentative de fraudă sau greșelile involuntare, atât în beneficiul statului</w:t>
      </w:r>
      <w:r w:rsidR="00A8696D">
        <w:rPr>
          <w:rFonts w:asciiTheme="majorHAnsi" w:hAnsiTheme="majorHAnsi" w:cstheme="majorHAnsi"/>
          <w:color w:val="000000" w:themeColor="text1"/>
          <w:lang w:val="ro-RO"/>
        </w:rPr>
        <w:t>,</w:t>
      </w:r>
      <w:r w:rsidRPr="00D17454">
        <w:rPr>
          <w:rFonts w:asciiTheme="majorHAnsi" w:hAnsiTheme="majorHAnsi" w:cstheme="majorHAnsi"/>
          <w:color w:val="000000" w:themeColor="text1"/>
          <w:lang w:val="ro-RO"/>
        </w:rPr>
        <w:t xml:space="preserve"> cât și al contribuabililor corecți. </w:t>
      </w:r>
    </w:p>
    <w:p w14:paraId="45C56376" w14:textId="385914CD" w:rsidR="002D5104" w:rsidRPr="00F82819" w:rsidRDefault="002D5104" w:rsidP="00B23A90">
      <w:pPr>
        <w:spacing w:before="120" w:line="264" w:lineRule="auto"/>
        <w:jc w:val="both"/>
      </w:pPr>
    </w:p>
    <w:sectPr w:rsidR="002D5104" w:rsidRPr="00F82819" w:rsidSect="007D0E79">
      <w:headerReference w:type="default" r:id="rId7"/>
      <w:headerReference w:type="first" r:id="rId8"/>
      <w:footerReference w:type="first" r:id="rId9"/>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E407" w14:textId="77777777" w:rsidR="00B835B7" w:rsidRDefault="00B835B7" w:rsidP="00C31810">
      <w:pPr>
        <w:spacing w:line="240" w:lineRule="auto"/>
      </w:pPr>
      <w:r>
        <w:separator/>
      </w:r>
    </w:p>
  </w:endnote>
  <w:endnote w:type="continuationSeparator" w:id="0">
    <w:p w14:paraId="7819C89C" w14:textId="77777777" w:rsidR="00B835B7" w:rsidRDefault="00B835B7" w:rsidP="00C31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08D5" w14:textId="77777777" w:rsidR="001615F5" w:rsidRPr="001615F5" w:rsidRDefault="00B835B7"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5950" w14:textId="77777777" w:rsidR="00B835B7" w:rsidRDefault="00B835B7" w:rsidP="00C31810">
      <w:pPr>
        <w:spacing w:line="240" w:lineRule="auto"/>
      </w:pPr>
      <w:r>
        <w:separator/>
      </w:r>
    </w:p>
  </w:footnote>
  <w:footnote w:type="continuationSeparator" w:id="0">
    <w:p w14:paraId="3B309ED1" w14:textId="77777777" w:rsidR="00B835B7" w:rsidRDefault="00B835B7" w:rsidP="00C318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0455" w14:textId="77777777" w:rsidR="003A0D61" w:rsidRDefault="00F816A4"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6EF4A85C" wp14:editId="3AEBD346">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2AC8" w14:textId="77777777" w:rsidR="006A0423" w:rsidRDefault="00F816A4"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0414F608" wp14:editId="332F3CF7">
          <wp:simplePos x="0" y="0"/>
          <wp:positionH relativeFrom="column">
            <wp:posOffset>-312420</wp:posOffset>
          </wp:positionH>
          <wp:positionV relativeFrom="paragraph">
            <wp:posOffset>33020</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D28F5" w14:textId="77777777" w:rsidR="006A0423" w:rsidRDefault="00B835B7" w:rsidP="003023E6">
    <w:pPr>
      <w:pStyle w:val="Legalentity"/>
      <w:spacing w:after="140" w:line="240" w:lineRule="auto"/>
      <w:rPr>
        <w:rFonts w:ascii="FrutigerNextPro-Light" w:hAnsi="FrutigerNextPro-Light"/>
        <w:color w:val="002776"/>
      </w:rPr>
    </w:pPr>
  </w:p>
  <w:p w14:paraId="00C8F182" w14:textId="77777777" w:rsidR="006A0423" w:rsidRDefault="00B835B7" w:rsidP="003023E6">
    <w:pPr>
      <w:pStyle w:val="Legalentity"/>
      <w:spacing w:after="140" w:line="240" w:lineRule="auto"/>
      <w:rPr>
        <w:rFonts w:ascii="FrutigerNextPro-Light" w:hAnsi="FrutigerNextPro-Light"/>
        <w:color w:val="002776"/>
      </w:rPr>
    </w:pPr>
  </w:p>
  <w:p w14:paraId="37E5CC0A" w14:textId="77777777" w:rsidR="005443B3" w:rsidRPr="001615F5" w:rsidRDefault="00F816A4">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3642A214" wp14:editId="3550A4A5">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1BCA7" w14:textId="77777777" w:rsidR="006679A3" w:rsidRPr="00E57B68" w:rsidRDefault="00B835B7"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2A214"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" o:allowincell="f" stroked="f">
              <v:textbox inset="0,0,0,0">
                <w:txbxContent>
                  <w:p w14:paraId="04A1BCA7" w14:textId="77777777" w:rsidR="006679A3" w:rsidRPr="00E57B68" w:rsidRDefault="00B835B7"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6A8"/>
    <w:multiLevelType w:val="hybridMultilevel"/>
    <w:tmpl w:val="AB4E3D7E"/>
    <w:lvl w:ilvl="0" w:tplc="A9C8C81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810"/>
    <w:rsid w:val="00001B5C"/>
    <w:rsid w:val="000171F4"/>
    <w:rsid w:val="00023B1A"/>
    <w:rsid w:val="00047A78"/>
    <w:rsid w:val="00055DDA"/>
    <w:rsid w:val="00063DB2"/>
    <w:rsid w:val="000753E7"/>
    <w:rsid w:val="00092633"/>
    <w:rsid w:val="000A32A6"/>
    <w:rsid w:val="000D7C40"/>
    <w:rsid w:val="000F192F"/>
    <w:rsid w:val="000F1F2E"/>
    <w:rsid w:val="00121AFC"/>
    <w:rsid w:val="00144C70"/>
    <w:rsid w:val="001602C0"/>
    <w:rsid w:val="001646B9"/>
    <w:rsid w:val="001874E5"/>
    <w:rsid w:val="001B0E57"/>
    <w:rsid w:val="001C1A03"/>
    <w:rsid w:val="002018AD"/>
    <w:rsid w:val="002323CB"/>
    <w:rsid w:val="0027179D"/>
    <w:rsid w:val="00280C8A"/>
    <w:rsid w:val="00287954"/>
    <w:rsid w:val="002C0CB2"/>
    <w:rsid w:val="002D5104"/>
    <w:rsid w:val="003156CC"/>
    <w:rsid w:val="00321DDC"/>
    <w:rsid w:val="00324E8B"/>
    <w:rsid w:val="00346FB1"/>
    <w:rsid w:val="003823CD"/>
    <w:rsid w:val="00384246"/>
    <w:rsid w:val="0038702C"/>
    <w:rsid w:val="003937BF"/>
    <w:rsid w:val="003B548B"/>
    <w:rsid w:val="003F19FD"/>
    <w:rsid w:val="00401518"/>
    <w:rsid w:val="00410E0F"/>
    <w:rsid w:val="00420104"/>
    <w:rsid w:val="00460DE7"/>
    <w:rsid w:val="00473A12"/>
    <w:rsid w:val="0048704B"/>
    <w:rsid w:val="00492A56"/>
    <w:rsid w:val="004B5DF1"/>
    <w:rsid w:val="004C424C"/>
    <w:rsid w:val="004C46F0"/>
    <w:rsid w:val="004D7165"/>
    <w:rsid w:val="005032F1"/>
    <w:rsid w:val="00537F2A"/>
    <w:rsid w:val="00554629"/>
    <w:rsid w:val="00563FBB"/>
    <w:rsid w:val="005C33BD"/>
    <w:rsid w:val="005D3CC4"/>
    <w:rsid w:val="005E1654"/>
    <w:rsid w:val="005E605B"/>
    <w:rsid w:val="00606EB5"/>
    <w:rsid w:val="00607047"/>
    <w:rsid w:val="00620372"/>
    <w:rsid w:val="006432A7"/>
    <w:rsid w:val="00645E3E"/>
    <w:rsid w:val="00664FD9"/>
    <w:rsid w:val="00684162"/>
    <w:rsid w:val="006941AD"/>
    <w:rsid w:val="006A2809"/>
    <w:rsid w:val="006D2557"/>
    <w:rsid w:val="006F3A03"/>
    <w:rsid w:val="00700A61"/>
    <w:rsid w:val="0070627D"/>
    <w:rsid w:val="00720045"/>
    <w:rsid w:val="00785A30"/>
    <w:rsid w:val="007A30A3"/>
    <w:rsid w:val="007C12FD"/>
    <w:rsid w:val="007C3DB8"/>
    <w:rsid w:val="007D306D"/>
    <w:rsid w:val="007D3EEC"/>
    <w:rsid w:val="007E202B"/>
    <w:rsid w:val="00801C94"/>
    <w:rsid w:val="00811F00"/>
    <w:rsid w:val="0093338B"/>
    <w:rsid w:val="00935434"/>
    <w:rsid w:val="00946B25"/>
    <w:rsid w:val="00954903"/>
    <w:rsid w:val="00986574"/>
    <w:rsid w:val="009B6FD5"/>
    <w:rsid w:val="009C28C4"/>
    <w:rsid w:val="009D0815"/>
    <w:rsid w:val="009F0AA8"/>
    <w:rsid w:val="00A8696D"/>
    <w:rsid w:val="00A90A20"/>
    <w:rsid w:val="00AA6538"/>
    <w:rsid w:val="00AB5CC2"/>
    <w:rsid w:val="00AB683C"/>
    <w:rsid w:val="00AC46E5"/>
    <w:rsid w:val="00AF072A"/>
    <w:rsid w:val="00B2225D"/>
    <w:rsid w:val="00B23A90"/>
    <w:rsid w:val="00B308F6"/>
    <w:rsid w:val="00B31D83"/>
    <w:rsid w:val="00B60BED"/>
    <w:rsid w:val="00B65E72"/>
    <w:rsid w:val="00B835B7"/>
    <w:rsid w:val="00BA3BCA"/>
    <w:rsid w:val="00BC02E2"/>
    <w:rsid w:val="00BC5DEF"/>
    <w:rsid w:val="00BE4DF3"/>
    <w:rsid w:val="00C01B7D"/>
    <w:rsid w:val="00C05867"/>
    <w:rsid w:val="00C24675"/>
    <w:rsid w:val="00C31810"/>
    <w:rsid w:val="00C33ACE"/>
    <w:rsid w:val="00C6000C"/>
    <w:rsid w:val="00CC3DC4"/>
    <w:rsid w:val="00CC5A46"/>
    <w:rsid w:val="00CC72F6"/>
    <w:rsid w:val="00CE45F5"/>
    <w:rsid w:val="00CF0790"/>
    <w:rsid w:val="00D0167D"/>
    <w:rsid w:val="00D153A0"/>
    <w:rsid w:val="00D17454"/>
    <w:rsid w:val="00D238BA"/>
    <w:rsid w:val="00D97856"/>
    <w:rsid w:val="00DD6EBB"/>
    <w:rsid w:val="00E04FEF"/>
    <w:rsid w:val="00E35B60"/>
    <w:rsid w:val="00E959A4"/>
    <w:rsid w:val="00EA09FF"/>
    <w:rsid w:val="00EC1DEC"/>
    <w:rsid w:val="00ED542B"/>
    <w:rsid w:val="00EF27FD"/>
    <w:rsid w:val="00EF6E91"/>
    <w:rsid w:val="00F2273D"/>
    <w:rsid w:val="00F46ADE"/>
    <w:rsid w:val="00F6275D"/>
    <w:rsid w:val="00F816A4"/>
    <w:rsid w:val="00F82819"/>
    <w:rsid w:val="00FC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37146"/>
  <w15:chartTrackingRefBased/>
  <w15:docId w15:val="{5A395C72-5D5D-40DF-A390-E839615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19"/>
    <w:pPr>
      <w:tabs>
        <w:tab w:val="left" w:pos="284"/>
        <w:tab w:val="left" w:pos="567"/>
        <w:tab w:val="left" w:pos="851"/>
        <w:tab w:val="left" w:pos="1985"/>
        <w:tab w:val="left" w:pos="3119"/>
        <w:tab w:val="left" w:pos="4253"/>
        <w:tab w:val="right" w:pos="7655"/>
      </w:tabs>
      <w:spacing w:after="0" w:line="280" w:lineRule="exact"/>
    </w:pPr>
    <w:rPr>
      <w:rFonts w:ascii="Verdana" w:eastAsia="Times" w:hAnsi="Verdan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CD"/>
    <w:rPr>
      <w:color w:val="0563C1" w:themeColor="hyperlink"/>
      <w:u w:val="single"/>
    </w:rPr>
  </w:style>
  <w:style w:type="paragraph" w:styleId="ListParagraph">
    <w:name w:val="List Paragraph"/>
    <w:basedOn w:val="Normal"/>
    <w:uiPriority w:val="34"/>
    <w:qFormat/>
    <w:rsid w:val="003156CC"/>
    <w:pPr>
      <w:tabs>
        <w:tab w:val="clear" w:pos="284"/>
        <w:tab w:val="clear" w:pos="567"/>
        <w:tab w:val="clear" w:pos="851"/>
        <w:tab w:val="clear" w:pos="1985"/>
        <w:tab w:val="clear" w:pos="3119"/>
        <w:tab w:val="clear" w:pos="4253"/>
        <w:tab w:val="clear" w:pos="7655"/>
      </w:tabs>
      <w:spacing w:after="160" w:line="259"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420104"/>
    <w:rPr>
      <w:sz w:val="16"/>
      <w:szCs w:val="16"/>
    </w:rPr>
  </w:style>
  <w:style w:type="paragraph" w:styleId="CommentText">
    <w:name w:val="annotation text"/>
    <w:basedOn w:val="Normal"/>
    <w:link w:val="CommentTextChar"/>
    <w:uiPriority w:val="99"/>
    <w:semiHidden/>
    <w:unhideWhenUsed/>
    <w:rsid w:val="00420104"/>
    <w:pPr>
      <w:tabs>
        <w:tab w:val="clear" w:pos="284"/>
        <w:tab w:val="clear" w:pos="567"/>
        <w:tab w:val="clear" w:pos="851"/>
        <w:tab w:val="clear" w:pos="1985"/>
        <w:tab w:val="clear" w:pos="3119"/>
        <w:tab w:val="clear" w:pos="4253"/>
        <w:tab w:val="clear" w:pos="7655"/>
      </w:tabs>
      <w:spacing w:after="160" w:line="240" w:lineRule="auto"/>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20104"/>
    <w:rPr>
      <w:sz w:val="20"/>
      <w:szCs w:val="20"/>
    </w:rPr>
  </w:style>
  <w:style w:type="paragraph" w:styleId="CommentSubject">
    <w:name w:val="annotation subject"/>
    <w:basedOn w:val="CommentText"/>
    <w:next w:val="CommentText"/>
    <w:link w:val="CommentSubjectChar"/>
    <w:uiPriority w:val="99"/>
    <w:semiHidden/>
    <w:unhideWhenUsed/>
    <w:rsid w:val="00420104"/>
    <w:rPr>
      <w:b/>
      <w:bCs/>
    </w:rPr>
  </w:style>
  <w:style w:type="character" w:customStyle="1" w:styleId="CommentSubjectChar">
    <w:name w:val="Comment Subject Char"/>
    <w:basedOn w:val="CommentTextChar"/>
    <w:link w:val="CommentSubject"/>
    <w:uiPriority w:val="99"/>
    <w:semiHidden/>
    <w:rsid w:val="00420104"/>
    <w:rPr>
      <w:b/>
      <w:bCs/>
      <w:sz w:val="20"/>
      <w:szCs w:val="20"/>
    </w:rPr>
  </w:style>
  <w:style w:type="paragraph" w:styleId="BalloonText">
    <w:name w:val="Balloon Text"/>
    <w:basedOn w:val="Normal"/>
    <w:link w:val="BalloonTextChar"/>
    <w:uiPriority w:val="99"/>
    <w:semiHidden/>
    <w:unhideWhenUsed/>
    <w:rsid w:val="00420104"/>
    <w:pPr>
      <w:tabs>
        <w:tab w:val="clear" w:pos="284"/>
        <w:tab w:val="clear" w:pos="567"/>
        <w:tab w:val="clear" w:pos="851"/>
        <w:tab w:val="clear" w:pos="1985"/>
        <w:tab w:val="clear" w:pos="3119"/>
        <w:tab w:val="clear" w:pos="4253"/>
        <w:tab w:val="clear" w:pos="7655"/>
      </w:tabs>
      <w:spacing w:line="240" w:lineRule="auto"/>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20104"/>
    <w:rPr>
      <w:rFonts w:ascii="Segoe UI" w:hAnsi="Segoe UI" w:cs="Segoe UI"/>
      <w:sz w:val="18"/>
      <w:szCs w:val="18"/>
    </w:rPr>
  </w:style>
  <w:style w:type="paragraph" w:styleId="Footer">
    <w:name w:val="footer"/>
    <w:basedOn w:val="Normal"/>
    <w:link w:val="FooterChar"/>
    <w:semiHidden/>
    <w:rsid w:val="00F82819"/>
    <w:pPr>
      <w:spacing w:line="160" w:lineRule="exact"/>
    </w:pPr>
    <w:rPr>
      <w:rFonts w:ascii="Helvetica 45 Light" w:hAnsi="Helvetica 45 Light"/>
      <w:sz w:val="12"/>
    </w:rPr>
  </w:style>
  <w:style w:type="character" w:customStyle="1" w:styleId="FooterChar">
    <w:name w:val="Footer Char"/>
    <w:basedOn w:val="DefaultParagraphFont"/>
    <w:link w:val="Footer"/>
    <w:semiHidden/>
    <w:rsid w:val="00F82819"/>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F82819"/>
    <w:pPr>
      <w:tabs>
        <w:tab w:val="center" w:pos="4320"/>
        <w:tab w:val="right" w:pos="8640"/>
      </w:tabs>
    </w:pPr>
    <w:rPr>
      <w:rFonts w:ascii="Helvetica 45 Light" w:hAnsi="Helvetica 45 Light"/>
    </w:rPr>
  </w:style>
  <w:style w:type="character" w:customStyle="1" w:styleId="HeaderChar">
    <w:name w:val="Header Char"/>
    <w:basedOn w:val="DefaultParagraphFont"/>
    <w:link w:val="Header"/>
    <w:semiHidden/>
    <w:rsid w:val="00F82819"/>
    <w:rPr>
      <w:rFonts w:ascii="Helvetica 45 Light" w:eastAsia="Times" w:hAnsi="Helvetica 45 Light" w:cs="Times New Roman"/>
      <w:sz w:val="20"/>
      <w:szCs w:val="20"/>
      <w:lang w:val="en-GB" w:eastAsia="en-GB"/>
    </w:rPr>
  </w:style>
  <w:style w:type="paragraph" w:customStyle="1" w:styleId="Legalentity">
    <w:name w:val="Legal entity"/>
    <w:basedOn w:val="Normal"/>
    <w:rsid w:val="00F82819"/>
    <w:pPr>
      <w:widowControl w:val="0"/>
      <w:suppressAutoHyphens/>
      <w:autoSpaceDE w:val="0"/>
      <w:autoSpaceDN w:val="0"/>
      <w:adjustRightInd w:val="0"/>
      <w:spacing w:after="90" w:line="180" w:lineRule="atLeast"/>
      <w:textAlignment w:val="center"/>
    </w:pPr>
    <w:rPr>
      <w:rFonts w:ascii="ArialMT" w:eastAsia="Times New Roman" w:hAnsi="ArialMT"/>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6477">
      <w:bodyDiv w:val="1"/>
      <w:marLeft w:val="0"/>
      <w:marRight w:val="0"/>
      <w:marTop w:val="0"/>
      <w:marBottom w:val="0"/>
      <w:divBdr>
        <w:top w:val="none" w:sz="0" w:space="0" w:color="auto"/>
        <w:left w:val="none" w:sz="0" w:space="0" w:color="auto"/>
        <w:bottom w:val="none" w:sz="0" w:space="0" w:color="auto"/>
        <w:right w:val="none" w:sz="0" w:space="0" w:color="auto"/>
      </w:divBdr>
    </w:div>
    <w:div w:id="15792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Codrina Apostol</cp:lastModifiedBy>
  <cp:revision>88</cp:revision>
  <dcterms:created xsi:type="dcterms:W3CDTF">2021-12-03T08:35:00Z</dcterms:created>
  <dcterms:modified xsi:type="dcterms:W3CDTF">2021-12-03T09:30:00Z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2021-09-17T06:43:28Z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103b8a45-102b-4678-98ef-b2475223acfb</vt:lpwstr>
  </property>
  <property fmtid="{D5CDD505-2E9C-101B-9397-08002B2CF9AE}" pid="8" name="MSIP_Label_ea60d57e-af5b-4752-ac57-3e4f28ca11dc_ContentBits">
    <vt:lpwstr>0</vt:lpwstr>
  </property>
</Properties>
</file>