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CC" w:rsidRDefault="00C80BCC" w:rsidP="00C80BCC">
      <w:pPr>
        <w:keepNext/>
        <w:spacing w:after="0" w:line="276" w:lineRule="auto"/>
        <w:contextualSpacing/>
        <w:jc w:val="center"/>
        <w:outlineLvl w:val="6"/>
        <w:rPr>
          <w:rFonts w:ascii="Trebuchet MS" w:eastAsia="Times New Roman" w:hAnsi="Trebuchet MS" w:cs="Arial"/>
          <w:b/>
          <w:color w:val="000000" w:themeColor="text1"/>
          <w:lang w:val="ro-RO" w:eastAsia="ro-RO"/>
        </w:rPr>
      </w:pPr>
    </w:p>
    <w:p w:rsidR="00C80BCC" w:rsidRDefault="00C80BCC" w:rsidP="00C80BCC">
      <w:pPr>
        <w:keepNext/>
        <w:spacing w:after="0" w:line="276" w:lineRule="auto"/>
        <w:contextualSpacing/>
        <w:jc w:val="right"/>
        <w:outlineLvl w:val="6"/>
        <w:rPr>
          <w:rFonts w:ascii="Trebuchet MS" w:eastAsia="Times New Roman" w:hAnsi="Trebuchet MS" w:cs="Arial"/>
          <w:b/>
          <w:color w:val="000000" w:themeColor="text1"/>
          <w:lang w:val="ro-RO" w:eastAsia="ro-RO"/>
        </w:rPr>
      </w:pPr>
    </w:p>
    <w:p w:rsidR="00C80BCC" w:rsidRDefault="00C80BCC" w:rsidP="00C80BCC">
      <w:pPr>
        <w:keepNext/>
        <w:spacing w:after="0" w:line="276" w:lineRule="auto"/>
        <w:contextualSpacing/>
        <w:jc w:val="center"/>
        <w:outlineLvl w:val="6"/>
        <w:rPr>
          <w:rFonts w:ascii="Trebuchet MS" w:eastAsia="Times New Roman" w:hAnsi="Trebuchet MS" w:cs="Arial"/>
          <w:b/>
          <w:color w:val="000000" w:themeColor="text1"/>
          <w:lang w:val="ro-RO" w:eastAsia="ro-RO"/>
        </w:rPr>
      </w:pPr>
    </w:p>
    <w:p w:rsidR="00C80BCC" w:rsidRDefault="00C80BCC" w:rsidP="00C80BCC">
      <w:pPr>
        <w:keepNext/>
        <w:spacing w:after="0" w:line="276" w:lineRule="auto"/>
        <w:contextualSpacing/>
        <w:jc w:val="center"/>
        <w:outlineLvl w:val="6"/>
        <w:rPr>
          <w:rFonts w:ascii="Trebuchet MS" w:eastAsia="Times New Roman" w:hAnsi="Trebuchet MS" w:cs="Arial"/>
          <w:b/>
          <w:color w:val="000000" w:themeColor="text1"/>
          <w:lang w:val="ro-RO" w:eastAsia="ro-RO"/>
        </w:rPr>
      </w:pPr>
    </w:p>
    <w:p w:rsidR="00C80BCC" w:rsidRPr="00DE754A" w:rsidRDefault="00C80BCC" w:rsidP="00C80BCC">
      <w:pPr>
        <w:keepNext/>
        <w:spacing w:after="0" w:line="276" w:lineRule="auto"/>
        <w:contextualSpacing/>
        <w:jc w:val="center"/>
        <w:outlineLvl w:val="6"/>
        <w:rPr>
          <w:rFonts w:ascii="Trebuchet MS" w:eastAsia="Times New Roman" w:hAnsi="Trebuchet MS" w:cs="Arial"/>
          <w:b/>
          <w:color w:val="000000" w:themeColor="text1"/>
          <w:lang w:val="ro-RO" w:eastAsia="ro-RO"/>
        </w:rPr>
      </w:pPr>
    </w:p>
    <w:p w:rsidR="00C80BCC" w:rsidRPr="004564F1" w:rsidRDefault="00C80BCC" w:rsidP="00C80BCC">
      <w:pPr>
        <w:spacing w:line="276" w:lineRule="auto"/>
        <w:contextualSpacing/>
        <w:jc w:val="center"/>
        <w:rPr>
          <w:rFonts w:ascii="Trebuchet MS" w:eastAsia="Calibri" w:hAnsi="Trebuchet MS" w:cs="Arial"/>
          <w:b/>
          <w:color w:val="000000" w:themeColor="text1"/>
          <w:lang w:val="ro-RO"/>
        </w:rPr>
      </w:pPr>
      <w:r w:rsidRPr="004564F1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O R D I N  </w:t>
      </w:r>
      <w:r w:rsidR="00344919">
        <w:rPr>
          <w:rFonts w:ascii="Trebuchet MS" w:eastAsia="Calibri" w:hAnsi="Trebuchet MS" w:cs="Arial"/>
          <w:b/>
          <w:color w:val="000000" w:themeColor="text1"/>
          <w:lang w:val="ro-RO"/>
        </w:rPr>
        <w:t>n</w:t>
      </w:r>
      <w:r w:rsidRPr="004564F1">
        <w:rPr>
          <w:rFonts w:ascii="Trebuchet MS" w:eastAsia="Calibri" w:hAnsi="Trebuchet MS" w:cs="Arial"/>
          <w:b/>
          <w:color w:val="000000" w:themeColor="text1"/>
          <w:lang w:val="ro-RO"/>
        </w:rPr>
        <w:t>r. _____</w:t>
      </w:r>
    </w:p>
    <w:p w:rsidR="00C80BCC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rebuchet MS" w:hAnsi="Trebuchet MS" w:cs="Times New Roman"/>
          <w:b/>
        </w:rPr>
      </w:pPr>
      <w:r w:rsidRPr="004564F1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pentru </w:t>
      </w:r>
      <w:r w:rsidRPr="004564F1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modificarea și completarea </w:t>
      </w:r>
      <w:proofErr w:type="spellStart"/>
      <w:r w:rsidRPr="004564F1">
        <w:rPr>
          <w:rFonts w:ascii="Trebuchet MS" w:eastAsia="Calibri" w:hAnsi="Trebuchet MS" w:cs="Arial"/>
          <w:b/>
          <w:bCs/>
          <w:iCs/>
          <w:color w:val="000000" w:themeColor="text1"/>
        </w:rPr>
        <w:t>Ordinului</w:t>
      </w:r>
      <w:proofErr w:type="spellEnd"/>
      <w:r w:rsidRPr="004564F1">
        <w:rPr>
          <w:rFonts w:ascii="Trebuchet MS" w:eastAsia="Calibri" w:hAnsi="Trebuchet MS" w:cs="Arial"/>
          <w:b/>
          <w:bCs/>
          <w:iCs/>
          <w:color w:val="000000" w:themeColor="text1"/>
        </w:rPr>
        <w:t xml:space="preserve"> </w:t>
      </w:r>
      <w:proofErr w:type="spellStart"/>
      <w:r w:rsidRPr="004564F1">
        <w:rPr>
          <w:rFonts w:ascii="Trebuchet MS" w:eastAsia="Calibri" w:hAnsi="Trebuchet MS" w:cs="Arial"/>
          <w:b/>
          <w:bCs/>
          <w:iCs/>
          <w:color w:val="000000" w:themeColor="text1"/>
        </w:rPr>
        <w:t>ministrului</w:t>
      </w:r>
      <w:proofErr w:type="spellEnd"/>
      <w:r w:rsidRPr="004564F1">
        <w:rPr>
          <w:rFonts w:ascii="Trebuchet MS" w:eastAsia="Calibri" w:hAnsi="Trebuchet MS" w:cs="Arial"/>
          <w:b/>
          <w:bCs/>
          <w:iCs/>
          <w:color w:val="000000" w:themeColor="text1"/>
        </w:rPr>
        <w:t xml:space="preserve"> </w:t>
      </w:r>
      <w:proofErr w:type="spellStart"/>
      <w:r w:rsidRPr="004564F1">
        <w:rPr>
          <w:rFonts w:ascii="Trebuchet MS" w:eastAsia="Calibri" w:hAnsi="Trebuchet MS" w:cs="Arial"/>
          <w:b/>
          <w:bCs/>
          <w:iCs/>
          <w:color w:val="000000" w:themeColor="text1"/>
        </w:rPr>
        <w:t>justiţiei</w:t>
      </w:r>
      <w:proofErr w:type="spellEnd"/>
      <w:r w:rsidRPr="004564F1">
        <w:rPr>
          <w:rFonts w:ascii="Trebuchet MS" w:eastAsia="Calibri" w:hAnsi="Trebuchet MS" w:cs="Arial"/>
          <w:b/>
          <w:bCs/>
          <w:iCs/>
          <w:color w:val="000000" w:themeColor="text1"/>
        </w:rPr>
        <w:t xml:space="preserve"> nr.</w:t>
      </w:r>
      <w:r w:rsidRPr="004564F1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482/C/2020 </w:t>
      </w:r>
      <w:proofErr w:type="spellStart"/>
      <w:r w:rsidRPr="004564F1">
        <w:rPr>
          <w:rFonts w:ascii="Trebuchet MS" w:hAnsi="Trebuchet MS" w:cs="Times New Roman"/>
          <w:b/>
        </w:rPr>
        <w:t>privind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stabilirea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condiţiilor</w:t>
      </w:r>
      <w:proofErr w:type="spellEnd"/>
      <w:r w:rsidRPr="004564F1">
        <w:rPr>
          <w:rFonts w:ascii="Trebuchet MS" w:hAnsi="Trebuchet MS" w:cs="Times New Roman"/>
          <w:b/>
        </w:rPr>
        <w:t xml:space="preserve"> de </w:t>
      </w:r>
      <w:proofErr w:type="spellStart"/>
      <w:r w:rsidRPr="004564F1">
        <w:rPr>
          <w:rFonts w:ascii="Trebuchet MS" w:hAnsi="Trebuchet MS" w:cs="Times New Roman"/>
          <w:b/>
        </w:rPr>
        <w:t>acordare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în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beneficiul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poliţiştilor</w:t>
      </w:r>
      <w:proofErr w:type="spellEnd"/>
      <w:r w:rsidRPr="004564F1">
        <w:rPr>
          <w:rFonts w:ascii="Trebuchet MS" w:hAnsi="Trebuchet MS" w:cs="Times New Roman"/>
          <w:b/>
        </w:rPr>
        <w:t xml:space="preserve"> de </w:t>
      </w:r>
      <w:proofErr w:type="spellStart"/>
      <w:r w:rsidRPr="004564F1">
        <w:rPr>
          <w:rFonts w:ascii="Trebuchet MS" w:hAnsi="Trebuchet MS" w:cs="Times New Roman"/>
          <w:b/>
        </w:rPr>
        <w:t>penitenciare</w:t>
      </w:r>
      <w:proofErr w:type="spellEnd"/>
      <w:r w:rsidRPr="004564F1">
        <w:rPr>
          <w:rFonts w:ascii="Trebuchet MS" w:hAnsi="Trebuchet MS" w:cs="Times New Roman"/>
          <w:b/>
        </w:rPr>
        <w:t xml:space="preserve"> a </w:t>
      </w:r>
      <w:proofErr w:type="spellStart"/>
      <w:r w:rsidRPr="004564F1">
        <w:rPr>
          <w:rFonts w:ascii="Trebuchet MS" w:hAnsi="Trebuchet MS" w:cs="Times New Roman"/>
          <w:b/>
        </w:rPr>
        <w:t>compensaţiei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lunare</w:t>
      </w:r>
      <w:proofErr w:type="spellEnd"/>
      <w:r w:rsidRPr="004564F1">
        <w:rPr>
          <w:rFonts w:ascii="Trebuchet MS" w:hAnsi="Trebuchet MS" w:cs="Times New Roman"/>
          <w:b/>
        </w:rPr>
        <w:t xml:space="preserve"> a </w:t>
      </w:r>
      <w:proofErr w:type="spellStart"/>
      <w:r w:rsidRPr="004564F1">
        <w:rPr>
          <w:rFonts w:ascii="Trebuchet MS" w:hAnsi="Trebuchet MS" w:cs="Times New Roman"/>
          <w:b/>
        </w:rPr>
        <w:t>chiriei</w:t>
      </w:r>
      <w:proofErr w:type="spellEnd"/>
      <w:r w:rsidRPr="004564F1">
        <w:rPr>
          <w:rFonts w:ascii="Trebuchet MS" w:hAnsi="Trebuchet MS" w:cs="Times New Roman"/>
          <w:b/>
        </w:rPr>
        <w:t xml:space="preserve">, precum </w:t>
      </w:r>
      <w:proofErr w:type="spellStart"/>
      <w:r w:rsidRPr="004564F1">
        <w:rPr>
          <w:rFonts w:ascii="Trebuchet MS" w:hAnsi="Trebuchet MS" w:cs="Times New Roman"/>
          <w:b/>
        </w:rPr>
        <w:t>şi</w:t>
      </w:r>
      <w:proofErr w:type="spellEnd"/>
      <w:r w:rsidRPr="004564F1">
        <w:rPr>
          <w:rFonts w:ascii="Trebuchet MS" w:hAnsi="Trebuchet MS" w:cs="Times New Roman"/>
          <w:b/>
        </w:rPr>
        <w:t xml:space="preserve"> a </w:t>
      </w:r>
      <w:proofErr w:type="spellStart"/>
      <w:r w:rsidRPr="004564F1">
        <w:rPr>
          <w:rFonts w:ascii="Trebuchet MS" w:hAnsi="Trebuchet MS" w:cs="Times New Roman"/>
          <w:b/>
        </w:rPr>
        <w:t>compensaţiei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lunare</w:t>
      </w:r>
      <w:proofErr w:type="spellEnd"/>
      <w:r w:rsidRPr="004564F1">
        <w:rPr>
          <w:rFonts w:ascii="Trebuchet MS" w:hAnsi="Trebuchet MS" w:cs="Times New Roman"/>
          <w:b/>
        </w:rPr>
        <w:t xml:space="preserve"> a </w:t>
      </w:r>
      <w:proofErr w:type="spellStart"/>
      <w:r w:rsidRPr="004564F1">
        <w:rPr>
          <w:rFonts w:ascii="Trebuchet MS" w:hAnsi="Trebuchet MS" w:cs="Times New Roman"/>
          <w:b/>
        </w:rPr>
        <w:t>chiriei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pentru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plata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ratei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sau</w:t>
      </w:r>
      <w:proofErr w:type="spellEnd"/>
      <w:r w:rsidRPr="004564F1">
        <w:rPr>
          <w:rFonts w:ascii="Trebuchet MS" w:hAnsi="Trebuchet MS" w:cs="Times New Roman"/>
          <w:b/>
        </w:rPr>
        <w:t xml:space="preserve"> a </w:t>
      </w:r>
      <w:proofErr w:type="spellStart"/>
      <w:r w:rsidRPr="004564F1">
        <w:rPr>
          <w:rFonts w:ascii="Trebuchet MS" w:hAnsi="Trebuchet MS" w:cs="Times New Roman"/>
          <w:b/>
        </w:rPr>
        <w:t>unei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fracţiuni</w:t>
      </w:r>
      <w:proofErr w:type="spellEnd"/>
      <w:r w:rsidRPr="004564F1">
        <w:rPr>
          <w:rFonts w:ascii="Trebuchet MS" w:hAnsi="Trebuchet MS" w:cs="Times New Roman"/>
          <w:b/>
        </w:rPr>
        <w:t xml:space="preserve"> din rata </w:t>
      </w:r>
      <w:proofErr w:type="spellStart"/>
      <w:r w:rsidRPr="004564F1">
        <w:rPr>
          <w:rFonts w:ascii="Trebuchet MS" w:hAnsi="Trebuchet MS" w:cs="Times New Roman"/>
          <w:b/>
        </w:rPr>
        <w:t>aferentă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unui</w:t>
      </w:r>
      <w:proofErr w:type="spellEnd"/>
      <w:r w:rsidRPr="004564F1">
        <w:rPr>
          <w:rFonts w:ascii="Trebuchet MS" w:hAnsi="Trebuchet MS" w:cs="Times New Roman"/>
          <w:b/>
        </w:rPr>
        <w:t xml:space="preserve"> credit </w:t>
      </w:r>
      <w:proofErr w:type="spellStart"/>
      <w:r w:rsidRPr="004564F1">
        <w:rPr>
          <w:rFonts w:ascii="Trebuchet MS" w:hAnsi="Trebuchet MS" w:cs="Times New Roman"/>
          <w:b/>
        </w:rPr>
        <w:t>ipotecar</w:t>
      </w:r>
      <w:proofErr w:type="spellEnd"/>
      <w:r w:rsidRPr="004564F1">
        <w:rPr>
          <w:rFonts w:ascii="Trebuchet MS" w:hAnsi="Trebuchet MS" w:cs="Times New Roman"/>
          <w:b/>
        </w:rPr>
        <w:t>/</w:t>
      </w:r>
      <w:proofErr w:type="spellStart"/>
      <w:r w:rsidRPr="004564F1">
        <w:rPr>
          <w:rFonts w:ascii="Trebuchet MS" w:hAnsi="Trebuchet MS" w:cs="Times New Roman"/>
          <w:b/>
        </w:rPr>
        <w:t>imobiliar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destinat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achiziţionării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unei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locuinţe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sau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unui</w:t>
      </w:r>
      <w:proofErr w:type="spellEnd"/>
      <w:r w:rsidRPr="004564F1">
        <w:rPr>
          <w:rFonts w:ascii="Trebuchet MS" w:hAnsi="Trebuchet MS" w:cs="Times New Roman"/>
          <w:b/>
        </w:rPr>
        <w:t xml:space="preserve"> contract de </w:t>
      </w:r>
      <w:proofErr w:type="spellStart"/>
      <w:r w:rsidRPr="004564F1">
        <w:rPr>
          <w:rFonts w:ascii="Trebuchet MS" w:hAnsi="Trebuchet MS" w:cs="Times New Roman"/>
          <w:b/>
        </w:rPr>
        <w:t>vânzare-cumpărare</w:t>
      </w:r>
      <w:proofErr w:type="spellEnd"/>
      <w:r w:rsidRPr="004564F1">
        <w:rPr>
          <w:rFonts w:ascii="Trebuchet MS" w:hAnsi="Trebuchet MS" w:cs="Times New Roman"/>
          <w:b/>
        </w:rPr>
        <w:t xml:space="preserve"> cu </w:t>
      </w:r>
      <w:proofErr w:type="spellStart"/>
      <w:r w:rsidRPr="004564F1">
        <w:rPr>
          <w:rFonts w:ascii="Trebuchet MS" w:hAnsi="Trebuchet MS" w:cs="Times New Roman"/>
          <w:b/>
        </w:rPr>
        <w:t>plata</w:t>
      </w:r>
      <w:proofErr w:type="spellEnd"/>
      <w:r w:rsidRPr="004564F1">
        <w:rPr>
          <w:rFonts w:ascii="Trebuchet MS" w:hAnsi="Trebuchet MS" w:cs="Times New Roman"/>
          <w:b/>
        </w:rPr>
        <w:t xml:space="preserve"> </w:t>
      </w:r>
      <w:proofErr w:type="spellStart"/>
      <w:r w:rsidRPr="004564F1">
        <w:rPr>
          <w:rFonts w:ascii="Trebuchet MS" w:hAnsi="Trebuchet MS" w:cs="Times New Roman"/>
          <w:b/>
        </w:rPr>
        <w:t>în</w:t>
      </w:r>
      <w:proofErr w:type="spellEnd"/>
      <w:r w:rsidRPr="004564F1">
        <w:rPr>
          <w:rFonts w:ascii="Trebuchet MS" w:hAnsi="Trebuchet MS" w:cs="Times New Roman"/>
          <w:b/>
        </w:rPr>
        <w:t xml:space="preserve"> rate a </w:t>
      </w:r>
      <w:proofErr w:type="spellStart"/>
      <w:r w:rsidRPr="004564F1">
        <w:rPr>
          <w:rFonts w:ascii="Trebuchet MS" w:hAnsi="Trebuchet MS" w:cs="Times New Roman"/>
          <w:b/>
        </w:rPr>
        <w:t>locuinţei</w:t>
      </w:r>
      <w:proofErr w:type="spellEnd"/>
    </w:p>
    <w:p w:rsidR="00C80BCC" w:rsidRPr="004564F1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</w:p>
    <w:p w:rsidR="00C80BCC" w:rsidRDefault="00C80BCC" w:rsidP="00C80BCC">
      <w:pPr>
        <w:spacing w:line="276" w:lineRule="auto"/>
        <w:contextualSpacing/>
        <w:rPr>
          <w:rFonts w:ascii="Trebuchet MS" w:eastAsia="Calibri" w:hAnsi="Trebuchet MS" w:cs="Arial"/>
          <w:b/>
          <w:color w:val="000000" w:themeColor="text1"/>
          <w:lang w:val="ro-RO"/>
        </w:rPr>
      </w:pPr>
      <w:r w:rsidRPr="004564F1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Ministrul </w:t>
      </w:r>
      <w:proofErr w:type="spellStart"/>
      <w:r w:rsidRPr="004564F1">
        <w:rPr>
          <w:rFonts w:ascii="Trebuchet MS" w:eastAsia="Calibri" w:hAnsi="Trebuchet MS" w:cs="Arial"/>
          <w:b/>
          <w:color w:val="000000" w:themeColor="text1"/>
          <w:lang w:val="ro-RO"/>
        </w:rPr>
        <w:t>Justiţiei</w:t>
      </w:r>
      <w:proofErr w:type="spellEnd"/>
      <w:r w:rsidRPr="004564F1">
        <w:rPr>
          <w:rFonts w:ascii="Trebuchet MS" w:eastAsia="Calibri" w:hAnsi="Trebuchet MS" w:cs="Arial"/>
          <w:b/>
          <w:color w:val="000000" w:themeColor="text1"/>
          <w:lang w:val="ro-RO"/>
        </w:rPr>
        <w:t>,</w:t>
      </w:r>
    </w:p>
    <w:p w:rsidR="00B9074E" w:rsidRPr="004564F1" w:rsidRDefault="00B9074E" w:rsidP="00C80BCC">
      <w:pPr>
        <w:spacing w:line="276" w:lineRule="auto"/>
        <w:contextualSpacing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Pr="004564F1" w:rsidRDefault="00C80BCC" w:rsidP="00C80BCC">
      <w:pPr>
        <w:spacing w:line="276" w:lineRule="auto"/>
        <w:contextualSpacing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Având în vedere prevederile art. 111 alin. (13) din Legea nr. 145/2019 privind </w:t>
      </w:r>
      <w:r>
        <w:rPr>
          <w:rFonts w:ascii="Trebuchet MS" w:eastAsia="Calibri" w:hAnsi="Trebuchet MS" w:cs="Arial"/>
          <w:color w:val="000000" w:themeColor="text1"/>
          <w:lang w:val="ro-RO"/>
        </w:rPr>
        <w:t>s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>tatutul polițiștilor de penitenciare</w:t>
      </w:r>
      <w:r>
        <w:rPr>
          <w:rFonts w:ascii="Trebuchet MS" w:eastAsia="Calibri" w:hAnsi="Trebuchet MS" w:cs="Arial"/>
          <w:color w:val="000000" w:themeColor="text1"/>
          <w:lang w:val="ro-RO"/>
        </w:rPr>
        <w:t>,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cu modificările și completările ulterioare,</w:t>
      </w:r>
    </w:p>
    <w:p w:rsidR="00C80BCC" w:rsidRPr="00DE754A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În temeiul art. 13 din Hotărârea Guvernului nr. 652/2009 privind organizarea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funcţionarea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Ministerului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Justiţiei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, cu modificările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completările ulterioare,</w:t>
      </w:r>
    </w:p>
    <w:p w:rsidR="00C80BCC" w:rsidRDefault="00C80BCC" w:rsidP="00C80BCC">
      <w:pPr>
        <w:spacing w:line="276" w:lineRule="auto"/>
        <w:contextualSpacing/>
        <w:rPr>
          <w:rFonts w:ascii="Trebuchet MS" w:eastAsia="Calibri" w:hAnsi="Trebuchet MS" w:cs="Arial"/>
          <w:color w:val="000000" w:themeColor="text1"/>
          <w:lang w:val="ro-RO"/>
        </w:rPr>
      </w:pPr>
    </w:p>
    <w:p w:rsidR="00C80BCC" w:rsidRDefault="00C80BCC" w:rsidP="00C80BCC">
      <w:pPr>
        <w:spacing w:line="276" w:lineRule="auto"/>
        <w:contextualSpacing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Pr="00DE754A" w:rsidRDefault="00C80BCC" w:rsidP="00C80BCC">
      <w:pPr>
        <w:spacing w:line="276" w:lineRule="auto"/>
        <w:contextualSpacing/>
        <w:rPr>
          <w:rFonts w:ascii="Trebuchet MS" w:eastAsia="Calibri" w:hAnsi="Trebuchet MS" w:cs="Arial"/>
          <w:b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Emite următorul </w:t>
      </w:r>
    </w:p>
    <w:p w:rsidR="00B9074E" w:rsidRDefault="00B9074E" w:rsidP="00C80BCC">
      <w:pPr>
        <w:spacing w:line="276" w:lineRule="auto"/>
        <w:contextualSpacing/>
        <w:jc w:val="center"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Default="00C80BCC" w:rsidP="00C80BCC">
      <w:pPr>
        <w:spacing w:line="276" w:lineRule="auto"/>
        <w:contextualSpacing/>
        <w:jc w:val="center"/>
        <w:rPr>
          <w:rFonts w:ascii="Trebuchet MS" w:eastAsia="Calibri" w:hAnsi="Trebuchet MS" w:cs="Arial"/>
          <w:b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/>
          <w:color w:val="000000" w:themeColor="text1"/>
          <w:lang w:val="ro-RO"/>
        </w:rPr>
        <w:t>ORDIN</w:t>
      </w:r>
    </w:p>
    <w:p w:rsidR="00B9074E" w:rsidRDefault="00B9074E" w:rsidP="00C80BCC">
      <w:pPr>
        <w:spacing w:line="276" w:lineRule="auto"/>
        <w:contextualSpacing/>
        <w:jc w:val="center"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Pr="00DE754A" w:rsidRDefault="00C80BCC" w:rsidP="00C80BCC">
      <w:pPr>
        <w:spacing w:line="276" w:lineRule="auto"/>
        <w:contextualSpacing/>
        <w:jc w:val="center"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Pr="00D61E99" w:rsidRDefault="00C80BCC" w:rsidP="00C80BCC">
      <w:pPr>
        <w:spacing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 w:rsidRPr="00D61E99">
        <w:rPr>
          <w:rFonts w:ascii="Trebuchet MS" w:eastAsia="Calibri" w:hAnsi="Trebuchet MS" w:cs="Arial"/>
          <w:b/>
          <w:color w:val="000000" w:themeColor="text1"/>
          <w:lang w:val="ro-RO"/>
        </w:rPr>
        <w:t>Art</w:t>
      </w:r>
      <w:r>
        <w:rPr>
          <w:rFonts w:ascii="Trebuchet MS" w:eastAsia="Calibri" w:hAnsi="Trebuchet MS" w:cs="Arial"/>
          <w:b/>
          <w:color w:val="000000" w:themeColor="text1"/>
          <w:lang w:val="ro-RO"/>
        </w:rPr>
        <w:t xml:space="preserve">. I </w:t>
      </w:r>
      <w:r w:rsidRPr="00D61E99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-  </w:t>
      </w:r>
      <w:proofErr w:type="spellStart"/>
      <w:r w:rsidRPr="00D61E99">
        <w:rPr>
          <w:rFonts w:ascii="Trebuchet MS" w:eastAsia="Calibri" w:hAnsi="Trebuchet MS" w:cs="Arial"/>
          <w:bCs/>
          <w:iCs/>
          <w:color w:val="000000" w:themeColor="text1"/>
        </w:rPr>
        <w:t>Ordinul</w:t>
      </w:r>
      <w:proofErr w:type="spellEnd"/>
      <w:r w:rsidRPr="00D61E99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61E99">
        <w:rPr>
          <w:rFonts w:ascii="Trebuchet MS" w:eastAsia="Calibri" w:hAnsi="Trebuchet MS" w:cs="Arial"/>
          <w:bCs/>
          <w:iCs/>
          <w:color w:val="000000" w:themeColor="text1"/>
        </w:rPr>
        <w:t>ministrului</w:t>
      </w:r>
      <w:proofErr w:type="spellEnd"/>
      <w:r w:rsidRPr="00D61E99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61E99">
        <w:rPr>
          <w:rFonts w:ascii="Trebuchet MS" w:eastAsia="Calibri" w:hAnsi="Trebuchet MS" w:cs="Arial"/>
          <w:bCs/>
          <w:iCs/>
          <w:color w:val="000000" w:themeColor="text1"/>
        </w:rPr>
        <w:t>justiţiei</w:t>
      </w:r>
      <w:proofErr w:type="spellEnd"/>
      <w:r w:rsidRPr="00D61E99">
        <w:rPr>
          <w:rFonts w:ascii="Trebuchet MS" w:eastAsia="Calibri" w:hAnsi="Trebuchet MS" w:cs="Arial"/>
          <w:bCs/>
          <w:iCs/>
          <w:color w:val="000000" w:themeColor="text1"/>
        </w:rPr>
        <w:t xml:space="preserve"> nr.</w:t>
      </w:r>
      <w:r w:rsidRPr="00D61E99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482/C/2020 privind </w:t>
      </w:r>
      <w:proofErr w:type="spellStart"/>
      <w:r w:rsidRPr="00D61E99">
        <w:rPr>
          <w:rFonts w:ascii="Trebuchet MS" w:hAnsi="Trebuchet MS" w:cs="Times New Roman"/>
        </w:rPr>
        <w:t>stabilirea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condiţiilor</w:t>
      </w:r>
      <w:proofErr w:type="spellEnd"/>
      <w:r w:rsidRPr="00D61E99">
        <w:rPr>
          <w:rFonts w:ascii="Trebuchet MS" w:hAnsi="Trebuchet MS" w:cs="Times New Roman"/>
        </w:rPr>
        <w:t xml:space="preserve"> de </w:t>
      </w:r>
      <w:proofErr w:type="spellStart"/>
      <w:r w:rsidRPr="00D61E99">
        <w:rPr>
          <w:rFonts w:ascii="Trebuchet MS" w:hAnsi="Trebuchet MS" w:cs="Times New Roman"/>
        </w:rPr>
        <w:t>acordare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în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beneficiul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poliţiştilor</w:t>
      </w:r>
      <w:proofErr w:type="spellEnd"/>
      <w:r w:rsidRPr="00D61E99">
        <w:rPr>
          <w:rFonts w:ascii="Trebuchet MS" w:hAnsi="Trebuchet MS" w:cs="Times New Roman"/>
        </w:rPr>
        <w:t xml:space="preserve"> de </w:t>
      </w:r>
      <w:proofErr w:type="spellStart"/>
      <w:r w:rsidRPr="00D61E99">
        <w:rPr>
          <w:rFonts w:ascii="Trebuchet MS" w:hAnsi="Trebuchet MS" w:cs="Times New Roman"/>
        </w:rPr>
        <w:t>penitenciare</w:t>
      </w:r>
      <w:proofErr w:type="spellEnd"/>
      <w:r w:rsidRPr="00D61E99">
        <w:rPr>
          <w:rFonts w:ascii="Trebuchet MS" w:hAnsi="Trebuchet MS" w:cs="Times New Roman"/>
        </w:rPr>
        <w:t xml:space="preserve"> a </w:t>
      </w:r>
      <w:proofErr w:type="spellStart"/>
      <w:r w:rsidRPr="00D61E99">
        <w:rPr>
          <w:rFonts w:ascii="Trebuchet MS" w:hAnsi="Trebuchet MS" w:cs="Times New Roman"/>
        </w:rPr>
        <w:t>compensaţiei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lunare</w:t>
      </w:r>
      <w:proofErr w:type="spellEnd"/>
      <w:r w:rsidRPr="00D61E99">
        <w:rPr>
          <w:rFonts w:ascii="Trebuchet MS" w:hAnsi="Trebuchet MS" w:cs="Times New Roman"/>
        </w:rPr>
        <w:t xml:space="preserve"> a </w:t>
      </w:r>
      <w:proofErr w:type="spellStart"/>
      <w:r w:rsidRPr="00D61E99">
        <w:rPr>
          <w:rFonts w:ascii="Trebuchet MS" w:hAnsi="Trebuchet MS" w:cs="Times New Roman"/>
        </w:rPr>
        <w:t>chiriei</w:t>
      </w:r>
      <w:proofErr w:type="spellEnd"/>
      <w:r w:rsidRPr="00D61E99">
        <w:rPr>
          <w:rFonts w:ascii="Trebuchet MS" w:hAnsi="Trebuchet MS" w:cs="Times New Roman"/>
        </w:rPr>
        <w:t xml:space="preserve">, precum </w:t>
      </w:r>
      <w:proofErr w:type="spellStart"/>
      <w:r w:rsidRPr="00D61E99">
        <w:rPr>
          <w:rFonts w:ascii="Trebuchet MS" w:hAnsi="Trebuchet MS" w:cs="Times New Roman"/>
        </w:rPr>
        <w:t>şi</w:t>
      </w:r>
      <w:proofErr w:type="spellEnd"/>
      <w:r w:rsidRPr="00D61E99">
        <w:rPr>
          <w:rFonts w:ascii="Trebuchet MS" w:hAnsi="Trebuchet MS" w:cs="Times New Roman"/>
        </w:rPr>
        <w:t xml:space="preserve"> a </w:t>
      </w:r>
      <w:proofErr w:type="spellStart"/>
      <w:r w:rsidRPr="00D61E99">
        <w:rPr>
          <w:rFonts w:ascii="Trebuchet MS" w:hAnsi="Trebuchet MS" w:cs="Times New Roman"/>
        </w:rPr>
        <w:t>compensaţiei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lunare</w:t>
      </w:r>
      <w:proofErr w:type="spellEnd"/>
      <w:r w:rsidRPr="00D61E99">
        <w:rPr>
          <w:rFonts w:ascii="Trebuchet MS" w:hAnsi="Trebuchet MS" w:cs="Times New Roman"/>
        </w:rPr>
        <w:t xml:space="preserve"> a </w:t>
      </w:r>
      <w:proofErr w:type="spellStart"/>
      <w:r w:rsidRPr="00D61E99">
        <w:rPr>
          <w:rFonts w:ascii="Trebuchet MS" w:hAnsi="Trebuchet MS" w:cs="Times New Roman"/>
        </w:rPr>
        <w:t>chiriei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pentru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plata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ratei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sau</w:t>
      </w:r>
      <w:proofErr w:type="spellEnd"/>
      <w:r w:rsidRPr="00D61E99">
        <w:rPr>
          <w:rFonts w:ascii="Trebuchet MS" w:hAnsi="Trebuchet MS" w:cs="Times New Roman"/>
        </w:rPr>
        <w:t xml:space="preserve"> a </w:t>
      </w:r>
      <w:proofErr w:type="spellStart"/>
      <w:r w:rsidRPr="00D61E99">
        <w:rPr>
          <w:rFonts w:ascii="Trebuchet MS" w:hAnsi="Trebuchet MS" w:cs="Times New Roman"/>
        </w:rPr>
        <w:t>unei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fracţiuni</w:t>
      </w:r>
      <w:proofErr w:type="spellEnd"/>
      <w:r w:rsidRPr="00D61E99">
        <w:rPr>
          <w:rFonts w:ascii="Trebuchet MS" w:hAnsi="Trebuchet MS" w:cs="Times New Roman"/>
        </w:rPr>
        <w:t xml:space="preserve"> din rata </w:t>
      </w:r>
      <w:proofErr w:type="spellStart"/>
      <w:r w:rsidRPr="00D61E99">
        <w:rPr>
          <w:rFonts w:ascii="Trebuchet MS" w:hAnsi="Trebuchet MS" w:cs="Times New Roman"/>
        </w:rPr>
        <w:t>aferentă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unui</w:t>
      </w:r>
      <w:proofErr w:type="spellEnd"/>
      <w:r w:rsidRPr="00D61E99">
        <w:rPr>
          <w:rFonts w:ascii="Trebuchet MS" w:hAnsi="Trebuchet MS" w:cs="Times New Roman"/>
        </w:rPr>
        <w:t xml:space="preserve"> credit </w:t>
      </w:r>
      <w:proofErr w:type="spellStart"/>
      <w:r w:rsidRPr="00D61E99">
        <w:rPr>
          <w:rFonts w:ascii="Trebuchet MS" w:hAnsi="Trebuchet MS" w:cs="Times New Roman"/>
        </w:rPr>
        <w:t>ipotecar</w:t>
      </w:r>
      <w:proofErr w:type="spellEnd"/>
      <w:r w:rsidRPr="00D61E99">
        <w:rPr>
          <w:rFonts w:ascii="Trebuchet MS" w:hAnsi="Trebuchet MS" w:cs="Times New Roman"/>
        </w:rPr>
        <w:t>/</w:t>
      </w:r>
      <w:proofErr w:type="spellStart"/>
      <w:r w:rsidRPr="00D61E99">
        <w:rPr>
          <w:rFonts w:ascii="Trebuchet MS" w:hAnsi="Trebuchet MS" w:cs="Times New Roman"/>
        </w:rPr>
        <w:t>imobiliar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destinat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achiziţionării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unei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locuinţe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sau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unui</w:t>
      </w:r>
      <w:proofErr w:type="spellEnd"/>
      <w:r w:rsidRPr="00D61E99">
        <w:rPr>
          <w:rFonts w:ascii="Trebuchet MS" w:hAnsi="Trebuchet MS" w:cs="Times New Roman"/>
        </w:rPr>
        <w:t xml:space="preserve"> contract de </w:t>
      </w:r>
      <w:proofErr w:type="spellStart"/>
      <w:r w:rsidRPr="00D61E99">
        <w:rPr>
          <w:rFonts w:ascii="Trebuchet MS" w:hAnsi="Trebuchet MS" w:cs="Times New Roman"/>
        </w:rPr>
        <w:t>vânzare-cumpărare</w:t>
      </w:r>
      <w:proofErr w:type="spellEnd"/>
      <w:r w:rsidRPr="00D61E99">
        <w:rPr>
          <w:rFonts w:ascii="Trebuchet MS" w:hAnsi="Trebuchet MS" w:cs="Times New Roman"/>
        </w:rPr>
        <w:t xml:space="preserve"> cu </w:t>
      </w:r>
      <w:proofErr w:type="spellStart"/>
      <w:r w:rsidRPr="00D61E99">
        <w:rPr>
          <w:rFonts w:ascii="Trebuchet MS" w:hAnsi="Trebuchet MS" w:cs="Times New Roman"/>
        </w:rPr>
        <w:t>plata</w:t>
      </w:r>
      <w:proofErr w:type="spellEnd"/>
      <w:r w:rsidRPr="00D61E99">
        <w:rPr>
          <w:rFonts w:ascii="Trebuchet MS" w:hAnsi="Trebuchet MS" w:cs="Times New Roman"/>
        </w:rPr>
        <w:t xml:space="preserve"> </w:t>
      </w:r>
      <w:proofErr w:type="spellStart"/>
      <w:r w:rsidRPr="00D61E99">
        <w:rPr>
          <w:rFonts w:ascii="Trebuchet MS" w:hAnsi="Trebuchet MS" w:cs="Times New Roman"/>
        </w:rPr>
        <w:t>în</w:t>
      </w:r>
      <w:proofErr w:type="spellEnd"/>
      <w:r w:rsidRPr="00D61E99">
        <w:rPr>
          <w:rFonts w:ascii="Trebuchet MS" w:hAnsi="Trebuchet MS" w:cs="Times New Roman"/>
        </w:rPr>
        <w:t xml:space="preserve"> rate a </w:t>
      </w:r>
      <w:proofErr w:type="spellStart"/>
      <w:r w:rsidRPr="00D61E99">
        <w:rPr>
          <w:rFonts w:ascii="Trebuchet MS" w:hAnsi="Trebuchet MS" w:cs="Times New Roman"/>
        </w:rPr>
        <w:t>locuinţei</w:t>
      </w:r>
      <w:proofErr w:type="spellEnd"/>
      <w:r w:rsidRPr="00D61E99">
        <w:rPr>
          <w:rFonts w:ascii="Trebuchet MS" w:eastAsia="Calibri" w:hAnsi="Trebuchet MS" w:cs="Arial"/>
          <w:color w:val="000000" w:themeColor="text1"/>
          <w:lang w:val="ro-RO"/>
        </w:rPr>
        <w:t>, publicat în Monitorul Oficial al României, Partea I, nr. 129 din 19 februarie 2020, se modifică  și se completează după cum urmează:</w:t>
      </w:r>
    </w:p>
    <w:p w:rsidR="00C80BCC" w:rsidRPr="00D61E99" w:rsidRDefault="00C80BCC" w:rsidP="00C80BCC">
      <w:pPr>
        <w:spacing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</w:p>
    <w:p w:rsidR="00C80BCC" w:rsidRPr="00AC635F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/>
          <w:color w:val="000000" w:themeColor="text1"/>
          <w:lang w:val="ro-RO"/>
        </w:rPr>
        <w:t>1. La articolul 1, după alineatul (4) se introduce un nou alineat</w:t>
      </w:r>
      <w:r>
        <w:rPr>
          <w:rFonts w:ascii="Trebuchet MS" w:eastAsia="Calibri" w:hAnsi="Trebuchet MS" w:cs="Arial"/>
          <w:b/>
          <w:color w:val="000000" w:themeColor="text1"/>
          <w:lang w:val="ro-RO"/>
        </w:rPr>
        <w:t>, alin.</w:t>
      </w:r>
      <w:r w:rsidRPr="00DE754A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 (4</w:t>
      </w:r>
      <w:r w:rsidRPr="00DE754A">
        <w:rPr>
          <w:rFonts w:ascii="Trebuchet MS" w:eastAsia="Calibri" w:hAnsi="Trebuchet MS" w:cs="Arial"/>
          <w:b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eastAsia="Calibri" w:hAnsi="Trebuchet MS" w:cs="Arial"/>
          <w:b/>
          <w:color w:val="000000" w:themeColor="text1"/>
          <w:lang w:val="ro-RO"/>
        </w:rPr>
        <w:t>), cu următorul cuprins:</w:t>
      </w:r>
    </w:p>
    <w:p w:rsidR="00C80BCC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color w:val="000000" w:themeColor="text1"/>
          <w:lang w:val="ro-RO"/>
        </w:rPr>
        <w:t>„(4</w:t>
      </w:r>
      <w:r w:rsidRPr="00DE754A">
        <w:rPr>
          <w:rFonts w:ascii="Trebuchet MS" w:eastAsia="Calibri" w:hAnsi="Trebuchet MS" w:cs="Arial"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>)</w:t>
      </w:r>
      <w:r w:rsidRPr="00DE754A">
        <w:rPr>
          <w:rFonts w:ascii="Trebuchet MS" w:hAnsi="Trebuchet MS" w:cs="Times New Roman"/>
          <w:color w:val="000000" w:themeColor="text1"/>
          <w:lang w:val="ro-RO"/>
        </w:rPr>
        <w:t xml:space="preserve"> 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>În aplicarea prevederilor art. 111 alin. (2), teza finală din Legea nr. 145/2019, condiția prevăzută de lege este îndeplinită</w:t>
      </w:r>
      <w:r w:rsidR="00344919">
        <w:rPr>
          <w:rFonts w:ascii="Trebuchet MS" w:eastAsia="Calibri" w:hAnsi="Trebuchet MS" w:cs="Arial"/>
          <w:color w:val="000000" w:themeColor="text1"/>
          <w:lang w:val="ro-RO"/>
        </w:rPr>
        <w:t xml:space="preserve"> </w:t>
      </w:r>
      <w:proofErr w:type="spellStart"/>
      <w:r w:rsidR="00344919">
        <w:rPr>
          <w:rFonts w:ascii="Trebuchet MS" w:eastAsia="Calibri" w:hAnsi="Trebuchet MS" w:cs="Arial"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în cazul în care unitatea se află într-o localitate fără fond locativ corespunzător, iar solicitantul ori soțul/soția sau copiii aflați în întreținere dețin o locuință în proprietate personală într-o localitate situată la o distanță mai mare de unitate decât cea în care 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lastRenderedPageBreak/>
        <w:t>se află locuința care face obiectul închirierii și pentru care se solicită acordarea compensației lunare a chiriei</w:t>
      </w:r>
      <w:r>
        <w:rPr>
          <w:rFonts w:ascii="Trebuchet MS" w:eastAsia="Calibri" w:hAnsi="Trebuchet MS" w:cs="Arial"/>
          <w:color w:val="000000" w:themeColor="text1"/>
          <w:lang w:val="ro-RO"/>
        </w:rPr>
        <w:t>.”</w:t>
      </w:r>
    </w:p>
    <w:p w:rsidR="00C80BCC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</w:p>
    <w:p w:rsidR="00C80BCC" w:rsidRDefault="00C80BCC" w:rsidP="009D5531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  <w:r w:rsidRPr="00FD60B8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2. Articolul 2 se </w:t>
      </w:r>
      <w:r w:rsidR="009D5531" w:rsidRPr="00510726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abrogă</w:t>
      </w:r>
      <w:r w:rsidR="00D94AA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.</w:t>
      </w:r>
    </w:p>
    <w:p w:rsidR="009D5531" w:rsidRDefault="009D5531" w:rsidP="009D5531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</w:p>
    <w:p w:rsidR="00ED4C4C" w:rsidRDefault="009D5531" w:rsidP="009D5531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3.</w:t>
      </w:r>
      <w:r w:rsidRPr="009D5531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Pr="009D5531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  La </w:t>
      </w:r>
      <w:r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articolul</w:t>
      </w:r>
      <w:r w:rsidRPr="009D5531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5</w:t>
      </w:r>
      <w:r w:rsidR="00ED4C4C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,</w:t>
      </w:r>
      <w:r w:rsidRPr="009D5531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după alineatul (5) se introduce un nou alineat, alin. </w:t>
      </w:r>
      <w:r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(</w:t>
      </w:r>
      <w:r w:rsidRPr="009D5531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5</w:t>
      </w:r>
      <w:r w:rsidRPr="009D5531">
        <w:rPr>
          <w:rFonts w:ascii="Trebuchet MS" w:eastAsia="Calibri" w:hAnsi="Trebuchet MS" w:cs="Arial"/>
          <w:b/>
          <w:bCs/>
          <w:iCs/>
          <w:color w:val="000000" w:themeColor="text1"/>
          <w:vertAlign w:val="superscript"/>
          <w:lang w:val="ro-RO"/>
        </w:rPr>
        <w:t>1</w:t>
      </w:r>
      <w:r w:rsidRPr="00510726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)</w:t>
      </w:r>
      <w:r w:rsidRPr="009D5531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, cu următorul cuprins:</w:t>
      </w:r>
    </w:p>
    <w:p w:rsidR="009D5531" w:rsidRPr="00ED4C4C" w:rsidRDefault="009D5531" w:rsidP="009D5531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  <w:r w:rsidRPr="00344919">
        <w:rPr>
          <w:rFonts w:ascii="Trebuchet MS" w:eastAsia="Calibri" w:hAnsi="Trebuchet MS" w:cs="Arial"/>
          <w:bCs/>
          <w:iCs/>
          <w:color w:val="000000" w:themeColor="text1"/>
        </w:rPr>
        <w:t>“</w:t>
      </w:r>
      <w:r w:rsidRPr="00344919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(5</w:t>
      </w:r>
      <w:r w:rsidRPr="00344919">
        <w:rPr>
          <w:rFonts w:ascii="Trebuchet MS" w:eastAsia="Calibri" w:hAnsi="Trebuchet MS" w:cs="Arial"/>
          <w:bCs/>
          <w:iCs/>
          <w:color w:val="000000" w:themeColor="text1"/>
          <w:vertAlign w:val="superscript"/>
          <w:lang w:val="ro-RO"/>
        </w:rPr>
        <w:t>1</w:t>
      </w:r>
      <w:r w:rsidRPr="00344919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)</w:t>
      </w:r>
      <w:r w:rsidRPr="00510726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 La verificarea îndeplinirii condițiilor de acordare a compensației lunare pentru chirie se va avea în vedere dacă locuința corespunde nevoilor locative ale solicitantului, din perspectiva existenței dependințelor, dotărilor </w:t>
      </w:r>
      <w:proofErr w:type="spellStart"/>
      <w:r w:rsidRPr="00510726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 w:rsidRPr="00510726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utilităților necesare pentru satisfacerea cerințelor de locuit ale unei persoane sau familii</w:t>
      </w:r>
      <w:r w:rsidRPr="009D5531">
        <w:rPr>
          <w:rFonts w:ascii="Trebuchet MS" w:eastAsia="Calibri" w:hAnsi="Trebuchet MS" w:cs="Arial"/>
          <w:bCs/>
          <w:iCs/>
          <w:color w:val="000000" w:themeColor="text1"/>
        </w:rPr>
        <w:t>”.</w:t>
      </w:r>
      <w:r w:rsidRPr="00510726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</w:p>
    <w:p w:rsidR="00C80BCC" w:rsidRDefault="00C80BCC" w:rsidP="00C80BCC">
      <w:pPr>
        <w:spacing w:line="276" w:lineRule="auto"/>
        <w:contextualSpacing/>
        <w:jc w:val="both"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Pr="00253538" w:rsidRDefault="009D5531" w:rsidP="00C80BCC">
      <w:pPr>
        <w:spacing w:line="276" w:lineRule="auto"/>
        <w:contextualSpacing/>
        <w:jc w:val="both"/>
        <w:rPr>
          <w:rFonts w:ascii="Trebuchet MS" w:eastAsia="Calibri" w:hAnsi="Trebuchet MS" w:cs="Arial"/>
          <w:b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color w:val="000000" w:themeColor="text1"/>
          <w:lang w:val="ro-RO"/>
        </w:rPr>
        <w:t>4</w:t>
      </w:r>
      <w:r w:rsidR="00C80BCC" w:rsidRPr="00253538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. Alineatul (10) al articolului 5 se modifică </w:t>
      </w:r>
      <w:proofErr w:type="spellStart"/>
      <w:r w:rsidR="00C80BCC" w:rsidRPr="00253538">
        <w:rPr>
          <w:rFonts w:ascii="Trebuchet MS" w:eastAsia="Calibri" w:hAnsi="Trebuchet MS" w:cs="Arial"/>
          <w:b/>
          <w:color w:val="000000" w:themeColor="text1"/>
          <w:lang w:val="ro-RO"/>
        </w:rPr>
        <w:t>şi</w:t>
      </w:r>
      <w:proofErr w:type="spellEnd"/>
      <w:r w:rsidR="00C80BCC" w:rsidRPr="00253538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 va avea următorul cuprins:</w:t>
      </w:r>
    </w:p>
    <w:p w:rsidR="00C80BCC" w:rsidRPr="00253538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rebuchet MS" w:hAnsi="Trebuchet MS" w:cs="Times New Roman"/>
        </w:rPr>
      </w:pPr>
      <w:r w:rsidRPr="00253538">
        <w:rPr>
          <w:rFonts w:ascii="Trebuchet MS" w:hAnsi="Trebuchet MS" w:cs="Times New Roman"/>
        </w:rPr>
        <w:t xml:space="preserve">“(10) </w:t>
      </w:r>
      <w:proofErr w:type="spellStart"/>
      <w:r w:rsidRPr="00253538">
        <w:rPr>
          <w:rFonts w:ascii="Trebuchet MS" w:hAnsi="Trebuchet MS" w:cs="Times New Roman"/>
        </w:rPr>
        <w:t>În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cazul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prevăzut</w:t>
      </w:r>
      <w:proofErr w:type="spellEnd"/>
      <w:r w:rsidRPr="00253538">
        <w:rPr>
          <w:rFonts w:ascii="Trebuchet MS" w:hAnsi="Trebuchet MS" w:cs="Times New Roman"/>
        </w:rPr>
        <w:t xml:space="preserve"> la art. 1 </w:t>
      </w:r>
      <w:proofErr w:type="spellStart"/>
      <w:r w:rsidRPr="00253538">
        <w:rPr>
          <w:rFonts w:ascii="Trebuchet MS" w:hAnsi="Trebuchet MS" w:cs="Times New Roman"/>
        </w:rPr>
        <w:t>alin</w:t>
      </w:r>
      <w:proofErr w:type="spellEnd"/>
      <w:r w:rsidRPr="00253538">
        <w:rPr>
          <w:rFonts w:ascii="Trebuchet MS" w:hAnsi="Trebuchet MS" w:cs="Times New Roman"/>
        </w:rPr>
        <w:t xml:space="preserve">. (4), </w:t>
      </w:r>
      <w:proofErr w:type="spellStart"/>
      <w:r w:rsidRPr="00253538">
        <w:rPr>
          <w:rFonts w:ascii="Trebuchet MS" w:hAnsi="Trebuchet MS" w:cs="Times New Roman"/>
        </w:rPr>
        <w:t>comisia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stabilită</w:t>
      </w:r>
      <w:proofErr w:type="spellEnd"/>
      <w:r w:rsidRPr="00253538">
        <w:rPr>
          <w:rFonts w:ascii="Trebuchet MS" w:hAnsi="Trebuchet MS" w:cs="Times New Roman"/>
        </w:rPr>
        <w:t xml:space="preserve"> la </w:t>
      </w:r>
      <w:proofErr w:type="spellStart"/>
      <w:r w:rsidRPr="00253538">
        <w:rPr>
          <w:rFonts w:ascii="Trebuchet MS" w:hAnsi="Trebuchet MS" w:cs="Times New Roman"/>
        </w:rPr>
        <w:t>alin</w:t>
      </w:r>
      <w:proofErr w:type="spellEnd"/>
      <w:r w:rsidRPr="00253538">
        <w:rPr>
          <w:rFonts w:ascii="Trebuchet MS" w:hAnsi="Trebuchet MS" w:cs="Times New Roman"/>
        </w:rPr>
        <w:t xml:space="preserve">. (2) </w:t>
      </w:r>
      <w:proofErr w:type="spellStart"/>
      <w:r w:rsidRPr="00253538">
        <w:rPr>
          <w:rFonts w:ascii="Trebuchet MS" w:hAnsi="Trebuchet MS" w:cs="Times New Roman"/>
        </w:rPr>
        <w:t>verifică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dacă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în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localitatea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în</w:t>
      </w:r>
      <w:proofErr w:type="spellEnd"/>
      <w:r w:rsidRPr="00253538">
        <w:rPr>
          <w:rFonts w:ascii="Trebuchet MS" w:hAnsi="Trebuchet MS" w:cs="Times New Roman"/>
        </w:rPr>
        <w:t xml:space="preserve"> care </w:t>
      </w:r>
      <w:proofErr w:type="spellStart"/>
      <w:r w:rsidRPr="00253538">
        <w:rPr>
          <w:rFonts w:ascii="Trebuchet MS" w:hAnsi="Trebuchet MS" w:cs="Times New Roman"/>
        </w:rPr>
        <w:t>îşi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desfăşoară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activitatea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poliţistul</w:t>
      </w:r>
      <w:proofErr w:type="spellEnd"/>
      <w:r w:rsidRPr="00253538">
        <w:rPr>
          <w:rFonts w:ascii="Trebuchet MS" w:hAnsi="Trebuchet MS" w:cs="Times New Roman"/>
        </w:rPr>
        <w:t xml:space="preserve"> de </w:t>
      </w:r>
      <w:proofErr w:type="spellStart"/>
      <w:r w:rsidRPr="00253538">
        <w:rPr>
          <w:rFonts w:ascii="Trebuchet MS" w:hAnsi="Trebuchet MS" w:cs="Times New Roman"/>
        </w:rPr>
        <w:t>penitenciare</w:t>
      </w:r>
      <w:proofErr w:type="spellEnd"/>
      <w:r w:rsidRPr="00253538">
        <w:rPr>
          <w:rFonts w:ascii="Trebuchet MS" w:hAnsi="Trebuchet MS" w:cs="Times New Roman"/>
        </w:rPr>
        <w:t xml:space="preserve"> nu </w:t>
      </w:r>
      <w:proofErr w:type="spellStart"/>
      <w:r w:rsidRPr="00253538">
        <w:rPr>
          <w:rFonts w:ascii="Trebuchet MS" w:hAnsi="Trebuchet MS" w:cs="Times New Roman"/>
        </w:rPr>
        <w:t>exist</w:t>
      </w:r>
      <w:r>
        <w:rPr>
          <w:rFonts w:ascii="Trebuchet MS" w:hAnsi="Trebuchet MS" w:cs="Times New Roman"/>
        </w:rPr>
        <w:t>a</w:t>
      </w:r>
      <w:proofErr w:type="spellEnd"/>
      <w:r w:rsidRPr="00253538">
        <w:rPr>
          <w:rFonts w:ascii="Trebuchet MS" w:hAnsi="Trebuchet MS" w:cs="Times New Roman"/>
        </w:rPr>
        <w:t xml:space="preserve"> fond </w:t>
      </w:r>
      <w:proofErr w:type="spellStart"/>
      <w:r w:rsidRPr="00253538">
        <w:rPr>
          <w:rFonts w:ascii="Trebuchet MS" w:hAnsi="Trebuchet MS" w:cs="Times New Roman"/>
        </w:rPr>
        <w:t>locativ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corespunzător</w:t>
      </w:r>
      <w:proofErr w:type="spellEnd"/>
      <w:r w:rsidRPr="00253538">
        <w:rPr>
          <w:rFonts w:ascii="Trebuchet MS" w:hAnsi="Trebuchet MS" w:cs="Times New Roman"/>
        </w:rPr>
        <w:t xml:space="preserve">, </w:t>
      </w:r>
      <w:proofErr w:type="spellStart"/>
      <w:r w:rsidRPr="00253538">
        <w:rPr>
          <w:rFonts w:ascii="Trebuchet MS" w:hAnsi="Trebuchet MS" w:cs="Times New Roman"/>
        </w:rPr>
        <w:t>prin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consultarea</w:t>
      </w:r>
      <w:proofErr w:type="spellEnd"/>
      <w:r w:rsidRPr="00253538">
        <w:rPr>
          <w:rFonts w:ascii="Trebuchet MS" w:hAnsi="Trebuchet MS" w:cs="Times New Roman"/>
        </w:rPr>
        <w:t xml:space="preserve"> site-</w:t>
      </w:r>
      <w:proofErr w:type="spellStart"/>
      <w:r w:rsidRPr="00253538">
        <w:rPr>
          <w:rFonts w:ascii="Trebuchet MS" w:hAnsi="Trebuchet MS" w:cs="Times New Roman"/>
        </w:rPr>
        <w:t>urilor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şi</w:t>
      </w:r>
      <w:proofErr w:type="spellEnd"/>
      <w:r w:rsidRPr="00253538">
        <w:rPr>
          <w:rFonts w:ascii="Trebuchet MS" w:hAnsi="Trebuchet MS" w:cs="Times New Roman"/>
        </w:rPr>
        <w:t xml:space="preserve"> a </w:t>
      </w:r>
      <w:proofErr w:type="spellStart"/>
      <w:r w:rsidRPr="00253538">
        <w:rPr>
          <w:rFonts w:ascii="Trebuchet MS" w:hAnsi="Trebuchet MS" w:cs="Times New Roman"/>
        </w:rPr>
        <w:t>publicaţiilor</w:t>
      </w:r>
      <w:proofErr w:type="spellEnd"/>
      <w:r w:rsidRPr="00253538">
        <w:rPr>
          <w:rFonts w:ascii="Trebuchet MS" w:hAnsi="Trebuchet MS" w:cs="Times New Roman"/>
        </w:rPr>
        <w:t xml:space="preserve"> de </w:t>
      </w:r>
      <w:proofErr w:type="spellStart"/>
      <w:r w:rsidRPr="00253538">
        <w:rPr>
          <w:rFonts w:ascii="Trebuchet MS" w:hAnsi="Trebuchet MS" w:cs="Times New Roman"/>
        </w:rPr>
        <w:t>specialitate</w:t>
      </w:r>
      <w:proofErr w:type="spellEnd"/>
      <w:r w:rsidRPr="00253538">
        <w:rPr>
          <w:rFonts w:ascii="Trebuchet MS" w:hAnsi="Trebuchet MS" w:cs="Times New Roman"/>
        </w:rPr>
        <w:t xml:space="preserve">, </w:t>
      </w:r>
      <w:proofErr w:type="spellStart"/>
      <w:r>
        <w:rPr>
          <w:rFonts w:ascii="Trebuchet MS" w:hAnsi="Trebuchet MS" w:cs="Times New Roman"/>
        </w:rPr>
        <w:t>putând</w:t>
      </w:r>
      <w:proofErr w:type="spellEnd"/>
      <w:r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solicita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informaţii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suplimentare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în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acest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sens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autorităţii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administraţiei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publice</w:t>
      </w:r>
      <w:proofErr w:type="spellEnd"/>
      <w:r w:rsidRPr="00253538">
        <w:rPr>
          <w:rFonts w:ascii="Trebuchet MS" w:hAnsi="Trebuchet MS" w:cs="Times New Roman"/>
        </w:rPr>
        <w:t xml:space="preserve"> locale </w:t>
      </w:r>
      <w:proofErr w:type="spellStart"/>
      <w:r w:rsidRPr="00253538">
        <w:rPr>
          <w:rFonts w:ascii="Trebuchet MS" w:hAnsi="Trebuchet MS" w:cs="Times New Roman"/>
        </w:rPr>
        <w:t>în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raza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căreia</w:t>
      </w:r>
      <w:proofErr w:type="spellEnd"/>
      <w:r w:rsidRPr="00253538">
        <w:rPr>
          <w:rFonts w:ascii="Trebuchet MS" w:hAnsi="Trebuchet MS" w:cs="Times New Roman"/>
        </w:rPr>
        <w:t xml:space="preserve"> se </w:t>
      </w:r>
      <w:proofErr w:type="spellStart"/>
      <w:r w:rsidRPr="00253538">
        <w:rPr>
          <w:rFonts w:ascii="Trebuchet MS" w:hAnsi="Trebuchet MS" w:cs="Times New Roman"/>
        </w:rPr>
        <w:t>află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unitatea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ori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agenţiilor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imobiliare</w:t>
      </w:r>
      <w:proofErr w:type="spellEnd"/>
      <w:r w:rsidRPr="00253538">
        <w:rPr>
          <w:rFonts w:ascii="Trebuchet MS" w:hAnsi="Trebuchet MS" w:cs="Times New Roman"/>
        </w:rPr>
        <w:t xml:space="preserve">, </w:t>
      </w:r>
      <w:proofErr w:type="spellStart"/>
      <w:r w:rsidRPr="00253538">
        <w:rPr>
          <w:rFonts w:ascii="Trebuchet MS" w:hAnsi="Trebuchet MS" w:cs="Times New Roman"/>
        </w:rPr>
        <w:t>concluziile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rezultate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fiind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consemnate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într</w:t>
      </w:r>
      <w:proofErr w:type="spellEnd"/>
      <w:r w:rsidRPr="00253538">
        <w:rPr>
          <w:rFonts w:ascii="Trebuchet MS" w:hAnsi="Trebuchet MS" w:cs="Times New Roman"/>
        </w:rPr>
        <w:t xml:space="preserve">-un </w:t>
      </w:r>
      <w:proofErr w:type="spellStart"/>
      <w:r w:rsidRPr="00253538">
        <w:rPr>
          <w:rFonts w:ascii="Trebuchet MS" w:hAnsi="Trebuchet MS" w:cs="Times New Roman"/>
        </w:rPr>
        <w:t>proces</w:t>
      </w:r>
      <w:proofErr w:type="spellEnd"/>
      <w:r w:rsidRPr="00253538">
        <w:rPr>
          <w:rFonts w:ascii="Trebuchet MS" w:hAnsi="Trebuchet MS" w:cs="Times New Roman"/>
        </w:rPr>
        <w:t xml:space="preserve">-verbal. </w:t>
      </w:r>
      <w:proofErr w:type="spellStart"/>
      <w:r w:rsidRPr="00253538">
        <w:rPr>
          <w:rFonts w:ascii="Trebuchet MS" w:hAnsi="Trebuchet MS" w:cs="Times New Roman"/>
        </w:rPr>
        <w:t>Existenţa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sau</w:t>
      </w:r>
      <w:proofErr w:type="spellEnd"/>
      <w:r w:rsidRPr="00253538">
        <w:rPr>
          <w:rFonts w:ascii="Trebuchet MS" w:hAnsi="Trebuchet MS" w:cs="Times New Roman"/>
        </w:rPr>
        <w:t xml:space="preserve">, </w:t>
      </w:r>
      <w:proofErr w:type="spellStart"/>
      <w:r w:rsidRPr="00253538">
        <w:rPr>
          <w:rFonts w:ascii="Trebuchet MS" w:hAnsi="Trebuchet MS" w:cs="Times New Roman"/>
        </w:rPr>
        <w:t>după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caz</w:t>
      </w:r>
      <w:proofErr w:type="spellEnd"/>
      <w:r w:rsidRPr="00253538">
        <w:rPr>
          <w:rFonts w:ascii="Trebuchet MS" w:hAnsi="Trebuchet MS" w:cs="Times New Roman"/>
        </w:rPr>
        <w:t xml:space="preserve">, </w:t>
      </w:r>
      <w:proofErr w:type="spellStart"/>
      <w:r w:rsidRPr="00253538">
        <w:rPr>
          <w:rFonts w:ascii="Trebuchet MS" w:hAnsi="Trebuchet MS" w:cs="Times New Roman"/>
        </w:rPr>
        <w:t>inexistenţa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fondului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locativ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corespunzător</w:t>
      </w:r>
      <w:proofErr w:type="spellEnd"/>
      <w:r w:rsidRPr="00253538">
        <w:rPr>
          <w:rFonts w:ascii="Trebuchet MS" w:hAnsi="Trebuchet MS" w:cs="Times New Roman"/>
        </w:rPr>
        <w:t xml:space="preserve"> se </w:t>
      </w:r>
      <w:proofErr w:type="spellStart"/>
      <w:r w:rsidRPr="00253538">
        <w:rPr>
          <w:rFonts w:ascii="Trebuchet MS" w:hAnsi="Trebuchet MS" w:cs="Times New Roman"/>
        </w:rPr>
        <w:t>stabileşte</w:t>
      </w:r>
      <w:proofErr w:type="spellEnd"/>
      <w:r>
        <w:rPr>
          <w:rFonts w:ascii="Trebuchet MS" w:hAnsi="Trebuchet MS" w:cs="Times New Roman"/>
        </w:rPr>
        <w:t xml:space="preserve">, la </w:t>
      </w:r>
      <w:proofErr w:type="spellStart"/>
      <w:r>
        <w:rPr>
          <w:rFonts w:ascii="Trebuchet MS" w:hAnsi="Trebuchet MS" w:cs="Times New Roman"/>
        </w:rPr>
        <w:t>momentul</w:t>
      </w:r>
      <w:proofErr w:type="spellEnd"/>
      <w:r>
        <w:rPr>
          <w:rFonts w:ascii="Trebuchet MS" w:hAnsi="Trebuchet MS" w:cs="Times New Roman"/>
        </w:rPr>
        <w:t xml:space="preserve"> </w:t>
      </w:r>
      <w:proofErr w:type="spellStart"/>
      <w:r>
        <w:rPr>
          <w:rFonts w:ascii="Trebuchet MS" w:hAnsi="Trebuchet MS" w:cs="Times New Roman"/>
        </w:rPr>
        <w:t>încheierii</w:t>
      </w:r>
      <w:proofErr w:type="spellEnd"/>
      <w:r>
        <w:rPr>
          <w:rFonts w:ascii="Trebuchet MS" w:hAnsi="Trebuchet MS" w:cs="Times New Roman"/>
        </w:rPr>
        <w:t xml:space="preserve"> </w:t>
      </w:r>
      <w:proofErr w:type="spellStart"/>
      <w:r>
        <w:rPr>
          <w:rFonts w:ascii="Trebuchet MS" w:hAnsi="Trebuchet MS" w:cs="Times New Roman"/>
        </w:rPr>
        <w:t>contractului</w:t>
      </w:r>
      <w:proofErr w:type="spellEnd"/>
      <w:r>
        <w:rPr>
          <w:rFonts w:ascii="Trebuchet MS" w:hAnsi="Trebuchet MS" w:cs="Times New Roman"/>
        </w:rPr>
        <w:t>,</w:t>
      </w:r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prin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raportare</w:t>
      </w:r>
      <w:proofErr w:type="spellEnd"/>
      <w:r w:rsidRPr="00253538">
        <w:rPr>
          <w:rFonts w:ascii="Trebuchet MS" w:hAnsi="Trebuchet MS" w:cs="Times New Roman"/>
        </w:rPr>
        <w:t xml:space="preserve"> la </w:t>
      </w:r>
      <w:proofErr w:type="spellStart"/>
      <w:r w:rsidRPr="00253538">
        <w:rPr>
          <w:rFonts w:ascii="Trebuchet MS" w:hAnsi="Trebuchet MS" w:cs="Times New Roman"/>
        </w:rPr>
        <w:t>oferte</w:t>
      </w:r>
      <w:r w:rsidR="009804BD">
        <w:rPr>
          <w:rFonts w:ascii="Trebuchet MS" w:hAnsi="Trebuchet MS" w:cs="Times New Roman"/>
        </w:rPr>
        <w:t>le</w:t>
      </w:r>
      <w:proofErr w:type="spellEnd"/>
      <w:r w:rsidRPr="00253538">
        <w:rPr>
          <w:rFonts w:ascii="Trebuchet MS" w:hAnsi="Trebuchet MS" w:cs="Times New Roman"/>
        </w:rPr>
        <w:t xml:space="preserve"> de </w:t>
      </w:r>
      <w:proofErr w:type="spellStart"/>
      <w:r w:rsidRPr="00253538">
        <w:rPr>
          <w:rFonts w:ascii="Trebuchet MS" w:hAnsi="Trebuchet MS" w:cs="Times New Roman"/>
        </w:rPr>
        <w:t>închiriere</w:t>
      </w:r>
      <w:proofErr w:type="spellEnd"/>
      <w:r w:rsidRPr="00253538">
        <w:rPr>
          <w:rFonts w:ascii="Trebuchet MS" w:hAnsi="Trebuchet MS" w:cs="Times New Roman"/>
        </w:rPr>
        <w:t xml:space="preserve"> a </w:t>
      </w:r>
      <w:proofErr w:type="spellStart"/>
      <w:r w:rsidRPr="00253538">
        <w:rPr>
          <w:rFonts w:ascii="Trebuchet MS" w:hAnsi="Trebuchet MS" w:cs="Times New Roman"/>
        </w:rPr>
        <w:t>unor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locuinţe</w:t>
      </w:r>
      <w:proofErr w:type="spellEnd"/>
      <w:r w:rsidRPr="00253538">
        <w:rPr>
          <w:rFonts w:ascii="Trebuchet MS" w:hAnsi="Trebuchet MS" w:cs="Times New Roman"/>
        </w:rPr>
        <w:t xml:space="preserve"> cu </w:t>
      </w:r>
      <w:proofErr w:type="spellStart"/>
      <w:r w:rsidRPr="00253538">
        <w:rPr>
          <w:rFonts w:ascii="Trebuchet MS" w:hAnsi="Trebuchet MS" w:cs="Times New Roman"/>
        </w:rPr>
        <w:t>dependinţele</w:t>
      </w:r>
      <w:proofErr w:type="spellEnd"/>
      <w:r w:rsidRPr="00253538">
        <w:rPr>
          <w:rFonts w:ascii="Trebuchet MS" w:hAnsi="Trebuchet MS" w:cs="Times New Roman"/>
        </w:rPr>
        <w:t xml:space="preserve">, </w:t>
      </w:r>
      <w:proofErr w:type="spellStart"/>
      <w:r w:rsidRPr="00253538">
        <w:rPr>
          <w:rFonts w:ascii="Trebuchet MS" w:hAnsi="Trebuchet MS" w:cs="Times New Roman"/>
        </w:rPr>
        <w:t>dotările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şi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utilităţile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necesare</w:t>
      </w:r>
      <w:proofErr w:type="spellEnd"/>
      <w:r w:rsidRPr="00253538">
        <w:rPr>
          <w:rFonts w:ascii="Trebuchet MS" w:hAnsi="Trebuchet MS" w:cs="Times New Roman"/>
        </w:rPr>
        <w:t xml:space="preserve">, care </w:t>
      </w:r>
      <w:proofErr w:type="spellStart"/>
      <w:r w:rsidRPr="00253538">
        <w:rPr>
          <w:rFonts w:ascii="Trebuchet MS" w:hAnsi="Trebuchet MS" w:cs="Times New Roman"/>
        </w:rPr>
        <w:t>satisfac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nevoile</w:t>
      </w:r>
      <w:proofErr w:type="spellEnd"/>
      <w:r w:rsidRPr="00253538">
        <w:rPr>
          <w:rFonts w:ascii="Trebuchet MS" w:hAnsi="Trebuchet MS" w:cs="Times New Roman"/>
        </w:rPr>
        <w:t xml:space="preserve"> de </w:t>
      </w:r>
      <w:proofErr w:type="spellStart"/>
      <w:r w:rsidRPr="00253538">
        <w:rPr>
          <w:rFonts w:ascii="Trebuchet MS" w:hAnsi="Trebuchet MS" w:cs="Times New Roman"/>
        </w:rPr>
        <w:t>locuit</w:t>
      </w:r>
      <w:proofErr w:type="spellEnd"/>
      <w:r w:rsidRPr="00253538">
        <w:rPr>
          <w:rFonts w:ascii="Trebuchet MS" w:hAnsi="Trebuchet MS" w:cs="Times New Roman"/>
        </w:rPr>
        <w:t xml:space="preserve"> ale </w:t>
      </w:r>
      <w:proofErr w:type="spellStart"/>
      <w:r w:rsidRPr="00253538">
        <w:rPr>
          <w:rFonts w:ascii="Trebuchet MS" w:hAnsi="Trebuchet MS" w:cs="Times New Roman"/>
        </w:rPr>
        <w:t>unei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persoane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sau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familii</w:t>
      </w:r>
      <w:proofErr w:type="spellEnd"/>
      <w:r w:rsidRPr="00253538">
        <w:rPr>
          <w:rFonts w:ascii="Trebuchet MS" w:hAnsi="Trebuchet MS" w:cs="Times New Roman"/>
        </w:rPr>
        <w:t xml:space="preserve">, </w:t>
      </w:r>
      <w:proofErr w:type="spellStart"/>
      <w:r w:rsidRPr="00253538">
        <w:rPr>
          <w:rFonts w:ascii="Trebuchet MS" w:hAnsi="Trebuchet MS" w:cs="Times New Roman"/>
        </w:rPr>
        <w:t>potrivit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Legii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locuinţei</w:t>
      </w:r>
      <w:proofErr w:type="spellEnd"/>
      <w:r w:rsidRPr="00253538">
        <w:rPr>
          <w:rFonts w:ascii="Trebuchet MS" w:hAnsi="Trebuchet MS" w:cs="Times New Roman"/>
        </w:rPr>
        <w:t xml:space="preserve"> nr. 114/1996, </w:t>
      </w:r>
      <w:proofErr w:type="spellStart"/>
      <w:r w:rsidRPr="00253538">
        <w:rPr>
          <w:rFonts w:ascii="Trebuchet MS" w:hAnsi="Trebuchet MS" w:cs="Times New Roman"/>
        </w:rPr>
        <w:t>republicată</w:t>
      </w:r>
      <w:proofErr w:type="spellEnd"/>
      <w:r w:rsidRPr="00253538">
        <w:rPr>
          <w:rFonts w:ascii="Trebuchet MS" w:hAnsi="Trebuchet MS" w:cs="Times New Roman"/>
        </w:rPr>
        <w:t xml:space="preserve">, cu </w:t>
      </w:r>
      <w:proofErr w:type="spellStart"/>
      <w:r w:rsidRPr="00253538">
        <w:rPr>
          <w:rFonts w:ascii="Trebuchet MS" w:hAnsi="Trebuchet MS" w:cs="Times New Roman"/>
        </w:rPr>
        <w:t>modificările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şi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completările</w:t>
      </w:r>
      <w:proofErr w:type="spellEnd"/>
      <w:r w:rsidRPr="00253538">
        <w:rPr>
          <w:rFonts w:ascii="Trebuchet MS" w:hAnsi="Trebuchet MS" w:cs="Times New Roman"/>
        </w:rPr>
        <w:t xml:space="preserve"> </w:t>
      </w:r>
      <w:proofErr w:type="spellStart"/>
      <w:r w:rsidRPr="00253538">
        <w:rPr>
          <w:rFonts w:ascii="Trebuchet MS" w:hAnsi="Trebuchet MS" w:cs="Times New Roman"/>
        </w:rPr>
        <w:t>ulterioare</w:t>
      </w:r>
      <w:proofErr w:type="spellEnd"/>
      <w:r>
        <w:rPr>
          <w:rFonts w:ascii="Trebuchet MS" w:hAnsi="Trebuchet MS" w:cs="Times New Roman"/>
        </w:rPr>
        <w:t>”</w:t>
      </w:r>
      <w:r w:rsidRPr="00253538">
        <w:rPr>
          <w:rFonts w:ascii="Trebuchet MS" w:hAnsi="Trebuchet MS" w:cs="Times New Roman"/>
        </w:rPr>
        <w:t>.</w:t>
      </w:r>
    </w:p>
    <w:p w:rsidR="00C80BCC" w:rsidRDefault="00C80BCC" w:rsidP="00C80BCC">
      <w:pPr>
        <w:spacing w:line="276" w:lineRule="auto"/>
        <w:contextualSpacing/>
        <w:jc w:val="both"/>
        <w:rPr>
          <w:rFonts w:ascii="Trebuchet MS" w:eastAsia="Calibri" w:hAnsi="Trebuchet MS" w:cs="Arial"/>
          <w:b/>
          <w:color w:val="000000" w:themeColor="text1"/>
          <w:lang w:val="ro-RO"/>
        </w:rPr>
      </w:pPr>
    </w:p>
    <w:p w:rsidR="00C80BCC" w:rsidRPr="00DE754A" w:rsidRDefault="009D5531" w:rsidP="00C80BCC">
      <w:pPr>
        <w:spacing w:line="276" w:lineRule="auto"/>
        <w:contextualSpacing/>
        <w:jc w:val="both"/>
        <w:rPr>
          <w:rFonts w:ascii="Trebuchet MS" w:eastAsia="Calibri" w:hAnsi="Trebuchet MS" w:cs="Arial"/>
          <w:b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color w:val="000000" w:themeColor="text1"/>
          <w:lang w:val="ro-RO"/>
        </w:rPr>
        <w:t>5</w:t>
      </w:r>
      <w:r w:rsidR="00C80BCC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. 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>La articolul 9, după alineatul  (1), se introduce un nou alineat, alin. (1</w:t>
      </w:r>
      <w:r w:rsidR="00C80BCC" w:rsidRPr="00DE754A">
        <w:rPr>
          <w:rFonts w:ascii="Trebuchet MS" w:eastAsia="Calibri" w:hAnsi="Trebuchet MS" w:cs="Arial"/>
          <w:b/>
          <w:color w:val="000000" w:themeColor="text1"/>
          <w:vertAlign w:val="superscript"/>
          <w:lang w:val="ro-RO"/>
        </w:rPr>
        <w:t>1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), cu următorul cuprins: 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 w:rsidRPr="00DE754A">
        <w:rPr>
          <w:rFonts w:ascii="Trebuchet MS" w:hAnsi="Trebuchet MS" w:cs="Arial"/>
          <w:color w:val="000000" w:themeColor="text1"/>
          <w:lang w:val="ro-RO"/>
        </w:rPr>
        <w:t>„(1</w:t>
      </w:r>
      <w:r w:rsidRPr="00DE754A">
        <w:rPr>
          <w:rFonts w:ascii="Trebuchet MS" w:hAnsi="Trebuchet MS" w:cs="Arial"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hAnsi="Trebuchet MS" w:cs="Arial"/>
          <w:color w:val="000000" w:themeColor="text1"/>
          <w:lang w:val="ro-RO"/>
        </w:rPr>
        <w:t>)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Alocarea la plată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încetarea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plăţii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compensaţiei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lunare a chiriei pentru directorii din sistemul administrației penitenciare și directorii generali adjuncți</w:t>
      </w:r>
      <w:r w:rsidRPr="00DE754A">
        <w:rPr>
          <w:rFonts w:ascii="Trebuchet MS" w:eastAsia="Calibri" w:hAnsi="Trebuchet MS" w:cs="Arial"/>
          <w:color w:val="000000" w:themeColor="text1"/>
        </w:rPr>
        <w:t xml:space="preserve"> se fac </w:t>
      </w:r>
      <w:proofErr w:type="spellStart"/>
      <w:r w:rsidRPr="00DE754A">
        <w:rPr>
          <w:rFonts w:ascii="Trebuchet MS" w:eastAsia="Calibri" w:hAnsi="Trebuchet MS" w:cs="Arial"/>
          <w:color w:val="000000" w:themeColor="text1"/>
        </w:rPr>
        <w:t>prin</w:t>
      </w:r>
      <w:proofErr w:type="spellEnd"/>
      <w:r w:rsidRPr="00DE754A">
        <w:rPr>
          <w:rFonts w:ascii="Trebuchet MS" w:eastAsia="Calibri" w:hAnsi="Trebuchet MS" w:cs="Arial"/>
          <w:color w:val="000000" w:themeColor="text1"/>
        </w:rPr>
        <w:t xml:space="preserve"> act </w:t>
      </w:r>
      <w:proofErr w:type="spellStart"/>
      <w:r w:rsidRPr="00DE754A">
        <w:rPr>
          <w:rFonts w:ascii="Trebuchet MS" w:eastAsia="Calibri" w:hAnsi="Trebuchet MS" w:cs="Arial"/>
          <w:color w:val="000000" w:themeColor="text1"/>
        </w:rPr>
        <w:t>administrativ</w:t>
      </w:r>
      <w:proofErr w:type="spellEnd"/>
      <w:r w:rsidRPr="00DE754A">
        <w:rPr>
          <w:rFonts w:ascii="Trebuchet MS" w:eastAsia="Calibri" w:hAnsi="Trebuchet MS" w:cs="Arial"/>
          <w:color w:val="000000" w:themeColor="text1"/>
        </w:rPr>
        <w:t xml:space="preserve"> al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> ordonatorului secundar de credite, iar în cazul directorului general al Administrației Naționale a Penitenciarelor, prin act administrativ al ordonatorului principal de credite.”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</w:p>
    <w:p w:rsidR="00C80BCC" w:rsidRPr="00DE754A" w:rsidRDefault="009D5531" w:rsidP="00C80BCC">
      <w:pPr>
        <w:spacing w:after="0" w:line="276" w:lineRule="auto"/>
        <w:contextualSpacing/>
        <w:jc w:val="both"/>
        <w:rPr>
          <w:rFonts w:ascii="Trebuchet MS" w:hAnsi="Trebuchet MS" w:cs="Arial"/>
          <w:b/>
          <w:color w:val="000000" w:themeColor="text1"/>
          <w:lang w:val="ro-RO"/>
        </w:rPr>
      </w:pPr>
      <w:r>
        <w:rPr>
          <w:rFonts w:ascii="Trebuchet MS" w:hAnsi="Trebuchet MS" w:cs="Arial"/>
          <w:b/>
          <w:color w:val="000000" w:themeColor="text1"/>
          <w:lang w:val="ro-RO"/>
        </w:rPr>
        <w:t>6</w:t>
      </w:r>
      <w:r w:rsidR="00C80BCC" w:rsidRPr="0097617F">
        <w:rPr>
          <w:rFonts w:ascii="Trebuchet MS" w:hAnsi="Trebuchet MS" w:cs="Arial"/>
          <w:b/>
          <w:color w:val="000000" w:themeColor="text1"/>
          <w:lang w:val="ro-RO"/>
        </w:rPr>
        <w:t>.</w:t>
      </w:r>
      <w:r w:rsidR="00C80BCC" w:rsidRPr="00DE754A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C80BCC">
        <w:rPr>
          <w:rFonts w:ascii="Trebuchet MS" w:hAnsi="Trebuchet MS" w:cs="Arial"/>
          <w:b/>
          <w:color w:val="000000" w:themeColor="text1"/>
          <w:lang w:val="ro-RO"/>
        </w:rPr>
        <w:t>A</w:t>
      </w:r>
      <w:r w:rsidR="00C80BCC" w:rsidRPr="00DE754A">
        <w:rPr>
          <w:rFonts w:ascii="Trebuchet MS" w:hAnsi="Trebuchet MS" w:cs="Arial"/>
          <w:b/>
          <w:color w:val="000000" w:themeColor="text1"/>
          <w:lang w:val="ro-RO"/>
        </w:rPr>
        <w:t xml:space="preserve">lineatul (2) </w:t>
      </w:r>
      <w:r w:rsidR="00C80BCC">
        <w:rPr>
          <w:rFonts w:ascii="Trebuchet MS" w:hAnsi="Trebuchet MS" w:cs="Arial"/>
          <w:b/>
          <w:color w:val="000000" w:themeColor="text1"/>
          <w:lang w:val="ro-RO"/>
        </w:rPr>
        <w:t>al</w:t>
      </w:r>
      <w:r w:rsidR="00C80BCC" w:rsidRPr="00DE754A">
        <w:rPr>
          <w:rFonts w:ascii="Trebuchet MS" w:hAnsi="Trebuchet MS" w:cs="Arial"/>
          <w:b/>
          <w:color w:val="000000" w:themeColor="text1"/>
          <w:lang w:val="ro-RO"/>
        </w:rPr>
        <w:t xml:space="preserve"> articolul</w:t>
      </w:r>
      <w:r w:rsidR="00C80BCC">
        <w:rPr>
          <w:rFonts w:ascii="Trebuchet MS" w:hAnsi="Trebuchet MS" w:cs="Arial"/>
          <w:b/>
          <w:color w:val="000000" w:themeColor="text1"/>
          <w:lang w:val="ro-RO"/>
        </w:rPr>
        <w:t>ui</w:t>
      </w:r>
      <w:r w:rsidR="00C80BCC" w:rsidRPr="00DE754A">
        <w:rPr>
          <w:rFonts w:ascii="Trebuchet MS" w:hAnsi="Trebuchet MS" w:cs="Arial"/>
          <w:b/>
          <w:color w:val="000000" w:themeColor="text1"/>
          <w:lang w:val="ro-RO"/>
        </w:rPr>
        <w:t xml:space="preserve"> 9 se modifică și va avea următorul cuprins: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„(2) În cazurile prevăzute la art. 12 lit. d), h) și i), încetarea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plăţii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color w:val="000000" w:themeColor="text1"/>
          <w:lang w:val="ro-RO"/>
        </w:rPr>
        <w:t>compensaţiei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lunare pentru chirie operează de drept, fără a mai fi necesară emiterea actului administrativ."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</w:p>
    <w:p w:rsidR="00C80BCC" w:rsidRPr="00DE754A" w:rsidRDefault="009D5531" w:rsidP="00C80BCC">
      <w:pPr>
        <w:spacing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color w:val="000000" w:themeColor="text1"/>
          <w:lang w:val="ro-RO"/>
        </w:rPr>
        <w:t>7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>. La articolul 15, după alineatul (2) se introduc două noi alineate, alin</w:t>
      </w:r>
      <w:r w:rsidR="00C80BCC">
        <w:rPr>
          <w:rFonts w:ascii="Trebuchet MS" w:eastAsia="Calibri" w:hAnsi="Trebuchet MS" w:cs="Arial"/>
          <w:b/>
          <w:color w:val="000000" w:themeColor="text1"/>
          <w:lang w:val="ro-RO"/>
        </w:rPr>
        <w:t>.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 (2</w:t>
      </w:r>
      <w:r w:rsidR="00C80BCC" w:rsidRPr="00DE754A">
        <w:rPr>
          <w:rFonts w:ascii="Trebuchet MS" w:eastAsia="Calibri" w:hAnsi="Trebuchet MS" w:cs="Arial"/>
          <w:b/>
          <w:color w:val="000000" w:themeColor="text1"/>
          <w:vertAlign w:val="superscript"/>
          <w:lang w:val="ro-RO"/>
        </w:rPr>
        <w:t>1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>) și (2</w:t>
      </w:r>
      <w:r w:rsidR="00C80BCC" w:rsidRPr="00DE754A">
        <w:rPr>
          <w:rFonts w:ascii="Trebuchet MS" w:eastAsia="Calibri" w:hAnsi="Trebuchet MS" w:cs="Arial"/>
          <w:b/>
          <w:color w:val="000000" w:themeColor="text1"/>
          <w:vertAlign w:val="superscript"/>
          <w:lang w:val="ro-RO"/>
        </w:rPr>
        <w:t>2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>), cu următorul cuprins: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color w:val="000000" w:themeColor="text1"/>
          <w:lang w:val="ro-RO"/>
        </w:rPr>
      </w:pPr>
      <w:r>
        <w:rPr>
          <w:rFonts w:ascii="Trebuchet MS" w:eastAsia="Calibri" w:hAnsi="Trebuchet MS" w:cs="Arial"/>
          <w:color w:val="000000" w:themeColor="text1"/>
          <w:lang w:val="ro-RO"/>
        </w:rPr>
        <w:t>„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>(2</w:t>
      </w:r>
      <w:r w:rsidRPr="00DE754A">
        <w:rPr>
          <w:rFonts w:ascii="Trebuchet MS" w:eastAsia="Calibri" w:hAnsi="Trebuchet MS" w:cs="Arial"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) La stabilirea  compensației </w:t>
      </w:r>
      <w:proofErr w:type="spellStart"/>
      <w:r w:rsidRPr="00DE754A">
        <w:rPr>
          <w:rFonts w:ascii="Trebuchet MS" w:eastAsia="Calibri" w:hAnsi="Trebuchet MS" w:cs="Arial"/>
          <w:color w:val="000000" w:themeColor="text1"/>
        </w:rPr>
        <w:t>lunare</w:t>
      </w:r>
      <w:proofErr w:type="spellEnd"/>
      <w:r w:rsidRPr="00DE754A">
        <w:rPr>
          <w:rFonts w:ascii="Trebuchet MS" w:eastAsia="Calibri" w:hAnsi="Trebuchet MS" w:cs="Arial"/>
          <w:color w:val="000000" w:themeColor="text1"/>
        </w:rPr>
        <w:t xml:space="preserve"> a </w:t>
      </w:r>
      <w:proofErr w:type="spellStart"/>
      <w:r w:rsidRPr="00DE754A">
        <w:rPr>
          <w:rFonts w:ascii="Trebuchet MS" w:eastAsia="Calibri" w:hAnsi="Trebuchet MS" w:cs="Arial"/>
          <w:color w:val="000000" w:themeColor="text1"/>
        </w:rPr>
        <w:t>chiriei</w:t>
      </w:r>
      <w:proofErr w:type="spellEnd"/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prev</w:t>
      </w:r>
      <w:r>
        <w:rPr>
          <w:rFonts w:ascii="Trebuchet MS" w:eastAsia="Calibri" w:hAnsi="Trebuchet MS" w:cs="Arial"/>
          <w:color w:val="000000" w:themeColor="text1"/>
          <w:lang w:val="ro-RO"/>
        </w:rPr>
        <w:t>ă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>zut</w:t>
      </w:r>
      <w:r>
        <w:rPr>
          <w:rFonts w:ascii="Trebuchet MS" w:eastAsia="Calibri" w:hAnsi="Trebuchet MS" w:cs="Arial"/>
          <w:color w:val="000000" w:themeColor="text1"/>
          <w:lang w:val="ro-RO"/>
        </w:rPr>
        <w:t>e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t xml:space="preserve"> la alin. (1) se vor avea în vedere valoarea construcției cu destinația de locuință, inclusiv suprafața de teren reprezentând amprenta la sol a </w:t>
      </w:r>
      <w:r w:rsidRPr="00DE754A">
        <w:rPr>
          <w:rFonts w:ascii="Trebuchet MS" w:eastAsia="Calibri" w:hAnsi="Trebuchet MS" w:cs="Arial"/>
          <w:color w:val="000000" w:themeColor="text1"/>
          <w:lang w:val="ro-RO"/>
        </w:rPr>
        <w:lastRenderedPageBreak/>
        <w:t xml:space="preserve">locuinței, precum și cotele părți de proprietate comună aferente locuinței și drumului de acces, după caz. 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(2</w:t>
      </w:r>
      <w:r w:rsidRPr="00DE754A">
        <w:rPr>
          <w:rFonts w:ascii="Trebuchet MS" w:eastAsia="Calibri" w:hAnsi="Trebuchet MS" w:cs="Arial"/>
          <w:bCs/>
          <w:iCs/>
          <w:color w:val="000000" w:themeColor="text1"/>
          <w:sz w:val="20"/>
          <w:vertAlign w:val="superscript"/>
          <w:lang w:val="ro-RO"/>
        </w:rPr>
        <w:t>2</w:t>
      </w:r>
      <w:r w:rsidRPr="00DE754A">
        <w:rPr>
          <w:rFonts w:ascii="Trebuchet MS" w:eastAsia="Calibri" w:hAnsi="Trebuchet MS" w:cs="Arial"/>
          <w:bCs/>
          <w:iCs/>
          <w:color w:val="000000" w:themeColor="text1"/>
          <w:sz w:val="20"/>
          <w:lang w:val="ro-RO"/>
        </w:rPr>
        <w:t xml:space="preserve">)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În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situa</w:t>
      </w:r>
      <w:r w:rsidR="00344919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ţ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ia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în care în contractul de vânzare - cumpărare este prevăzută plata unui avans, valoarea acestuia se scade din suma ce se are în vedere potrivit alin. (2</w:t>
      </w:r>
      <w:r w:rsidRPr="00DE754A">
        <w:rPr>
          <w:rFonts w:ascii="Trebuchet MS" w:eastAsia="Calibri" w:hAnsi="Trebuchet MS" w:cs="Arial"/>
          <w:bCs/>
          <w:iCs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)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”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.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</w:p>
    <w:p w:rsidR="00C80BCC" w:rsidRPr="00DE754A" w:rsidRDefault="009D5531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color w:val="000000" w:themeColor="text1"/>
          <w:lang w:val="ro-RO"/>
        </w:rPr>
        <w:t>8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>. După art. 16 se introduce un nou articol, art</w:t>
      </w:r>
      <w:r w:rsidR="00C80BCC">
        <w:rPr>
          <w:rFonts w:ascii="Trebuchet MS" w:eastAsia="Calibri" w:hAnsi="Trebuchet MS" w:cs="Arial"/>
          <w:b/>
          <w:color w:val="000000" w:themeColor="text1"/>
          <w:lang w:val="ro-RO"/>
        </w:rPr>
        <w:t>.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 16</w:t>
      </w:r>
      <w:r w:rsidR="00C80BCC" w:rsidRPr="00DE754A">
        <w:rPr>
          <w:rFonts w:ascii="Trebuchet MS" w:eastAsia="Calibri" w:hAnsi="Trebuchet MS" w:cs="Arial"/>
          <w:b/>
          <w:color w:val="000000" w:themeColor="text1"/>
          <w:vertAlign w:val="superscript"/>
          <w:lang w:val="ro-RO"/>
        </w:rPr>
        <w:t>1</w:t>
      </w:r>
      <w:r w:rsidR="00C80BCC">
        <w:rPr>
          <w:rFonts w:ascii="Trebuchet MS" w:eastAsia="Calibri" w:hAnsi="Trebuchet MS" w:cs="Arial"/>
          <w:b/>
          <w:color w:val="000000" w:themeColor="text1"/>
          <w:lang w:val="ro-RO"/>
        </w:rPr>
        <w:t xml:space="preserve">, cu </w:t>
      </w:r>
      <w:r w:rsidR="00C80BCC" w:rsidRPr="00DE754A">
        <w:rPr>
          <w:rFonts w:ascii="Trebuchet MS" w:eastAsia="Calibri" w:hAnsi="Trebuchet MS" w:cs="Arial"/>
          <w:b/>
          <w:color w:val="000000" w:themeColor="text1"/>
          <w:lang w:val="ro-RO"/>
        </w:rPr>
        <w:t>următorul cuprins: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color w:val="000000" w:themeColor="text1"/>
          <w:lang w:val="ro-RO"/>
        </w:rPr>
        <w:t>„</w:t>
      </w:r>
      <w:r w:rsidRPr="00DE754A">
        <w:rPr>
          <w:rFonts w:ascii="Trebuchet MS" w:eastAsia="Calibri" w:hAnsi="Trebuchet MS" w:cs="Arial"/>
          <w:b/>
          <w:color w:val="000000" w:themeColor="text1"/>
          <w:lang w:val="ro-RO"/>
        </w:rPr>
        <w:t>Art. 16</w:t>
      </w:r>
      <w:r w:rsidRPr="00DE754A">
        <w:rPr>
          <w:rFonts w:ascii="Trebuchet MS" w:eastAsia="Calibri" w:hAnsi="Trebuchet MS" w:cs="Arial"/>
          <w:b/>
          <w:color w:val="000000" w:themeColor="text1"/>
          <w:vertAlign w:val="superscript"/>
          <w:lang w:val="ro-RO"/>
        </w:rPr>
        <w:t>1</w:t>
      </w:r>
      <w:r>
        <w:rPr>
          <w:rFonts w:ascii="Trebuchet MS" w:eastAsia="Calibri" w:hAnsi="Trebuchet MS" w:cs="Arial"/>
          <w:b/>
          <w:color w:val="000000" w:themeColor="text1"/>
          <w:lang w:val="ro-RO"/>
        </w:rPr>
        <w:t xml:space="preserve"> -  </w:t>
      </w:r>
      <w:r w:rsidRPr="00D61E99">
        <w:rPr>
          <w:rFonts w:ascii="Trebuchet MS" w:eastAsia="Calibri" w:hAnsi="Trebuchet MS" w:cs="Arial"/>
          <w:color w:val="000000" w:themeColor="text1"/>
          <w:lang w:val="ro-RO"/>
        </w:rPr>
        <w:t>(1)</w:t>
      </w:r>
      <w:r>
        <w:rPr>
          <w:rFonts w:ascii="Trebuchet MS" w:eastAsia="Calibri" w:hAnsi="Trebuchet MS" w:cs="Arial"/>
          <w:b/>
          <w:color w:val="000000" w:themeColor="text1"/>
          <w:lang w:val="ro-RO"/>
        </w:rPr>
        <w:t xml:space="preserve">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În cazul achiziției unei unități locative care cuprinde pe lângă locuință  și o altă suprafață de teren decât cea reprezentând amprenta la sol a acesteia ori cotele-părți de proprietate comună aferente locuinței și drumului de acces, după caz, precum și eventuale alte construcții care nu au destinație de locuință, în contractul de vânzare-cumpărare sau în contractul de vânzare-cumpărare cu plata în rate se menționează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,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în mod distinct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: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prețul de achiziție al locuinței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,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al terenului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  <w:proofErr w:type="spellStart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l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eventualelor construcții care nu au destinație de locuință.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(2) Prețul de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achizi</w:t>
      </w:r>
      <w:r w:rsidR="00344919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ţ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ie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al terenului poate fi evidențiat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prin una din următoarele </w:t>
      </w:r>
      <w:proofErr w:type="spellStart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modalităţi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: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a) prin menționarea sumei totale corespunzătoare întregii suprafețe;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b) prin indicarea prețului unitar pe m</w:t>
      </w:r>
      <w:r w:rsidRPr="00DE754A">
        <w:rPr>
          <w:rFonts w:ascii="Trebuchet MS" w:eastAsia="Calibri" w:hAnsi="Trebuchet MS" w:cs="Arial"/>
          <w:bCs/>
          <w:iCs/>
          <w:color w:val="000000" w:themeColor="text1"/>
          <w:vertAlign w:val="superscript"/>
          <w:lang w:val="ro-RO"/>
        </w:rPr>
        <w:t xml:space="preserve">2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de teren;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vertAlign w:val="superscript"/>
          <w:lang w:val="ro-RO"/>
        </w:rPr>
        <w:t xml:space="preserve">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c) prin menționarea sumei plătite pentru suprafața de teren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,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alta decât cea reprezentând amprenta la sol a locuinței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ori cotele-părți de proprietate comună aferente locuinței și drumului de acces.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(3) În cazul contractelor încheiate anterior intrării în vigoare a prezentului ordin, îndeplinirea cerinței prevăzute la alin. (1) se asigură prin încheierea, în condițiile legii,  a unui act adițional la contractul de vânzare-cumpărare sau contractul de vânzare-cumpărare cu plata în rate, în care se menționează în mod distinct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: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prețul de achiziție al locuinței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,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al terenului </w:t>
      </w:r>
      <w:proofErr w:type="spellStart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l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eventualelor construcții care nu au destinație de locuință.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(4) Dacă din motive justificate nu se poate încheia un act adițional potrivit prevederilor alin. (3), 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pre</w:t>
      </w:r>
      <w:r w:rsidR="00344919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ţ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ul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de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achizi</w:t>
      </w:r>
      <w:r w:rsidR="00344919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ţ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ie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al terenului poate fi stabilit în baza 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unui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raport de evaluare întocmit de către un evaluator autorizat de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Asociația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Națională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Evaluatorilor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Autorizați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din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România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.</w:t>
      </w:r>
    </w:p>
    <w:p w:rsidR="00C80BCC" w:rsidRPr="00A67675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A67675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(5) Prin amprenta  la sol a clădirii  se înțelege </w:t>
      </w:r>
      <w:proofErr w:type="spellStart"/>
      <w:r w:rsidR="005F2077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suprafaţa</w:t>
      </w:r>
      <w:proofErr w:type="spellEnd"/>
      <w:r w:rsidR="005F2077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de teren </w:t>
      </w:r>
      <w:r w:rsidRPr="00A67675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pe care este construită </w:t>
      </w:r>
      <w:proofErr w:type="spellStart"/>
      <w:r w:rsidRPr="00A67675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locuinţa</w:t>
      </w:r>
      <w:proofErr w:type="spellEnd"/>
      <w:r w:rsidR="00EC07E5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, la nivelul parterului</w:t>
      </w:r>
      <w:r w:rsidR="005F2077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. 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(6) Nerespectarea prevederilor alin. (1)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, (3) </w:t>
      </w:r>
      <w:proofErr w:type="spellStart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(4)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atrage respingerea cererii de plată a compensației</w:t>
      </w:r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lunare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chiriei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pentru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plata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ratei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sau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unei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fracțiuni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din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rată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.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(7) În situația prevăzută la alin. (1), fracțiunea din rata lunară care va face obiectul decontării se determină astfel:</w:t>
      </w:r>
    </w:p>
    <w:p w:rsidR="00C80BCC" w:rsidRPr="00DE754A" w:rsidRDefault="00C80BCC" w:rsidP="00C80BCC">
      <w:pPr>
        <w:pStyle w:val="Listparagraf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se scade valoarea avansului din suma ce se are în vedere potrivit art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.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15 alin. (2</w:t>
      </w:r>
      <w:r w:rsidRPr="00DE754A">
        <w:rPr>
          <w:rFonts w:ascii="Trebuchet MS" w:eastAsia="Calibri" w:hAnsi="Trebuchet MS" w:cs="Arial"/>
          <w:bCs/>
          <w:iCs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) și se stabilește valoarea  în raport de care se calculeaz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ă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fracțiunea de rată;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b)  se stabilește cât reprezintă procentual valoarea de la lit. a) în raport cu valoarea totală a creditului contractat de polițistul de penitenciare. Procentul obținut se calculează, prin rotunjire matematică, cu două zecimale;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c) procentul rezultat se aplică asupra ratei lunare stabilit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e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conform scadențarului de plată, iar  valoarea astfel rezultată reprezintă valoarea decontată, cu aplicarea corespunzătoare a prevederilor art. 1 alin. (1).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lastRenderedPageBreak/>
        <w:t xml:space="preserve">(8) Valoarea procentului 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prevăzut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la alin. (7)  se stabilește de către structura de resurse umane  </w:t>
      </w:r>
      <w:proofErr w:type="spellStart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 structura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economico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-administrativă și se menționează în actul administrativ prin care se acordă dreptul prevăzut la art. 15 alin. (1)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”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.  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</w:p>
    <w:p w:rsidR="00C80BCC" w:rsidRPr="00DE754A" w:rsidRDefault="009D5531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9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.  La articolul 19</w:t>
      </w:r>
      <w:r w:rsidR="00C80BCC" w:rsidRPr="009D1256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alineatul (1), litera f) se modifică și va avea următorul cuprins: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</w:rPr>
      </w:pPr>
      <w:r>
        <w:rPr>
          <w:rFonts w:ascii="Trebuchet MS" w:eastAsia="Calibri" w:hAnsi="Trebuchet MS" w:cs="Arial"/>
          <w:bCs/>
          <w:iCs/>
          <w:color w:val="000000" w:themeColor="text1"/>
        </w:rPr>
        <w:t>“</w:t>
      </w:r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f) extras de carte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funciară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,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în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copie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, care face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dovada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dreptului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de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proprietate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asupra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imobilului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achiziţionat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/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dovada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notării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în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cartea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funciară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vânzării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făcută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, cu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rezerva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dreptului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de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proprietate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,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în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cazul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contractului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de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vânzare-cumpărare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cu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plata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în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rate 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locuinţei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în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care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vânzătorul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îşi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rezervă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proprietatea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bunului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până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la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plata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integrală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 xml:space="preserve"> 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preţului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</w:rPr>
        <w:t>.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</w:rPr>
      </w:pPr>
    </w:p>
    <w:p w:rsidR="00C80BCC" w:rsidRPr="00DE754A" w:rsidRDefault="009D5531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10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. La articolul 20, după alineatul (1) se introduce un nou alineat</w:t>
      </w:r>
      <w:r w:rsidR="00C80BCC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, alin.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(1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vertAlign w:val="superscript"/>
          <w:lang w:val="ro-RO"/>
        </w:rPr>
        <w:t>1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)</w:t>
      </w:r>
      <w:r w:rsidR="00C80BCC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,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cu următorul cuprins: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  <w:lang w:val="ro-RO"/>
        </w:rPr>
      </w:pP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„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(1</w:t>
      </w:r>
      <w:r w:rsidRPr="00DE754A">
        <w:rPr>
          <w:rFonts w:ascii="Trebuchet MS" w:eastAsia="Calibri" w:hAnsi="Trebuchet MS" w:cs="Arial"/>
          <w:bCs/>
          <w:iCs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) Comisia stabilită la art. 5, alin. (2) verifică dacă în localitatea în care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îşi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desfăşoară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activitatea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poliţistul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de penitenciare nu exist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ă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fond locativ corespunzător, prin consultarea site-urilor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publicaţiilor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de specialitate, 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putând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solicita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informaţii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suplimentare în acest sens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autorităţii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administraţiei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publice locale în raza căreia se află unitatea ori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agenţiilor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imobiliare, concluziile rezultate fiind consemnate într-un proces-verbal.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Existenţa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sau, după caz,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inexistenţa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fondului locativ corespunzător se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stabileşte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prin raportare la oferte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le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de vânzare, la momentul achiziției, a unor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locuinţe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cu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dependinţele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, dotările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utilităţile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necesare, care satisfac nevoile de locuit ale unei persoane sau familii, potrivit Legii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locuinţei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nr. 114/1996, republicată, cu modificările </w:t>
      </w:r>
      <w:proofErr w:type="spellStart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completările ulterioare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”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.</w:t>
      </w:r>
    </w:p>
    <w:p w:rsidR="00C80BCC" w:rsidRPr="00DE754A" w:rsidRDefault="00C80BCC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Cs/>
          <w:iCs/>
          <w:color w:val="000000" w:themeColor="text1"/>
        </w:rPr>
      </w:pP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ab/>
      </w:r>
    </w:p>
    <w:p w:rsidR="00C80BCC" w:rsidRPr="00DE754A" w:rsidRDefault="009D5531" w:rsidP="00C80BCC">
      <w:pPr>
        <w:spacing w:after="0" w:line="276" w:lineRule="auto"/>
        <w:contextualSpacing/>
        <w:jc w:val="both"/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</w:pPr>
      <w:r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11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.</w:t>
      </w:r>
      <w:r w:rsidR="00C80BCC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După art. 25 se introduce un nou articol, art</w:t>
      </w:r>
      <w:r w:rsidR="00C80BCC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.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25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vertAlign w:val="superscript"/>
          <w:lang w:val="ro-RO"/>
        </w:rPr>
        <w:t>1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, </w:t>
      </w:r>
      <w:r w:rsidR="00C80BCC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>cu</w:t>
      </w:r>
      <w:r w:rsidR="00C80BCC" w:rsidRPr="00DE754A">
        <w:rPr>
          <w:rFonts w:ascii="Trebuchet MS" w:eastAsia="Calibri" w:hAnsi="Trebuchet MS" w:cs="Arial"/>
          <w:b/>
          <w:bCs/>
          <w:iCs/>
          <w:color w:val="000000" w:themeColor="text1"/>
          <w:lang w:val="ro-RO"/>
        </w:rPr>
        <w:t xml:space="preserve"> următorul cuprins:</w:t>
      </w:r>
    </w:p>
    <w:p w:rsidR="00C80BCC" w:rsidRPr="00A75EC3" w:rsidRDefault="00C80BCC" w:rsidP="00C80BCC">
      <w:pPr>
        <w:pStyle w:val="Listparagraf"/>
        <w:autoSpaceDE w:val="0"/>
        <w:autoSpaceDN w:val="0"/>
        <w:adjustRightInd w:val="0"/>
        <w:spacing w:after="0" w:line="276" w:lineRule="auto"/>
        <w:ind w:left="0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color w:val="000000" w:themeColor="text1"/>
          <w:lang w:val="ro-RO"/>
        </w:rPr>
        <w:t>„</w:t>
      </w:r>
      <w:r w:rsidRPr="00E90E54">
        <w:rPr>
          <w:rFonts w:ascii="Trebuchet MS" w:hAnsi="Trebuchet MS" w:cs="Times New Roman"/>
          <w:b/>
          <w:color w:val="000000" w:themeColor="text1"/>
          <w:lang w:val="ro-RO"/>
        </w:rPr>
        <w:t>Art. 25</w:t>
      </w:r>
      <w:r>
        <w:rPr>
          <w:rFonts w:ascii="Trebuchet MS" w:hAnsi="Trebuchet MS" w:cs="Times New Roman"/>
          <w:b/>
          <w:color w:val="000000" w:themeColor="text1"/>
          <w:vertAlign w:val="superscript"/>
          <w:lang w:val="ro-RO"/>
        </w:rPr>
        <w:t>1</w:t>
      </w:r>
      <w:r w:rsidRPr="00E90E54">
        <w:rPr>
          <w:rFonts w:ascii="Trebuchet MS" w:hAnsi="Trebuchet MS" w:cs="Times New Roman"/>
          <w:b/>
          <w:color w:val="000000" w:themeColor="text1"/>
          <w:lang w:val="ro-RO"/>
        </w:rPr>
        <w:t xml:space="preserve"> </w:t>
      </w:r>
      <w:r>
        <w:rPr>
          <w:rFonts w:ascii="Trebuchet MS" w:hAnsi="Trebuchet MS" w:cs="Times New Roman"/>
          <w:color w:val="000000" w:themeColor="text1"/>
          <w:lang w:val="ro-RO"/>
        </w:rPr>
        <w:t xml:space="preserve">– (1) </w:t>
      </w:r>
      <w:r w:rsidR="008B6CF8">
        <w:rPr>
          <w:rFonts w:ascii="Trebuchet MS" w:hAnsi="Trebuchet MS" w:cs="Times New Roman"/>
          <w:color w:val="000000" w:themeColor="text1"/>
          <w:lang w:val="ro-RO"/>
        </w:rPr>
        <w:t>P</w:t>
      </w:r>
      <w:r w:rsidRPr="00DE754A">
        <w:rPr>
          <w:rFonts w:ascii="Trebuchet MS" w:hAnsi="Trebuchet MS" w:cs="Times New Roman"/>
          <w:color w:val="000000" w:themeColor="text1"/>
          <w:lang w:val="ro-RO"/>
        </w:rPr>
        <w:t xml:space="preserve">olițiștii de penitenciare </w:t>
      </w:r>
      <w:r>
        <w:rPr>
          <w:rFonts w:ascii="Trebuchet MS" w:hAnsi="Trebuchet MS" w:cs="Times New Roman"/>
          <w:color w:val="000000" w:themeColor="text1"/>
          <w:lang w:val="ro-RO"/>
        </w:rPr>
        <w:t xml:space="preserve">care, până la data intrării în vigoare a prezentului ordin, au încheiat 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contract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e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de vânzare-cumpărare sau contract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>e</w:t>
      </w:r>
      <w:r w:rsidRPr="00DE754A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de vânzare-cumpărare cu plata în rate</w:t>
      </w:r>
      <w:r w:rsidR="008B6CF8"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</w:t>
      </w:r>
      <w:proofErr w:type="spellStart"/>
      <w:r w:rsidR="008B6CF8">
        <w:rPr>
          <w:rFonts w:ascii="Trebuchet MS" w:eastAsia="Calibri" w:hAnsi="Trebuchet MS" w:cs="Arial"/>
          <w:bCs/>
          <w:iCs/>
          <w:color w:val="000000" w:themeColor="text1"/>
          <w:lang w:val="ro-RO"/>
        </w:rPr>
        <w:t>şi</w:t>
      </w:r>
      <w:proofErr w:type="spellEnd"/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care se încadrează în ipoteza prevăzută la art. 16</w:t>
      </w:r>
      <w:r>
        <w:rPr>
          <w:rFonts w:ascii="Trebuchet MS" w:eastAsia="Calibri" w:hAnsi="Trebuchet MS" w:cs="Arial"/>
          <w:bCs/>
          <w:iCs/>
          <w:color w:val="000000" w:themeColor="text1"/>
          <w:vertAlign w:val="superscript"/>
          <w:lang w:val="ro-RO"/>
        </w:rPr>
        <w:t>1</w:t>
      </w:r>
      <w:r>
        <w:rPr>
          <w:rFonts w:ascii="Trebuchet MS" w:eastAsia="Calibri" w:hAnsi="Trebuchet MS" w:cs="Arial"/>
          <w:bCs/>
          <w:iCs/>
          <w:color w:val="000000" w:themeColor="text1"/>
          <w:lang w:val="ro-RO"/>
        </w:rPr>
        <w:t xml:space="preserve"> alin. (1) </w:t>
      </w:r>
      <w:r w:rsidRPr="00DE754A">
        <w:rPr>
          <w:rFonts w:ascii="Trebuchet MS" w:hAnsi="Trebuchet MS" w:cs="Times New Roman"/>
          <w:color w:val="000000" w:themeColor="text1"/>
          <w:lang w:val="ro-RO"/>
        </w:rPr>
        <w:t xml:space="preserve"> </w:t>
      </w:r>
      <w:r w:rsidR="00F76001">
        <w:rPr>
          <w:rFonts w:ascii="Trebuchet MS" w:hAnsi="Trebuchet MS" w:cs="Times New Roman"/>
          <w:color w:val="000000" w:themeColor="text1"/>
          <w:lang w:val="ro-RO"/>
        </w:rPr>
        <w:t xml:space="preserve">au </w:t>
      </w:r>
      <w:proofErr w:type="spellStart"/>
      <w:r w:rsidR="00F76001">
        <w:rPr>
          <w:rFonts w:ascii="Trebuchet MS" w:hAnsi="Trebuchet MS" w:cs="Times New Roman"/>
          <w:color w:val="000000" w:themeColor="text1"/>
          <w:lang w:val="ro-RO"/>
        </w:rPr>
        <w:t>obligaţia</w:t>
      </w:r>
      <w:proofErr w:type="spellEnd"/>
      <w:r w:rsidR="00F76001">
        <w:rPr>
          <w:rFonts w:ascii="Trebuchet MS" w:hAnsi="Trebuchet MS" w:cs="Times New Roman"/>
          <w:color w:val="000000" w:themeColor="text1"/>
          <w:lang w:val="ro-RO"/>
        </w:rPr>
        <w:t xml:space="preserve"> de a</w:t>
      </w:r>
      <w:r w:rsidR="008B6CF8">
        <w:rPr>
          <w:rFonts w:ascii="Trebuchet MS" w:hAnsi="Trebuchet MS" w:cs="Times New Roman"/>
          <w:color w:val="000000" w:themeColor="text1"/>
          <w:lang w:val="ro-RO"/>
        </w:rPr>
        <w:t xml:space="preserve"> depune</w:t>
      </w:r>
      <w:r>
        <w:rPr>
          <w:rFonts w:ascii="Trebuchet MS" w:hAnsi="Trebuchet MS" w:cs="Times New Roman"/>
          <w:color w:val="000000" w:themeColor="text1"/>
          <w:lang w:val="ro-RO"/>
        </w:rPr>
        <w:t xml:space="preserve"> </w:t>
      </w:r>
      <w:proofErr w:type="spellStart"/>
      <w:r>
        <w:rPr>
          <w:rFonts w:ascii="Trebuchet MS" w:hAnsi="Trebuchet MS" w:cs="Times New Roman"/>
          <w:color w:val="000000" w:themeColor="text1"/>
          <w:lang w:val="ro-RO"/>
        </w:rPr>
        <w:t>documentaţi</w:t>
      </w:r>
      <w:r w:rsidR="008B6CF8">
        <w:rPr>
          <w:rFonts w:ascii="Trebuchet MS" w:hAnsi="Trebuchet MS" w:cs="Times New Roman"/>
          <w:color w:val="000000" w:themeColor="text1"/>
          <w:lang w:val="ro-RO"/>
        </w:rPr>
        <w:t>a</w:t>
      </w:r>
      <w:proofErr w:type="spellEnd"/>
      <w:r>
        <w:rPr>
          <w:rFonts w:ascii="Trebuchet MS" w:hAnsi="Trebuchet MS" w:cs="Times New Roman"/>
          <w:color w:val="000000" w:themeColor="text1"/>
          <w:lang w:val="ro-RO"/>
        </w:rPr>
        <w:t xml:space="preserve"> prevăzut</w:t>
      </w:r>
      <w:r w:rsidR="008B6CF8">
        <w:rPr>
          <w:rFonts w:ascii="Trebuchet MS" w:hAnsi="Trebuchet MS" w:cs="Times New Roman"/>
          <w:color w:val="000000" w:themeColor="text1"/>
          <w:lang w:val="ro-RO"/>
        </w:rPr>
        <w:t>ă</w:t>
      </w:r>
      <w:r>
        <w:rPr>
          <w:rFonts w:ascii="Trebuchet MS" w:hAnsi="Trebuchet MS" w:cs="Times New Roman"/>
          <w:color w:val="000000" w:themeColor="text1"/>
          <w:lang w:val="ro-RO"/>
        </w:rPr>
        <w:t xml:space="preserve"> la art</w:t>
      </w:r>
      <w:r w:rsidRPr="00DE754A">
        <w:rPr>
          <w:rFonts w:ascii="Trebuchet MS" w:hAnsi="Trebuchet MS" w:cs="Times New Roman"/>
          <w:color w:val="000000" w:themeColor="text1"/>
          <w:lang w:val="ro-RO"/>
        </w:rPr>
        <w:t>. 16</w:t>
      </w:r>
      <w:r w:rsidRPr="00DE754A">
        <w:rPr>
          <w:rFonts w:ascii="Trebuchet MS" w:hAnsi="Trebuchet MS" w:cs="Times New Roman"/>
          <w:color w:val="000000" w:themeColor="text1"/>
          <w:vertAlign w:val="superscript"/>
          <w:lang w:val="ro-RO"/>
        </w:rPr>
        <w:t>1</w:t>
      </w:r>
      <w:r w:rsidRPr="00DE754A">
        <w:rPr>
          <w:rFonts w:ascii="Trebuchet MS" w:hAnsi="Trebuchet MS" w:cs="Times New Roman"/>
          <w:color w:val="000000" w:themeColor="text1"/>
          <w:lang w:val="ro-RO"/>
        </w:rPr>
        <w:t xml:space="preserve"> </w:t>
      </w:r>
      <w:r>
        <w:rPr>
          <w:rFonts w:ascii="Trebuchet MS" w:hAnsi="Trebuchet MS" w:cs="Times New Roman"/>
          <w:color w:val="000000" w:themeColor="text1"/>
          <w:lang w:val="ro-RO"/>
        </w:rPr>
        <w:t>în</w:t>
      </w:r>
      <w:r w:rsidRPr="00DE754A">
        <w:rPr>
          <w:rFonts w:ascii="Trebuchet MS" w:hAnsi="Trebuchet MS" w:cs="Times New Roman"/>
          <w:color w:val="000000" w:themeColor="text1"/>
          <w:lang w:val="ro-RO"/>
        </w:rPr>
        <w:t xml:space="preserve"> termen de 30 zile calendaristice de la data intrării în vigoare </w:t>
      </w:r>
      <w:r w:rsidRPr="00A75EC3">
        <w:rPr>
          <w:rFonts w:ascii="Trebuchet MS" w:hAnsi="Trebuchet MS" w:cs="Times New Roman"/>
          <w:lang w:val="ro-RO"/>
        </w:rPr>
        <w:t xml:space="preserve">a prezentului ordin, indiferent dacă cererile de acordare a </w:t>
      </w:r>
      <w:proofErr w:type="spellStart"/>
      <w:r w:rsidRPr="00A75EC3">
        <w:rPr>
          <w:rFonts w:ascii="Trebuchet MS" w:hAnsi="Trebuchet MS" w:cs="Times New Roman"/>
          <w:lang w:val="ro-RO"/>
        </w:rPr>
        <w:t>compensaţiei</w:t>
      </w:r>
      <w:proofErr w:type="spellEnd"/>
      <w:r w:rsidRPr="00A75EC3">
        <w:rPr>
          <w:rFonts w:ascii="Trebuchet MS" w:hAnsi="Trebuchet MS" w:cs="Times New Roman"/>
          <w:lang w:val="ro-RO"/>
        </w:rPr>
        <w:t xml:space="preserve"> pentru chirie </w:t>
      </w:r>
      <w:proofErr w:type="spellStart"/>
      <w:r w:rsidRPr="00A75EC3">
        <w:rPr>
          <w:rFonts w:ascii="Trebuchet MS" w:hAnsi="Trebuchet MS" w:cs="Calibri"/>
        </w:rPr>
        <w:t>pentru</w:t>
      </w:r>
      <w:proofErr w:type="spellEnd"/>
      <w:r w:rsidRPr="00A75EC3">
        <w:rPr>
          <w:rFonts w:ascii="Trebuchet MS" w:hAnsi="Trebuchet MS" w:cs="Calibri"/>
        </w:rPr>
        <w:t xml:space="preserve"> </w:t>
      </w:r>
      <w:proofErr w:type="spellStart"/>
      <w:r w:rsidRPr="00A75EC3">
        <w:rPr>
          <w:rFonts w:ascii="Trebuchet MS" w:hAnsi="Trebuchet MS" w:cs="Calibri"/>
        </w:rPr>
        <w:t>plata</w:t>
      </w:r>
      <w:proofErr w:type="spellEnd"/>
      <w:r w:rsidRPr="00A75EC3">
        <w:rPr>
          <w:rFonts w:ascii="Trebuchet MS" w:hAnsi="Trebuchet MS" w:cs="Calibri"/>
        </w:rPr>
        <w:t xml:space="preserve"> </w:t>
      </w:r>
      <w:proofErr w:type="spellStart"/>
      <w:r w:rsidRPr="00A75EC3">
        <w:rPr>
          <w:rFonts w:ascii="Trebuchet MS" w:hAnsi="Trebuchet MS" w:cs="Calibri"/>
        </w:rPr>
        <w:t>ratei</w:t>
      </w:r>
      <w:proofErr w:type="spellEnd"/>
      <w:r w:rsidRPr="00A75EC3">
        <w:rPr>
          <w:rFonts w:ascii="Trebuchet MS" w:hAnsi="Trebuchet MS" w:cs="Calibri"/>
        </w:rPr>
        <w:t xml:space="preserve"> </w:t>
      </w:r>
      <w:proofErr w:type="spellStart"/>
      <w:r w:rsidRPr="00A75EC3">
        <w:rPr>
          <w:rFonts w:ascii="Trebuchet MS" w:hAnsi="Trebuchet MS" w:cs="Calibri"/>
        </w:rPr>
        <w:t>sau</w:t>
      </w:r>
      <w:proofErr w:type="spellEnd"/>
      <w:r w:rsidRPr="00A75EC3">
        <w:rPr>
          <w:rFonts w:ascii="Trebuchet MS" w:hAnsi="Trebuchet MS" w:cs="Calibri"/>
        </w:rPr>
        <w:t xml:space="preserve"> a </w:t>
      </w:r>
      <w:proofErr w:type="spellStart"/>
      <w:r w:rsidRPr="00A75EC3">
        <w:rPr>
          <w:rFonts w:ascii="Trebuchet MS" w:hAnsi="Trebuchet MS" w:cs="Calibri"/>
        </w:rPr>
        <w:t>unei</w:t>
      </w:r>
      <w:proofErr w:type="spellEnd"/>
      <w:r w:rsidRPr="00A75EC3">
        <w:rPr>
          <w:rFonts w:ascii="Trebuchet MS" w:hAnsi="Trebuchet MS" w:cs="Calibri"/>
        </w:rPr>
        <w:t xml:space="preserve"> </w:t>
      </w:r>
      <w:proofErr w:type="spellStart"/>
      <w:r w:rsidRPr="00A75EC3">
        <w:rPr>
          <w:rFonts w:ascii="Trebuchet MS" w:hAnsi="Trebuchet MS" w:cs="Calibri"/>
        </w:rPr>
        <w:t>fracțiuni</w:t>
      </w:r>
      <w:proofErr w:type="spellEnd"/>
      <w:r w:rsidRPr="00A75EC3">
        <w:rPr>
          <w:rFonts w:ascii="Trebuchet MS" w:hAnsi="Trebuchet MS" w:cs="Calibri"/>
        </w:rPr>
        <w:t xml:space="preserve"> din </w:t>
      </w:r>
      <w:proofErr w:type="spellStart"/>
      <w:r w:rsidRPr="00A75EC3">
        <w:rPr>
          <w:rFonts w:ascii="Trebuchet MS" w:hAnsi="Trebuchet MS" w:cs="Calibri"/>
        </w:rPr>
        <w:t>rată</w:t>
      </w:r>
      <w:proofErr w:type="spellEnd"/>
      <w:r w:rsidRPr="00A75EC3">
        <w:rPr>
          <w:rFonts w:ascii="Trebuchet MS" w:hAnsi="Trebuchet MS" w:cs="Calibri"/>
        </w:rPr>
        <w:t xml:space="preserve"> </w:t>
      </w:r>
      <w:r w:rsidRPr="00A75EC3">
        <w:rPr>
          <w:rFonts w:ascii="Trebuchet MS" w:hAnsi="Trebuchet MS" w:cs="Times New Roman"/>
          <w:lang w:val="ro-RO"/>
        </w:rPr>
        <w:t>au fost soluționate sau nu până la această dată.</w:t>
      </w:r>
    </w:p>
    <w:p w:rsidR="00C80BCC" w:rsidRPr="00A75EC3" w:rsidRDefault="00C80BCC" w:rsidP="00C80BCC">
      <w:pPr>
        <w:jc w:val="both"/>
        <w:rPr>
          <w:rFonts w:ascii="Trebuchet MS" w:hAnsi="Trebuchet MS" w:cs="Calibri"/>
          <w:iCs/>
          <w:lang w:val="ro-RO"/>
        </w:rPr>
      </w:pPr>
      <w:r w:rsidRPr="00A75EC3">
        <w:rPr>
          <w:rFonts w:ascii="Trebuchet MS" w:hAnsi="Trebuchet MS" w:cs="Calibri"/>
          <w:iCs/>
        </w:rPr>
        <w:t xml:space="preserve">(2) </w:t>
      </w:r>
      <w:proofErr w:type="spellStart"/>
      <w:r w:rsidRPr="00A75EC3">
        <w:rPr>
          <w:rFonts w:ascii="Trebuchet MS" w:hAnsi="Trebuchet MS" w:cs="Calibri"/>
          <w:iCs/>
        </w:rPr>
        <w:t>Unitatea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angajatoare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>
        <w:rPr>
          <w:rFonts w:ascii="Trebuchet MS" w:hAnsi="Trebuchet MS" w:cs="Calibri"/>
          <w:iCs/>
        </w:rPr>
        <w:t>reanalizează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situația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persoanelor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prevăzute</w:t>
      </w:r>
      <w:proofErr w:type="spellEnd"/>
      <w:r w:rsidRPr="00A75EC3">
        <w:rPr>
          <w:rFonts w:ascii="Trebuchet MS" w:hAnsi="Trebuchet MS" w:cs="Calibri"/>
          <w:iCs/>
        </w:rPr>
        <w:t xml:space="preserve"> la </w:t>
      </w:r>
      <w:proofErr w:type="spellStart"/>
      <w:r w:rsidRPr="00A75EC3">
        <w:rPr>
          <w:rFonts w:ascii="Trebuchet MS" w:hAnsi="Trebuchet MS" w:cs="Calibri"/>
          <w:iCs/>
        </w:rPr>
        <w:t>alin</w:t>
      </w:r>
      <w:proofErr w:type="spellEnd"/>
      <w:r w:rsidRPr="00A75EC3">
        <w:rPr>
          <w:rFonts w:ascii="Trebuchet MS" w:hAnsi="Trebuchet MS" w:cs="Calibri"/>
          <w:iCs/>
        </w:rPr>
        <w:t xml:space="preserve">. (1) </w:t>
      </w:r>
      <w:proofErr w:type="spellStart"/>
      <w:r w:rsidRPr="00A75EC3">
        <w:rPr>
          <w:rFonts w:ascii="Trebuchet MS" w:hAnsi="Trebuchet MS" w:cs="Calibri"/>
          <w:iCs/>
        </w:rPr>
        <w:t>în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raport</w:t>
      </w:r>
      <w:proofErr w:type="spellEnd"/>
      <w:r w:rsidRPr="00A75EC3">
        <w:rPr>
          <w:rFonts w:ascii="Trebuchet MS" w:hAnsi="Trebuchet MS" w:cs="Calibri"/>
          <w:iCs/>
        </w:rPr>
        <w:t xml:space="preserve"> cu </w:t>
      </w:r>
      <w:proofErr w:type="spellStart"/>
      <w:r w:rsidRPr="00A75EC3">
        <w:rPr>
          <w:rFonts w:ascii="Trebuchet MS" w:hAnsi="Trebuchet MS" w:cs="Calibri"/>
          <w:iCs/>
        </w:rPr>
        <w:t>noile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documente</w:t>
      </w:r>
      <w:proofErr w:type="spellEnd"/>
      <w:r w:rsidRPr="00A75EC3">
        <w:rPr>
          <w:rFonts w:ascii="Trebuchet MS" w:hAnsi="Trebuchet MS" w:cs="Calibri"/>
          <w:iCs/>
        </w:rPr>
        <w:t xml:space="preserve">, </w:t>
      </w:r>
      <w:proofErr w:type="spellStart"/>
      <w:r w:rsidRPr="00A75EC3">
        <w:rPr>
          <w:rFonts w:ascii="Trebuchet MS" w:hAnsi="Trebuchet MS" w:cs="Calibri"/>
          <w:iCs/>
        </w:rPr>
        <w:t>în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termen</w:t>
      </w:r>
      <w:proofErr w:type="spellEnd"/>
      <w:r w:rsidRPr="00A75EC3">
        <w:rPr>
          <w:rFonts w:ascii="Trebuchet MS" w:hAnsi="Trebuchet MS" w:cs="Calibri"/>
          <w:iCs/>
        </w:rPr>
        <w:t xml:space="preserve"> de 30 de </w:t>
      </w:r>
      <w:proofErr w:type="spellStart"/>
      <w:r w:rsidRPr="00A75EC3">
        <w:rPr>
          <w:rFonts w:ascii="Trebuchet MS" w:hAnsi="Trebuchet MS" w:cs="Calibri"/>
          <w:iCs/>
        </w:rPr>
        <w:t>zile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calendaristice</w:t>
      </w:r>
      <w:proofErr w:type="spellEnd"/>
      <w:r w:rsidRPr="00A75EC3">
        <w:rPr>
          <w:rFonts w:ascii="Trebuchet MS" w:hAnsi="Trebuchet MS" w:cs="Calibri"/>
          <w:iCs/>
        </w:rPr>
        <w:t xml:space="preserve"> de la data </w:t>
      </w:r>
      <w:proofErr w:type="spellStart"/>
      <w:r w:rsidRPr="00A75EC3">
        <w:rPr>
          <w:rFonts w:ascii="Trebuchet MS" w:hAnsi="Trebuchet MS" w:cs="Calibri"/>
          <w:iCs/>
        </w:rPr>
        <w:t>depunerii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acestora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şi</w:t>
      </w:r>
      <w:proofErr w:type="spellEnd"/>
      <w:r w:rsidRPr="00A75EC3">
        <w:rPr>
          <w:rFonts w:ascii="Trebuchet MS" w:hAnsi="Trebuchet MS" w:cs="Calibri"/>
          <w:iCs/>
        </w:rPr>
        <w:t xml:space="preserve">, </w:t>
      </w:r>
      <w:proofErr w:type="spellStart"/>
      <w:r w:rsidRPr="00A75EC3">
        <w:rPr>
          <w:rFonts w:ascii="Trebuchet MS" w:hAnsi="Trebuchet MS" w:cs="Calibri"/>
          <w:iCs/>
        </w:rPr>
        <w:t>în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cazul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în</w:t>
      </w:r>
      <w:proofErr w:type="spellEnd"/>
      <w:r w:rsidRPr="00A75EC3">
        <w:rPr>
          <w:rFonts w:ascii="Trebuchet MS" w:hAnsi="Trebuchet MS" w:cs="Calibri"/>
          <w:iCs/>
        </w:rPr>
        <w:t xml:space="preserve"> care sunt </w:t>
      </w:r>
      <w:proofErr w:type="spellStart"/>
      <w:r w:rsidRPr="00A75EC3">
        <w:rPr>
          <w:rFonts w:ascii="Trebuchet MS" w:hAnsi="Trebuchet MS" w:cs="Calibri"/>
          <w:iCs/>
        </w:rPr>
        <w:t>îndeplinite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toate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condițiile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prevăzute</w:t>
      </w:r>
      <w:proofErr w:type="spellEnd"/>
      <w:r w:rsidRPr="00A75EC3">
        <w:rPr>
          <w:rFonts w:ascii="Trebuchet MS" w:hAnsi="Trebuchet MS" w:cs="Calibri"/>
          <w:iCs/>
        </w:rPr>
        <w:t xml:space="preserve"> de </w:t>
      </w:r>
      <w:proofErr w:type="spellStart"/>
      <w:r w:rsidRPr="00A75EC3">
        <w:rPr>
          <w:rFonts w:ascii="Trebuchet MS" w:hAnsi="Trebuchet MS" w:cs="Calibri"/>
          <w:iCs/>
        </w:rPr>
        <w:t>lege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și</w:t>
      </w:r>
      <w:proofErr w:type="spellEnd"/>
      <w:r w:rsidRPr="00A75EC3">
        <w:rPr>
          <w:rFonts w:ascii="Trebuchet MS" w:hAnsi="Trebuchet MS" w:cs="Calibri"/>
          <w:iCs/>
        </w:rPr>
        <w:t xml:space="preserve"> de </w:t>
      </w:r>
      <w:proofErr w:type="spellStart"/>
      <w:r w:rsidRPr="00A75EC3">
        <w:rPr>
          <w:rFonts w:ascii="Trebuchet MS" w:hAnsi="Trebuchet MS" w:cs="Calibri"/>
          <w:iCs/>
        </w:rPr>
        <w:t>prezentul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ordin</w:t>
      </w:r>
      <w:proofErr w:type="spellEnd"/>
      <w:r w:rsidRPr="00A75EC3">
        <w:rPr>
          <w:rFonts w:ascii="Trebuchet MS" w:hAnsi="Trebuchet MS" w:cs="Calibri"/>
          <w:iCs/>
        </w:rPr>
        <w:t xml:space="preserve">, </w:t>
      </w:r>
      <w:proofErr w:type="spellStart"/>
      <w:r w:rsidRPr="00A75EC3">
        <w:rPr>
          <w:rFonts w:ascii="Trebuchet MS" w:hAnsi="Trebuchet MS" w:cs="Calibri"/>
          <w:iCs/>
        </w:rPr>
        <w:t>să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emită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actele</w:t>
      </w:r>
      <w:proofErr w:type="spellEnd"/>
      <w:r w:rsidRPr="00A75EC3">
        <w:rPr>
          <w:rFonts w:ascii="Trebuchet MS" w:hAnsi="Trebuchet MS" w:cs="Calibri"/>
          <w:iCs/>
        </w:rPr>
        <w:t xml:space="preserve"> administrative de </w:t>
      </w:r>
      <w:proofErr w:type="spellStart"/>
      <w:r w:rsidRPr="00A75EC3">
        <w:rPr>
          <w:rFonts w:ascii="Trebuchet MS" w:hAnsi="Trebuchet MS" w:cs="Calibri"/>
          <w:iCs/>
        </w:rPr>
        <w:t>alocare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sau</w:t>
      </w:r>
      <w:proofErr w:type="spellEnd"/>
      <w:r w:rsidRPr="00A75EC3">
        <w:rPr>
          <w:rFonts w:ascii="Trebuchet MS" w:hAnsi="Trebuchet MS" w:cs="Calibri"/>
          <w:iCs/>
        </w:rPr>
        <w:t xml:space="preserve">, </w:t>
      </w:r>
      <w:proofErr w:type="spellStart"/>
      <w:r w:rsidRPr="00A75EC3">
        <w:rPr>
          <w:rFonts w:ascii="Trebuchet MS" w:hAnsi="Trebuchet MS" w:cs="Calibri"/>
          <w:iCs/>
        </w:rPr>
        <w:t>dupa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caz</w:t>
      </w:r>
      <w:proofErr w:type="spellEnd"/>
      <w:r w:rsidRPr="00A75EC3">
        <w:rPr>
          <w:rFonts w:ascii="Trebuchet MS" w:hAnsi="Trebuchet MS" w:cs="Calibri"/>
          <w:iCs/>
        </w:rPr>
        <w:t xml:space="preserve">, de </w:t>
      </w:r>
      <w:proofErr w:type="spellStart"/>
      <w:r w:rsidRPr="00A75EC3">
        <w:rPr>
          <w:rFonts w:ascii="Trebuchet MS" w:hAnsi="Trebuchet MS" w:cs="Calibri"/>
          <w:iCs/>
        </w:rPr>
        <w:t>realocare</w:t>
      </w:r>
      <w:proofErr w:type="spellEnd"/>
      <w:r w:rsidRPr="00A75EC3">
        <w:rPr>
          <w:rFonts w:ascii="Trebuchet MS" w:hAnsi="Trebuchet MS" w:cs="Calibri"/>
          <w:iCs/>
        </w:rPr>
        <w:t xml:space="preserve"> la </w:t>
      </w:r>
      <w:proofErr w:type="spellStart"/>
      <w:r w:rsidRPr="00A75EC3">
        <w:rPr>
          <w:rFonts w:ascii="Trebuchet MS" w:hAnsi="Trebuchet MS" w:cs="Calibri"/>
          <w:iCs/>
        </w:rPr>
        <w:t>plată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începând</w:t>
      </w:r>
      <w:proofErr w:type="spellEnd"/>
      <w:r w:rsidRPr="00A75EC3">
        <w:rPr>
          <w:rFonts w:ascii="Trebuchet MS" w:hAnsi="Trebuchet MS" w:cs="Calibri"/>
          <w:iCs/>
        </w:rPr>
        <w:t xml:space="preserve"> cu data </w:t>
      </w:r>
      <w:proofErr w:type="spellStart"/>
      <w:r w:rsidRPr="00A75EC3">
        <w:rPr>
          <w:rFonts w:ascii="Trebuchet MS" w:hAnsi="Trebuchet MS" w:cs="Calibri"/>
          <w:iCs/>
        </w:rPr>
        <w:t>depunerii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cererii</w:t>
      </w:r>
      <w:proofErr w:type="spellEnd"/>
      <w:r w:rsidRPr="00A75EC3">
        <w:rPr>
          <w:rFonts w:ascii="Trebuchet MS" w:hAnsi="Trebuchet MS" w:cs="Calibri"/>
          <w:iCs/>
        </w:rPr>
        <w:t xml:space="preserve"> </w:t>
      </w:r>
      <w:proofErr w:type="spellStart"/>
      <w:r w:rsidRPr="00A75EC3">
        <w:rPr>
          <w:rFonts w:ascii="Trebuchet MS" w:hAnsi="Trebuchet MS" w:cs="Calibri"/>
          <w:iCs/>
        </w:rPr>
        <w:t>inițiale</w:t>
      </w:r>
      <w:proofErr w:type="spellEnd"/>
      <w:r w:rsidRPr="00A75EC3">
        <w:rPr>
          <w:rFonts w:ascii="Trebuchet MS" w:hAnsi="Trebuchet MS" w:cs="Calibri"/>
          <w:iCs/>
        </w:rPr>
        <w:t>.”</w:t>
      </w:r>
    </w:p>
    <w:p w:rsidR="00C80BCC" w:rsidRPr="00DE754A" w:rsidRDefault="00C80BCC" w:rsidP="00C80BCC">
      <w:pPr>
        <w:pStyle w:val="Listparagraf"/>
        <w:autoSpaceDE w:val="0"/>
        <w:autoSpaceDN w:val="0"/>
        <w:adjustRightInd w:val="0"/>
        <w:spacing w:after="0" w:line="276" w:lineRule="auto"/>
        <w:ind w:left="0"/>
        <w:jc w:val="both"/>
        <w:rPr>
          <w:rFonts w:ascii="Trebuchet MS" w:hAnsi="Trebuchet MS" w:cs="Times New Roman"/>
          <w:color w:val="000000" w:themeColor="text1"/>
          <w:lang w:val="ro-RO"/>
        </w:rPr>
      </w:pPr>
    </w:p>
    <w:p w:rsidR="00C80BCC" w:rsidRPr="00DE754A" w:rsidRDefault="009D5531" w:rsidP="00C80BCC">
      <w:pPr>
        <w:pStyle w:val="Listparagraf"/>
        <w:spacing w:line="276" w:lineRule="auto"/>
        <w:ind w:left="0"/>
        <w:jc w:val="both"/>
        <w:rPr>
          <w:rFonts w:ascii="Trebuchet MS" w:hAnsi="Trebuchet MS" w:cs="Times New Roman"/>
          <w:b/>
          <w:bCs/>
          <w:color w:val="000000" w:themeColor="text1"/>
          <w:lang w:val="ro-RO"/>
        </w:rPr>
      </w:pPr>
      <w:r w:rsidRPr="00DE754A">
        <w:rPr>
          <w:rFonts w:ascii="Trebuchet MS" w:hAnsi="Trebuchet MS" w:cs="Times New Roman"/>
          <w:b/>
          <w:color w:val="000000" w:themeColor="text1"/>
          <w:lang w:val="ro-RO"/>
        </w:rPr>
        <w:t>1</w:t>
      </w:r>
      <w:r>
        <w:rPr>
          <w:rFonts w:ascii="Trebuchet MS" w:hAnsi="Trebuchet MS" w:cs="Times New Roman"/>
          <w:b/>
          <w:color w:val="000000" w:themeColor="text1"/>
          <w:lang w:val="ro-RO"/>
        </w:rPr>
        <w:t>2</w:t>
      </w:r>
      <w:r w:rsidR="00C80BCC" w:rsidRPr="00DE754A">
        <w:rPr>
          <w:rFonts w:ascii="Trebuchet MS" w:hAnsi="Trebuchet MS" w:cs="Times New Roman"/>
          <w:b/>
          <w:color w:val="000000" w:themeColor="text1"/>
          <w:lang w:val="ro-RO"/>
        </w:rPr>
        <w:t>. La Anexa 10 -</w:t>
      </w:r>
      <w:r w:rsidR="00C80BCC" w:rsidRPr="00DE754A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DECLARAŢIE pe propria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răspundere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autentificată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la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notar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a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soţului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/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soţiei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sau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a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copilului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major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aflat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în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întreţinerea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poliţistului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de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penitenciare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care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solicită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acordarea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compensaţiei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lunare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a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chiriei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pentru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plata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ratei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sau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a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unei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fracţiuni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din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rată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, </w:t>
      </w:r>
      <w:proofErr w:type="spellStart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>litera</w:t>
      </w:r>
      <w:proofErr w:type="spellEnd"/>
      <w:r w:rsidR="00C80BCC" w:rsidRPr="00DE754A">
        <w:rPr>
          <w:rFonts w:ascii="Trebuchet MS" w:hAnsi="Trebuchet MS" w:cs="Times New Roman"/>
          <w:b/>
          <w:bCs/>
          <w:color w:val="000000" w:themeColor="text1"/>
        </w:rPr>
        <w:t xml:space="preserve"> a) </w:t>
      </w:r>
      <w:r w:rsidR="00C80BCC" w:rsidRPr="00DE754A">
        <w:rPr>
          <w:rFonts w:ascii="Trebuchet MS" w:hAnsi="Trebuchet MS" w:cs="Times New Roman"/>
          <w:b/>
          <w:bCs/>
          <w:color w:val="000000" w:themeColor="text1"/>
          <w:lang w:val="ro-RO"/>
        </w:rPr>
        <w:t xml:space="preserve">se modifică și va avea următorul cuprins: </w:t>
      </w:r>
    </w:p>
    <w:p w:rsidR="00C80BCC" w:rsidRPr="00DE754A" w:rsidRDefault="00C80BCC" w:rsidP="00C80BCC">
      <w:pPr>
        <w:pStyle w:val="Listparagraf"/>
        <w:spacing w:line="276" w:lineRule="auto"/>
        <w:ind w:left="0"/>
        <w:jc w:val="both"/>
        <w:rPr>
          <w:rFonts w:ascii="Trebuchet MS" w:hAnsi="Trebuchet MS" w:cs="Times New Roman"/>
          <w:bCs/>
          <w:color w:val="000000" w:themeColor="text1"/>
        </w:rPr>
      </w:pPr>
      <w:r w:rsidRPr="00DE754A">
        <w:rPr>
          <w:rFonts w:ascii="Trebuchet MS" w:hAnsi="Trebuchet MS" w:cs="Times New Roman"/>
          <w:b/>
          <w:bCs/>
          <w:color w:val="000000" w:themeColor="text1"/>
        </w:rPr>
        <w:lastRenderedPageBreak/>
        <w:t>a)</w:t>
      </w:r>
      <w:r w:rsidRPr="00DE754A">
        <w:rPr>
          <w:rFonts w:ascii="Arial" w:eastAsia="Times New Roman" w:hAnsi="Arial" w:cs="Arial"/>
          <w:noProof/>
          <w:color w:val="000000" w:themeColor="text1"/>
          <w:lang w:val="ro-RO" w:eastAsia="ro-RO"/>
        </w:rPr>
        <w:t xml:space="preserve"> </w:t>
      </w:r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nu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deţin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o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locuinţă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în proprietate,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locuinţă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de serviciu sau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locuinţă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atribuită de către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autorităţile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administraţiei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publice locale în localitatea în care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îşi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desfăşoară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activitatea 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soţul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/</w:t>
      </w:r>
      <w:proofErr w:type="spellStart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soţia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>/tatăl/mama meu/mea .............................,</w:t>
      </w:r>
      <w:r w:rsidRPr="00DE754A">
        <w:rPr>
          <w:rFonts w:ascii="Trebuchet MS" w:hAnsi="Trebuchet MS" w:cs="Times New Roman"/>
          <w:bCs/>
          <w:i/>
          <w:color w:val="000000" w:themeColor="text1"/>
          <w:lang w:val="ro-RO"/>
        </w:rPr>
        <w:t xml:space="preserve"> </w:t>
      </w:r>
      <w:r>
        <w:rPr>
          <w:rFonts w:ascii="Trebuchet MS" w:hAnsi="Trebuchet MS" w:cs="Times New Roman"/>
          <w:bCs/>
          <w:color w:val="000000" w:themeColor="text1"/>
          <w:lang w:val="ro-RO"/>
        </w:rPr>
        <w:t xml:space="preserve">alta decât </w:t>
      </w:r>
      <w:proofErr w:type="spellStart"/>
      <w:r>
        <w:rPr>
          <w:rFonts w:ascii="Trebuchet MS" w:hAnsi="Trebuchet MS" w:cs="Times New Roman"/>
          <w:bCs/>
          <w:color w:val="000000" w:themeColor="text1"/>
          <w:lang w:val="ro-RO"/>
        </w:rPr>
        <w:t>locuinţa</w:t>
      </w:r>
      <w:proofErr w:type="spellEnd"/>
      <w:r w:rsidRPr="00DE754A">
        <w:rPr>
          <w:rFonts w:ascii="Trebuchet MS" w:hAnsi="Trebuchet MS" w:cs="Times New Roman"/>
          <w:bCs/>
          <w:color w:val="000000" w:themeColor="text1"/>
          <w:lang w:val="ro-RO"/>
        </w:rPr>
        <w:t xml:space="preserve"> pentru care am încheiat contractul de credit imobiliar/ipotecar/contractul de vânzare-cumpărare cu plata în rate a unei locuințe”.</w:t>
      </w:r>
    </w:p>
    <w:p w:rsidR="00C80BCC" w:rsidRPr="00DE754A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rebuchet MS" w:hAnsi="Trebuchet MS" w:cs="Times New Roman"/>
          <w:b/>
          <w:color w:val="000000" w:themeColor="text1"/>
          <w:lang w:val="ro-RO"/>
        </w:rPr>
      </w:pPr>
      <w:r w:rsidRPr="00DE754A">
        <w:rPr>
          <w:rFonts w:ascii="Trebuchet MS" w:hAnsi="Trebuchet MS" w:cs="Times New Roman"/>
          <w:b/>
          <w:color w:val="000000" w:themeColor="text1"/>
          <w:lang w:val="ro-RO"/>
        </w:rPr>
        <w:t>ART. II</w:t>
      </w:r>
    </w:p>
    <w:p w:rsidR="00C80BCC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rebuchet MS" w:hAnsi="Trebuchet MS" w:cs="Times New Roman"/>
          <w:color w:val="000000" w:themeColor="text1"/>
          <w:lang w:val="ro-RO"/>
        </w:rPr>
      </w:pPr>
      <w:r w:rsidRPr="00DE754A">
        <w:rPr>
          <w:rFonts w:ascii="Trebuchet MS" w:hAnsi="Trebuchet MS" w:cs="Times New Roman"/>
          <w:color w:val="000000" w:themeColor="text1"/>
          <w:lang w:val="ro-RO"/>
        </w:rPr>
        <w:t>Prezentul ordin se publică în Monitorul Oficial al României, Partea I.</w:t>
      </w:r>
    </w:p>
    <w:p w:rsidR="00C80BCC" w:rsidRPr="00DE754A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rebuchet MS" w:hAnsi="Trebuchet MS" w:cs="Times New Roman"/>
          <w:color w:val="000000" w:themeColor="text1"/>
          <w:lang w:val="ro-RO"/>
        </w:rPr>
      </w:pPr>
    </w:p>
    <w:p w:rsidR="00C80BCC" w:rsidRPr="00334D6F" w:rsidRDefault="00C80BCC" w:rsidP="00C80BCC">
      <w:pPr>
        <w:autoSpaceDE w:val="0"/>
        <w:autoSpaceDN w:val="0"/>
        <w:adjustRightInd w:val="0"/>
        <w:spacing w:line="276" w:lineRule="auto"/>
        <w:ind w:right="-43"/>
        <w:contextualSpacing/>
        <w:jc w:val="both"/>
        <w:rPr>
          <w:rFonts w:ascii="Trebuchet MS" w:eastAsia="Calibri" w:hAnsi="Trebuchet MS" w:cs="Arial"/>
          <w:b/>
          <w:lang w:val="ro-RO"/>
        </w:rPr>
      </w:pPr>
      <w:r w:rsidRPr="00334D6F">
        <w:rPr>
          <w:rFonts w:ascii="Trebuchet MS" w:eastAsia="Calibri" w:hAnsi="Trebuchet MS" w:cs="Arial"/>
          <w:b/>
          <w:lang w:val="ro-RO"/>
        </w:rPr>
        <w:t>Ministrul Justiției</w:t>
      </w:r>
    </w:p>
    <w:p w:rsidR="00C80BCC" w:rsidRPr="00334D6F" w:rsidRDefault="00C80BCC" w:rsidP="00C80BCC">
      <w:pPr>
        <w:autoSpaceDE w:val="0"/>
        <w:autoSpaceDN w:val="0"/>
        <w:adjustRightInd w:val="0"/>
        <w:spacing w:line="276" w:lineRule="auto"/>
        <w:ind w:right="-43"/>
        <w:contextualSpacing/>
        <w:jc w:val="both"/>
        <w:rPr>
          <w:rFonts w:ascii="Trebuchet MS" w:eastAsia="Calibri" w:hAnsi="Trebuchet MS" w:cs="Arial"/>
          <w:b/>
          <w:lang w:val="ro-RO"/>
        </w:rPr>
      </w:pPr>
    </w:p>
    <w:p w:rsidR="00C80BCC" w:rsidRPr="00334D6F" w:rsidRDefault="00C80BCC" w:rsidP="00C80BCC">
      <w:pPr>
        <w:autoSpaceDE w:val="0"/>
        <w:autoSpaceDN w:val="0"/>
        <w:adjustRightInd w:val="0"/>
        <w:spacing w:line="276" w:lineRule="auto"/>
        <w:ind w:right="-43"/>
        <w:contextualSpacing/>
        <w:jc w:val="both"/>
        <w:rPr>
          <w:rFonts w:ascii="Trebuchet MS" w:eastAsia="Calibri" w:hAnsi="Trebuchet MS" w:cs="Arial"/>
          <w:b/>
          <w:lang w:val="ro-RO"/>
        </w:rPr>
      </w:pPr>
    </w:p>
    <w:p w:rsidR="00C80BCC" w:rsidRPr="00334D6F" w:rsidRDefault="00C80BCC" w:rsidP="00C80BCC">
      <w:pPr>
        <w:autoSpaceDE w:val="0"/>
        <w:autoSpaceDN w:val="0"/>
        <w:adjustRightInd w:val="0"/>
        <w:spacing w:line="276" w:lineRule="auto"/>
        <w:ind w:right="-43"/>
        <w:contextualSpacing/>
        <w:jc w:val="both"/>
        <w:rPr>
          <w:rFonts w:ascii="Trebuchet MS" w:eastAsia="Calibri" w:hAnsi="Trebuchet MS" w:cs="Arial"/>
          <w:b/>
          <w:bCs/>
          <w:lang w:val="ro-RO"/>
        </w:rPr>
      </w:pPr>
      <w:r w:rsidRPr="00334D6F">
        <w:rPr>
          <w:rFonts w:ascii="Trebuchet MS" w:eastAsia="Calibri" w:hAnsi="Trebuchet MS" w:cs="Arial"/>
          <w:b/>
          <w:bCs/>
          <w:lang w:val="ro-RO"/>
        </w:rPr>
        <w:t>Cătălin Marian PREDOIU</w:t>
      </w:r>
    </w:p>
    <w:p w:rsidR="00C80BCC" w:rsidRDefault="00C80BCC" w:rsidP="00C80BCC">
      <w:pPr>
        <w:spacing w:before="23" w:after="23" w:line="276" w:lineRule="auto"/>
        <w:contextualSpacing/>
        <w:jc w:val="both"/>
        <w:rPr>
          <w:rFonts w:ascii="Trebuchet MS" w:hAnsi="Trebuchet MS" w:cs="Arial"/>
          <w:lang w:val="ro-RO"/>
        </w:rPr>
      </w:pPr>
    </w:p>
    <w:p w:rsidR="00275FFD" w:rsidRDefault="00275FFD" w:rsidP="00C80BCC">
      <w:pPr>
        <w:spacing w:before="23" w:after="23" w:line="276" w:lineRule="auto"/>
        <w:contextualSpacing/>
        <w:jc w:val="both"/>
        <w:rPr>
          <w:rFonts w:ascii="Trebuchet MS" w:hAnsi="Trebuchet MS" w:cs="Arial"/>
          <w:lang w:val="ro-RO"/>
        </w:rPr>
      </w:pPr>
    </w:p>
    <w:p w:rsidR="00275FFD" w:rsidRPr="00334D6F" w:rsidRDefault="00275FFD" w:rsidP="00C80BCC">
      <w:pPr>
        <w:spacing w:before="23" w:after="23" w:line="276" w:lineRule="auto"/>
        <w:contextualSpacing/>
        <w:jc w:val="both"/>
        <w:rPr>
          <w:rFonts w:ascii="Trebuchet MS" w:hAnsi="Trebuchet MS" w:cs="Arial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5"/>
        <w:gridCol w:w="2442"/>
        <w:gridCol w:w="2442"/>
      </w:tblGrid>
      <w:tr w:rsidR="00C80BCC" w:rsidRPr="000E1888" w:rsidTr="00AF1E9F">
        <w:tc>
          <w:tcPr>
            <w:tcW w:w="2445" w:type="dxa"/>
            <w:shd w:val="clear" w:color="auto" w:fill="auto"/>
          </w:tcPr>
          <w:p w:rsidR="00C80BCC" w:rsidRPr="000E1888" w:rsidRDefault="00C80BCC" w:rsidP="00AF1E9F">
            <w:pPr>
              <w:autoSpaceDE w:val="0"/>
              <w:autoSpaceDN w:val="0"/>
              <w:adjustRightInd w:val="0"/>
              <w:spacing w:beforeLines="23" w:before="55" w:afterLines="23" w:after="55" w:line="276" w:lineRule="auto"/>
              <w:ind w:right="-43"/>
              <w:contextualSpacing/>
              <w:rPr>
                <w:rFonts w:ascii="Trebuchet MS" w:eastAsia="Calibri" w:hAnsi="Trebuchet MS" w:cs="Arial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42" w:type="dxa"/>
            <w:shd w:val="clear" w:color="auto" w:fill="auto"/>
          </w:tcPr>
          <w:p w:rsidR="00C80BCC" w:rsidRPr="000E1888" w:rsidRDefault="00C80BCC" w:rsidP="00AF1E9F">
            <w:pPr>
              <w:autoSpaceDE w:val="0"/>
              <w:autoSpaceDN w:val="0"/>
              <w:adjustRightInd w:val="0"/>
              <w:spacing w:beforeLines="23" w:before="55" w:afterLines="23" w:after="55" w:line="276" w:lineRule="auto"/>
              <w:ind w:right="-43"/>
              <w:contextualSpacing/>
              <w:rPr>
                <w:rFonts w:ascii="Trebuchet MS" w:eastAsia="Calibri" w:hAnsi="Trebuchet MS" w:cs="Arial"/>
                <w:bCs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auto"/>
          </w:tcPr>
          <w:p w:rsidR="00C80BCC" w:rsidRPr="000E1888" w:rsidRDefault="00C80BCC" w:rsidP="00AF1E9F">
            <w:pPr>
              <w:autoSpaceDE w:val="0"/>
              <w:autoSpaceDN w:val="0"/>
              <w:adjustRightInd w:val="0"/>
              <w:spacing w:beforeLines="23" w:before="55" w:afterLines="23" w:after="55" w:line="276" w:lineRule="auto"/>
              <w:ind w:right="-43"/>
              <w:contextualSpacing/>
              <w:rPr>
                <w:rFonts w:ascii="Trebuchet MS" w:eastAsia="Calibri" w:hAnsi="Trebuchet MS" w:cs="Arial"/>
                <w:bCs/>
                <w:sz w:val="18"/>
                <w:szCs w:val="18"/>
              </w:rPr>
            </w:pPr>
          </w:p>
        </w:tc>
      </w:tr>
    </w:tbl>
    <w:p w:rsidR="00C80BCC" w:rsidRPr="00334D6F" w:rsidRDefault="00C80BCC" w:rsidP="00C80BCC">
      <w:pPr>
        <w:spacing w:before="23" w:after="23" w:line="276" w:lineRule="auto"/>
        <w:contextualSpacing/>
        <w:jc w:val="both"/>
        <w:rPr>
          <w:rFonts w:ascii="Trebuchet MS" w:hAnsi="Trebuchet MS" w:cs="Arial"/>
          <w:lang w:val="ro-RO"/>
        </w:rPr>
      </w:pPr>
    </w:p>
    <w:p w:rsidR="00C80BCC" w:rsidRPr="00334D6F" w:rsidRDefault="00C80BCC" w:rsidP="00C80BCC">
      <w:pPr>
        <w:spacing w:before="23" w:after="23" w:line="276" w:lineRule="auto"/>
        <w:contextualSpacing/>
        <w:jc w:val="both"/>
        <w:rPr>
          <w:rFonts w:ascii="Trebuchet MS" w:hAnsi="Trebuchet MS" w:cs="Arial"/>
          <w:lang w:val="ro-RO"/>
        </w:rPr>
      </w:pPr>
      <w:r w:rsidRPr="00334D6F">
        <w:rPr>
          <w:rFonts w:ascii="Trebuchet MS" w:hAnsi="Trebuchet MS" w:cs="Arial"/>
          <w:lang w:val="ro-RO"/>
        </w:rPr>
        <w:t>Nr.      /                     /                .2020</w:t>
      </w:r>
    </w:p>
    <w:p w:rsidR="00C80BCC" w:rsidRPr="00334D6F" w:rsidRDefault="00C80BCC" w:rsidP="00C80BCC">
      <w:pPr>
        <w:spacing w:before="23" w:after="23" w:line="276" w:lineRule="auto"/>
        <w:contextualSpacing/>
        <w:jc w:val="both"/>
        <w:rPr>
          <w:rFonts w:ascii="Trebuchet MS" w:hAnsi="Trebuchet MS" w:cs="Arial"/>
          <w:lang w:val="ro-RO"/>
        </w:rPr>
      </w:pPr>
      <w:r w:rsidRPr="00334D6F">
        <w:rPr>
          <w:rFonts w:ascii="Trebuchet MS" w:hAnsi="Trebuchet MS" w:cs="Arial"/>
          <w:lang w:val="ro-RO"/>
        </w:rPr>
        <w:t xml:space="preserve">Prezentul ordin a fost </w:t>
      </w:r>
      <w:r>
        <w:rPr>
          <w:rFonts w:ascii="Trebuchet MS" w:hAnsi="Trebuchet MS" w:cs="Arial"/>
          <w:lang w:val="ro-RO"/>
        </w:rPr>
        <w:t>întocmit</w:t>
      </w:r>
      <w:r w:rsidRPr="00334D6F">
        <w:rPr>
          <w:rFonts w:ascii="Trebuchet MS" w:hAnsi="Trebuchet MS" w:cs="Arial"/>
          <w:lang w:val="ro-RO"/>
        </w:rPr>
        <w:t xml:space="preserve"> în 2 exemplare. </w:t>
      </w:r>
    </w:p>
    <w:p w:rsidR="00C80BCC" w:rsidRDefault="00C80BCC" w:rsidP="00C80BCC">
      <w:pPr>
        <w:autoSpaceDE w:val="0"/>
        <w:autoSpaceDN w:val="0"/>
        <w:adjustRightInd w:val="0"/>
        <w:spacing w:after="0" w:line="276" w:lineRule="auto"/>
        <w:contextualSpacing/>
        <w:jc w:val="center"/>
      </w:pPr>
    </w:p>
    <w:p w:rsidR="007B7F88" w:rsidRDefault="007B7F88"/>
    <w:sectPr w:rsidR="007B7F88" w:rsidSect="001F2ACD">
      <w:headerReference w:type="default" r:id="rId7"/>
      <w:footerReference w:type="default" r:id="rId8"/>
      <w:pgSz w:w="12240" w:h="15840"/>
      <w:pgMar w:top="2552" w:right="1041" w:bottom="1276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03C" w:rsidRDefault="0059503C">
      <w:pPr>
        <w:spacing w:after="0" w:line="240" w:lineRule="auto"/>
      </w:pPr>
      <w:r>
        <w:separator/>
      </w:r>
    </w:p>
  </w:endnote>
  <w:endnote w:type="continuationSeparator" w:id="0">
    <w:p w:rsidR="0059503C" w:rsidRDefault="0059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4" w:type="dxa"/>
      <w:tblLook w:val="04A0" w:firstRow="1" w:lastRow="0" w:firstColumn="1" w:lastColumn="0" w:noHBand="0" w:noVBand="1"/>
    </w:tblPr>
    <w:tblGrid>
      <w:gridCol w:w="1459"/>
      <w:gridCol w:w="5453"/>
      <w:gridCol w:w="3072"/>
    </w:tblGrid>
    <w:tr w:rsidR="00E71E55" w:rsidRPr="004608DF" w:rsidTr="00E71E55">
      <w:trPr>
        <w:trHeight w:val="1414"/>
      </w:trPr>
      <w:tc>
        <w:tcPr>
          <w:tcW w:w="635" w:type="dxa"/>
          <w:shd w:val="clear" w:color="auto" w:fill="auto"/>
        </w:tcPr>
        <w:p w:rsidR="00E71E55" w:rsidRPr="00036CF6" w:rsidRDefault="00F76001" w:rsidP="00E71E55">
          <w:pPr>
            <w:tabs>
              <w:tab w:val="center" w:pos="4536"/>
              <w:tab w:val="right" w:pos="9072"/>
            </w:tabs>
            <w:ind w:left="-108"/>
            <w:rPr>
              <w:rFonts w:ascii="Arial" w:hAnsi="Arial" w:cs="Arial"/>
              <w:b/>
              <w:color w:val="003366"/>
              <w:sz w:val="16"/>
              <w:szCs w:val="16"/>
              <w:lang w:val="es-ES"/>
            </w:rPr>
          </w:pPr>
          <w:r w:rsidRPr="00AF439B">
            <w:rPr>
              <w:noProof/>
              <w:sz w:val="24"/>
              <w:szCs w:val="24"/>
              <w:lang w:val="ro-RO" w:eastAsia="ro-RO"/>
            </w:rPr>
            <w:drawing>
              <wp:inline distT="0" distB="0" distL="0" distR="0" wp14:anchorId="7E99F14E" wp14:editId="72CB4AB9">
                <wp:extent cx="847725" cy="428625"/>
                <wp:effectExtent l="0" t="0" r="9525" b="9525"/>
                <wp:docPr id="36" name="Imagine 36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E71E55" w:rsidRPr="00036CF6" w:rsidRDefault="00F76001" w:rsidP="00E71E55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:rsidR="00E71E55" w:rsidRPr="00036CF6" w:rsidRDefault="00F76001" w:rsidP="00E71E55">
          <w:pPr>
            <w:tabs>
              <w:tab w:val="center" w:pos="4320"/>
              <w:tab w:val="right" w:pos="8640"/>
            </w:tabs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E71E55" w:rsidRPr="00036CF6" w:rsidRDefault="0059503C" w:rsidP="00E71E55">
          <w:pPr>
            <w:tabs>
              <w:tab w:val="center" w:pos="4320"/>
              <w:tab w:val="right" w:pos="8640"/>
            </w:tabs>
            <w:rPr>
              <w:sz w:val="14"/>
              <w:szCs w:val="14"/>
            </w:rPr>
          </w:pPr>
          <w:hyperlink r:id="rId2" w:history="1">
            <w:r w:rsidR="00F76001" w:rsidRPr="00AF439B">
              <w:rPr>
                <w:color w:val="0563C1"/>
                <w:sz w:val="14"/>
                <w:szCs w:val="14"/>
                <w:u w:val="single"/>
              </w:rPr>
              <w:t>www.just.ro</w:t>
            </w:r>
          </w:hyperlink>
        </w:p>
        <w:p w:rsidR="00E71E55" w:rsidRPr="00036CF6" w:rsidRDefault="0059503C" w:rsidP="00E71E5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3366"/>
              <w:sz w:val="16"/>
              <w:szCs w:val="16"/>
              <w:lang w:val="ro-RO"/>
            </w:rPr>
          </w:pPr>
        </w:p>
      </w:tc>
      <w:tc>
        <w:tcPr>
          <w:tcW w:w="3363" w:type="dxa"/>
          <w:shd w:val="clear" w:color="auto" w:fill="auto"/>
        </w:tcPr>
        <w:p w:rsidR="00E71E55" w:rsidRPr="00452DF6" w:rsidRDefault="00F76001" w:rsidP="00E71E55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9804BD">
            <w:rPr>
              <w:noProof/>
              <w:sz w:val="14"/>
              <w:szCs w:val="14"/>
              <w:lang w:val="es-ES"/>
            </w:rPr>
            <w:t>5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5C3052">
            <w:rPr>
              <w:noProof/>
              <w:sz w:val="14"/>
              <w:szCs w:val="14"/>
              <w:lang w:val="es-ES"/>
            </w:rPr>
            <w:t>5</w:t>
          </w:r>
          <w:r w:rsidRPr="00036CF6">
            <w:rPr>
              <w:sz w:val="14"/>
              <w:szCs w:val="14"/>
            </w:rPr>
            <w:fldChar w:fldCharType="end"/>
          </w:r>
        </w:p>
        <w:p w:rsidR="00E71E55" w:rsidRPr="00452DF6" w:rsidRDefault="0059503C" w:rsidP="00E71E55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</w:p>
        <w:p w:rsidR="00E71E55" w:rsidRPr="00036CF6" w:rsidRDefault="00F76001" w:rsidP="00E71E55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16"/>
              <w:szCs w:val="16"/>
              <w:lang w:val="ro-RO"/>
            </w:rPr>
          </w:pPr>
          <w:r w:rsidRPr="00452DF6">
            <w:rPr>
              <w:sz w:val="14"/>
              <w:szCs w:val="14"/>
              <w:lang w:val="es-ES"/>
            </w:rPr>
            <w:t>COD: FS-01-05-ver.</w:t>
          </w:r>
          <w:r>
            <w:rPr>
              <w:sz w:val="14"/>
              <w:szCs w:val="14"/>
              <w:lang w:val="es-ES"/>
            </w:rPr>
            <w:t>5</w:t>
          </w:r>
        </w:p>
      </w:tc>
    </w:tr>
  </w:tbl>
  <w:p w:rsidR="00E71E55" w:rsidRDefault="0059503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03C" w:rsidRDefault="0059503C">
      <w:pPr>
        <w:spacing w:after="0" w:line="240" w:lineRule="auto"/>
      </w:pPr>
      <w:r>
        <w:separator/>
      </w:r>
    </w:p>
  </w:footnote>
  <w:footnote w:type="continuationSeparator" w:id="0">
    <w:p w:rsidR="0059503C" w:rsidRDefault="0059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908" w:rsidRDefault="00F76001">
    <w:pPr>
      <w:pStyle w:val="Antet"/>
    </w:pPr>
    <w:r>
      <w:rPr>
        <w:noProof/>
        <w:lang w:val="ro-RO" w:eastAsia="ro-RO"/>
      </w:rPr>
      <w:drawing>
        <wp:inline distT="0" distB="0" distL="0" distR="0" wp14:anchorId="1219996B" wp14:editId="7B1F6606">
          <wp:extent cx="2816860" cy="902335"/>
          <wp:effectExtent l="0" t="0" r="2540" b="0"/>
          <wp:docPr id="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6C38"/>
    <w:multiLevelType w:val="hybridMultilevel"/>
    <w:tmpl w:val="B3E4B0C0"/>
    <w:lvl w:ilvl="0" w:tplc="4B9AA03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CC"/>
    <w:rsid w:val="001F2ACD"/>
    <w:rsid w:val="00275FFD"/>
    <w:rsid w:val="003014F8"/>
    <w:rsid w:val="00305E33"/>
    <w:rsid w:val="00344919"/>
    <w:rsid w:val="0035048D"/>
    <w:rsid w:val="004E18CC"/>
    <w:rsid w:val="004E4BB7"/>
    <w:rsid w:val="00510726"/>
    <w:rsid w:val="005608D3"/>
    <w:rsid w:val="0059503C"/>
    <w:rsid w:val="005C3052"/>
    <w:rsid w:val="005D02FF"/>
    <w:rsid w:val="005F2077"/>
    <w:rsid w:val="005F75A9"/>
    <w:rsid w:val="0073762B"/>
    <w:rsid w:val="007B7F88"/>
    <w:rsid w:val="008B6CF8"/>
    <w:rsid w:val="009804BD"/>
    <w:rsid w:val="009A77CD"/>
    <w:rsid w:val="009D5531"/>
    <w:rsid w:val="00A67675"/>
    <w:rsid w:val="00B9074E"/>
    <w:rsid w:val="00BD56BC"/>
    <w:rsid w:val="00C80BCC"/>
    <w:rsid w:val="00CC02F7"/>
    <w:rsid w:val="00D94AAA"/>
    <w:rsid w:val="00E464C9"/>
    <w:rsid w:val="00EC07E5"/>
    <w:rsid w:val="00ED002C"/>
    <w:rsid w:val="00ED4C4C"/>
    <w:rsid w:val="00F76001"/>
    <w:rsid w:val="00F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B394-5332-4817-9F0C-A3F62D7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BCC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80BC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8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80BCC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C80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80BCC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55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st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Petre</dc:creator>
  <cp:keywords/>
  <dc:description/>
  <cp:lastModifiedBy>Ileana Petre</cp:lastModifiedBy>
  <cp:revision>3</cp:revision>
  <cp:lastPrinted>2020-12-14T11:53:00Z</cp:lastPrinted>
  <dcterms:created xsi:type="dcterms:W3CDTF">2020-12-17T06:35:00Z</dcterms:created>
  <dcterms:modified xsi:type="dcterms:W3CDTF">2020-12-17T06:36:00Z</dcterms:modified>
</cp:coreProperties>
</file>