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390" w:rsidRPr="00A87B7E" w:rsidRDefault="003A0D34" w:rsidP="00894390">
      <w:pPr>
        <w:widowControl w:val="0"/>
        <w:jc w:val="right"/>
        <w:rPr>
          <w:b/>
        </w:rPr>
      </w:pPr>
      <w:r>
        <w:rPr>
          <w:b/>
        </w:rPr>
        <w:t>Hot. 10</w:t>
      </w:r>
    </w:p>
    <w:p w:rsidR="00894390" w:rsidRPr="00A87B7E" w:rsidRDefault="00894390" w:rsidP="00894390"/>
    <w:p w:rsidR="00894390" w:rsidRPr="00A87B7E" w:rsidRDefault="00894390" w:rsidP="00894390">
      <w:pPr>
        <w:jc w:val="center"/>
        <w:rPr>
          <w:b/>
        </w:rPr>
      </w:pPr>
      <w:r w:rsidRPr="00A87B7E">
        <w:rPr>
          <w:b/>
        </w:rPr>
        <w:t>R O M Â N I A</w:t>
      </w:r>
    </w:p>
    <w:p w:rsidR="00894390" w:rsidRPr="00A87B7E" w:rsidRDefault="00894390" w:rsidP="00894390">
      <w:pPr>
        <w:jc w:val="center"/>
      </w:pPr>
    </w:p>
    <w:p w:rsidR="00894390" w:rsidRPr="00A87B7E" w:rsidRDefault="00E92716" w:rsidP="00894390">
      <w:pPr>
        <w:jc w:val="center"/>
        <w:rPr>
          <w:b/>
        </w:rPr>
      </w:pPr>
      <w:r>
        <w:rPr>
          <w:b/>
        </w:rPr>
        <w:t>CURTEA DE APEL ...</w:t>
      </w:r>
    </w:p>
    <w:p w:rsidR="00894390" w:rsidRPr="00A87B7E" w:rsidRDefault="00894390" w:rsidP="00894390">
      <w:pPr>
        <w:jc w:val="center"/>
        <w:rPr>
          <w:b/>
          <w:lang w:val="en-US"/>
        </w:rPr>
      </w:pPr>
      <w:r>
        <w:rPr>
          <w:b/>
        </w:rPr>
        <w:t xml:space="preserve">SECŢIA </w:t>
      </w:r>
      <w:r w:rsidR="008242C6">
        <w:rPr>
          <w:b/>
        </w:rPr>
        <w:t xml:space="preserve"> ...</w:t>
      </w:r>
    </w:p>
    <w:p w:rsidR="00894390" w:rsidRPr="00A87B7E" w:rsidRDefault="00894390" w:rsidP="00894390">
      <w:pPr>
        <w:jc w:val="center"/>
        <w:rPr>
          <w:lang w:val="en-US"/>
        </w:rPr>
      </w:pPr>
      <w:r w:rsidRPr="00A87B7E">
        <w:rPr>
          <w:b/>
        </w:rPr>
        <w:t xml:space="preserve">DOSAR NR. </w:t>
      </w:r>
      <w:r w:rsidR="00DB489C">
        <w:rPr>
          <w:b/>
        </w:rPr>
        <w:t>…</w:t>
      </w:r>
      <w:r w:rsidRPr="00A87B7E">
        <w:tab/>
      </w:r>
      <w:r w:rsidRPr="00A87B7E">
        <w:tab/>
      </w:r>
      <w:r w:rsidRPr="00A87B7E">
        <w:tab/>
      </w:r>
      <w:r w:rsidRPr="00A87B7E">
        <w:rPr>
          <w:b/>
        </w:rPr>
        <w:fldChar w:fldCharType="begin">
          <w:ffData>
            <w:name w:val="tip_incheiere"/>
            <w:enabled/>
            <w:calcOnExit w:val="0"/>
            <w:textInput/>
          </w:ffData>
        </w:fldChar>
      </w:r>
      <w:bookmarkStart w:id="0" w:name="tip_incheiere"/>
      <w:r w:rsidRPr="00A87B7E">
        <w:rPr>
          <w:b/>
        </w:rPr>
        <w:instrText xml:space="preserve"> FORMTEXT </w:instrText>
      </w:r>
      <w:r w:rsidRPr="00A87B7E">
        <w:rPr>
          <w:b/>
        </w:rPr>
      </w:r>
      <w:r w:rsidRPr="00A87B7E">
        <w:rPr>
          <w:b/>
        </w:rPr>
        <w:fldChar w:fldCharType="separate"/>
      </w:r>
      <w:r>
        <w:rPr>
          <w:b/>
        </w:rPr>
        <w:t>DECIZIE</w:t>
      </w:r>
      <w:r w:rsidRPr="00A87B7E">
        <w:fldChar w:fldCharType="end"/>
      </w:r>
      <w:bookmarkEnd w:id="0"/>
      <w:r w:rsidRPr="00A87B7E">
        <w:rPr>
          <w:b/>
        </w:rPr>
        <w:t xml:space="preserve"> NR. </w:t>
      </w:r>
      <w:r w:rsidR="008242C6">
        <w:rPr>
          <w:b/>
        </w:rPr>
        <w:t>…</w:t>
      </w:r>
    </w:p>
    <w:p w:rsidR="00894390" w:rsidRPr="00A87B7E" w:rsidRDefault="00894390" w:rsidP="00894390">
      <w:pPr>
        <w:jc w:val="center"/>
        <w:rPr>
          <w:b/>
        </w:rPr>
      </w:pPr>
      <w:proofErr w:type="spellStart"/>
      <w:r w:rsidRPr="00A87B7E">
        <w:rPr>
          <w:b/>
        </w:rPr>
        <w:t>Şedinţa</w:t>
      </w:r>
      <w:proofErr w:type="spellEnd"/>
      <w:r w:rsidRPr="00A87B7E">
        <w:rPr>
          <w:b/>
        </w:rPr>
        <w:t> </w:t>
      </w:r>
      <w:r w:rsidRPr="00A87B7E">
        <w:rPr>
          <w:b/>
        </w:rPr>
        <w:fldChar w:fldCharType="begin">
          <w:ffData>
            <w:name w:val="tip_sedinta"/>
            <w:enabled/>
            <w:calcOnExit w:val="0"/>
            <w:textInput/>
          </w:ffData>
        </w:fldChar>
      </w:r>
      <w:bookmarkStart w:id="1" w:name="tip_sedinta"/>
      <w:r w:rsidRPr="00A87B7E">
        <w:rPr>
          <w:b/>
        </w:rPr>
        <w:instrText xml:space="preserve"> FORMTEXT </w:instrText>
      </w:r>
      <w:r w:rsidRPr="00A87B7E">
        <w:rPr>
          <w:b/>
        </w:rPr>
      </w:r>
      <w:r w:rsidRPr="00A87B7E">
        <w:rPr>
          <w:b/>
        </w:rPr>
        <w:fldChar w:fldCharType="separate"/>
      </w:r>
      <w:r>
        <w:rPr>
          <w:b/>
        </w:rPr>
        <w:t>publică</w:t>
      </w:r>
      <w:r w:rsidRPr="00A87B7E">
        <w:fldChar w:fldCharType="end"/>
      </w:r>
      <w:bookmarkEnd w:id="1"/>
      <w:r w:rsidRPr="00A87B7E">
        <w:rPr>
          <w:b/>
        </w:rPr>
        <w:t xml:space="preserve"> din </w:t>
      </w:r>
      <w:r w:rsidR="008242C6">
        <w:rPr>
          <w:b/>
        </w:rPr>
        <w:t>…</w:t>
      </w:r>
      <w:r w:rsidRPr="00A87B7E">
        <w:rPr>
          <w:b/>
        </w:rPr>
        <w:t xml:space="preserve"> </w:t>
      </w:r>
    </w:p>
    <w:p w:rsidR="00894390" w:rsidRPr="00A87B7E" w:rsidRDefault="00894390" w:rsidP="00894390">
      <w:pPr>
        <w:jc w:val="center"/>
        <w:rPr>
          <w:b/>
        </w:rPr>
      </w:pPr>
      <w:r w:rsidRPr="00A87B7E">
        <w:rPr>
          <w:b/>
        </w:rPr>
        <w:t>Curtea co</w:t>
      </w:r>
      <w:r>
        <w:rPr>
          <w:b/>
        </w:rPr>
        <w:t>n</w:t>
      </w:r>
      <w:r w:rsidRPr="00A87B7E">
        <w:rPr>
          <w:b/>
        </w:rPr>
        <w:t>s</w:t>
      </w:r>
      <w:r>
        <w:rPr>
          <w:b/>
        </w:rPr>
        <w:t>tituit</w:t>
      </w:r>
      <w:r w:rsidRPr="00A87B7E">
        <w:rPr>
          <w:b/>
        </w:rPr>
        <w:t>ă din:</w:t>
      </w:r>
    </w:p>
    <w:p w:rsidR="00894390" w:rsidRPr="00A87B7E" w:rsidRDefault="00894390" w:rsidP="00894390">
      <w:pPr>
        <w:jc w:val="center"/>
      </w:pPr>
      <w:proofErr w:type="spellStart"/>
      <w:r w:rsidRPr="00A87B7E">
        <w:t>Preşedinte</w:t>
      </w:r>
      <w:proofErr w:type="spellEnd"/>
      <w:r w:rsidRPr="00A87B7E">
        <w:t xml:space="preserve">: </w:t>
      </w:r>
      <w:r w:rsidR="008242C6">
        <w:t>COD A1038</w:t>
      </w:r>
      <w:r>
        <w:t>, judecător</w:t>
      </w:r>
    </w:p>
    <w:p w:rsidR="00894390" w:rsidRDefault="00894390" w:rsidP="00894390">
      <w:pPr>
        <w:jc w:val="center"/>
      </w:pPr>
      <w:r>
        <w:t xml:space="preserve">Judecător </w:t>
      </w:r>
      <w:r w:rsidR="008242C6">
        <w:t>1</w:t>
      </w:r>
    </w:p>
    <w:p w:rsidR="00894390" w:rsidRDefault="00894390" w:rsidP="00894390">
      <w:pPr>
        <w:jc w:val="center"/>
      </w:pPr>
      <w:r>
        <w:t xml:space="preserve">Judecător </w:t>
      </w:r>
      <w:r w:rsidR="008242C6">
        <w:t>2</w:t>
      </w:r>
    </w:p>
    <w:p w:rsidR="00894390" w:rsidRPr="00A87B7E" w:rsidRDefault="00894390" w:rsidP="00894390">
      <w:pPr>
        <w:jc w:val="center"/>
      </w:pPr>
      <w:r>
        <w:t xml:space="preserve">Grefier </w:t>
      </w:r>
      <w:r w:rsidR="008242C6">
        <w:t>3</w:t>
      </w:r>
    </w:p>
    <w:p w:rsidR="00894390" w:rsidRPr="00A87B7E" w:rsidRDefault="00894390" w:rsidP="00894390">
      <w:pPr>
        <w:jc w:val="center"/>
      </w:pPr>
      <w:r w:rsidRPr="00A87B7E">
        <w:fldChar w:fldCharType="begin">
          <w:ffData>
            <w:name w:val="nume_procuror"/>
            <w:enabled/>
            <w:calcOnExit w:val="0"/>
            <w:textInput/>
          </w:ffData>
        </w:fldChar>
      </w:r>
      <w:bookmarkStart w:id="2" w:name="nume_procuror"/>
      <w:r w:rsidRPr="00A87B7E">
        <w:instrText xml:space="preserve"> FORMTEXT </w:instrText>
      </w:r>
      <w:r w:rsidRPr="00A87B7E">
        <w:fldChar w:fldCharType="separate"/>
      </w:r>
      <w:r w:rsidRPr="00A87B7E">
        <w:rPr>
          <w:noProof/>
        </w:rPr>
        <w:t> </w:t>
      </w:r>
      <w:r w:rsidRPr="00A87B7E">
        <w:rPr>
          <w:noProof/>
        </w:rPr>
        <w:t> </w:t>
      </w:r>
      <w:r w:rsidRPr="00A87B7E">
        <w:rPr>
          <w:noProof/>
        </w:rPr>
        <w:t> </w:t>
      </w:r>
      <w:r w:rsidRPr="00A87B7E">
        <w:rPr>
          <w:noProof/>
        </w:rPr>
        <w:t> </w:t>
      </w:r>
      <w:r w:rsidRPr="00A87B7E">
        <w:rPr>
          <w:noProof/>
        </w:rPr>
        <w:t> </w:t>
      </w:r>
      <w:r w:rsidRPr="00A87B7E">
        <w:fldChar w:fldCharType="end"/>
      </w:r>
      <w:bookmarkEnd w:id="2"/>
    </w:p>
    <w:p w:rsidR="00894390" w:rsidRPr="006B273A" w:rsidRDefault="00894390" w:rsidP="00894390">
      <w:pPr>
        <w:ind w:right="-1" w:firstLine="1416"/>
        <w:jc w:val="both"/>
      </w:pPr>
      <w:r w:rsidRPr="006B273A">
        <w:t xml:space="preserve">S-a luat în examinare, pentru </w:t>
      </w:r>
      <w:proofErr w:type="spellStart"/>
      <w:r w:rsidRPr="006B273A">
        <w:t>soluţionare</w:t>
      </w:r>
      <w:proofErr w:type="spellEnd"/>
      <w:r w:rsidRPr="006B273A">
        <w:t xml:space="preserve">, recursul formulat de reclamantul </w:t>
      </w:r>
      <w:r w:rsidR="008242C6">
        <w:rPr>
          <w:b/>
          <w:bCs/>
        </w:rPr>
        <w:t>X</w:t>
      </w:r>
      <w:r w:rsidRPr="006B273A">
        <w:t xml:space="preserve"> cu domiciliul în </w:t>
      </w:r>
      <w:r w:rsidR="008242C6">
        <w:t>R</w:t>
      </w:r>
      <w:r w:rsidRPr="006B273A">
        <w:t xml:space="preserve">, </w:t>
      </w:r>
      <w:r w:rsidR="008242C6">
        <w:t>...</w:t>
      </w:r>
      <w:r>
        <w:t>,</w:t>
      </w:r>
      <w:r w:rsidRPr="006B273A">
        <w:t xml:space="preserve"> </w:t>
      </w:r>
      <w:proofErr w:type="spellStart"/>
      <w:r w:rsidRPr="006B273A">
        <w:t>judeţul</w:t>
      </w:r>
      <w:proofErr w:type="spellEnd"/>
      <w:r w:rsidRPr="006B273A">
        <w:t xml:space="preserve"> </w:t>
      </w:r>
      <w:r w:rsidR="003A0D34">
        <w:t>…</w:t>
      </w:r>
      <w:r w:rsidRPr="006B273A">
        <w:t xml:space="preserve">, împotriva </w:t>
      </w:r>
      <w:proofErr w:type="spellStart"/>
      <w:r w:rsidRPr="006B273A">
        <w:t>sentinţei</w:t>
      </w:r>
      <w:proofErr w:type="spellEnd"/>
      <w:r w:rsidRPr="006B273A">
        <w:t xml:space="preserve"> nr.</w:t>
      </w:r>
      <w:r w:rsidR="008242C6">
        <w:rPr>
          <w:b/>
        </w:rPr>
        <w:t>S1</w:t>
      </w:r>
      <w:r w:rsidRPr="006B273A">
        <w:rPr>
          <w:rFonts w:eastAsia="Calibri"/>
        </w:rPr>
        <w:t>,</w:t>
      </w:r>
      <w:r w:rsidRPr="006B273A">
        <w:t xml:space="preserve"> </w:t>
      </w:r>
      <w:proofErr w:type="spellStart"/>
      <w:r w:rsidRPr="006B273A">
        <w:t>pronunţată</w:t>
      </w:r>
      <w:proofErr w:type="spellEnd"/>
      <w:r w:rsidRPr="006B273A">
        <w:t xml:space="preserve"> de Tribunalul </w:t>
      </w:r>
      <w:r w:rsidR="00CC6560">
        <w:t>..</w:t>
      </w:r>
      <w:r w:rsidRPr="006B273A">
        <w:t xml:space="preserve"> – </w:t>
      </w:r>
      <w:proofErr w:type="spellStart"/>
      <w:r w:rsidRPr="006B273A">
        <w:t>Secţia</w:t>
      </w:r>
      <w:proofErr w:type="spellEnd"/>
      <w:r w:rsidRPr="006B273A">
        <w:t xml:space="preserve"> </w:t>
      </w:r>
      <w:r w:rsidR="008242C6">
        <w:t xml:space="preserve"> ...</w:t>
      </w:r>
      <w:r w:rsidRPr="006B273A">
        <w:t xml:space="preserve">, în dosarul nr. </w:t>
      </w:r>
      <w:r w:rsidR="008242C6">
        <w:rPr>
          <w:b/>
        </w:rPr>
        <w:t>DS1</w:t>
      </w:r>
      <w:r w:rsidRPr="006B273A">
        <w:rPr>
          <w:rFonts w:eastAsia="Calibri"/>
        </w:rPr>
        <w:t xml:space="preserve">, intimată fiind pârâta </w:t>
      </w:r>
      <w:proofErr w:type="spellStart"/>
      <w:r w:rsidRPr="006B273A">
        <w:rPr>
          <w:b/>
          <w:bCs/>
        </w:rPr>
        <w:t>Agenţia</w:t>
      </w:r>
      <w:proofErr w:type="spellEnd"/>
      <w:r w:rsidRPr="006B273A">
        <w:rPr>
          <w:b/>
          <w:bCs/>
        </w:rPr>
        <w:t xml:space="preserve"> </w:t>
      </w:r>
      <w:proofErr w:type="spellStart"/>
      <w:r w:rsidRPr="006B273A">
        <w:rPr>
          <w:b/>
          <w:bCs/>
        </w:rPr>
        <w:t>Naţională</w:t>
      </w:r>
      <w:proofErr w:type="spellEnd"/>
      <w:r w:rsidRPr="006B273A">
        <w:rPr>
          <w:b/>
          <w:bCs/>
        </w:rPr>
        <w:t xml:space="preserve"> de Administrare Fiscală - </w:t>
      </w:r>
      <w:proofErr w:type="spellStart"/>
      <w:r w:rsidRPr="006B273A">
        <w:rPr>
          <w:b/>
          <w:bCs/>
        </w:rPr>
        <w:t>Direcţia</w:t>
      </w:r>
      <w:proofErr w:type="spellEnd"/>
      <w:r w:rsidRPr="006B273A">
        <w:rPr>
          <w:b/>
          <w:bCs/>
        </w:rPr>
        <w:t xml:space="preserve"> Generală Regională a </w:t>
      </w:r>
      <w:proofErr w:type="spellStart"/>
      <w:r w:rsidRPr="006B273A">
        <w:rPr>
          <w:b/>
          <w:bCs/>
        </w:rPr>
        <w:t>Finanţelor</w:t>
      </w:r>
      <w:proofErr w:type="spellEnd"/>
      <w:r w:rsidRPr="006B273A">
        <w:rPr>
          <w:b/>
          <w:bCs/>
        </w:rPr>
        <w:t xml:space="preserve"> Publice </w:t>
      </w:r>
      <w:r w:rsidR="008242C6">
        <w:rPr>
          <w:b/>
          <w:bCs/>
        </w:rPr>
        <w:t>C</w:t>
      </w:r>
      <w:r w:rsidRPr="006B273A">
        <w:rPr>
          <w:b/>
          <w:bCs/>
        </w:rPr>
        <w:t xml:space="preserve"> - </w:t>
      </w:r>
      <w:proofErr w:type="spellStart"/>
      <w:r w:rsidRPr="006B273A">
        <w:rPr>
          <w:b/>
          <w:bCs/>
        </w:rPr>
        <w:t>Administraţia</w:t>
      </w:r>
      <w:proofErr w:type="spellEnd"/>
      <w:r w:rsidRPr="006B273A">
        <w:rPr>
          <w:b/>
          <w:bCs/>
        </w:rPr>
        <w:t xml:space="preserve"> </w:t>
      </w:r>
      <w:proofErr w:type="spellStart"/>
      <w:r w:rsidRPr="006B273A">
        <w:rPr>
          <w:b/>
          <w:bCs/>
        </w:rPr>
        <w:t>Judeţeană</w:t>
      </w:r>
      <w:proofErr w:type="spellEnd"/>
      <w:r w:rsidRPr="006B273A">
        <w:rPr>
          <w:b/>
          <w:bCs/>
        </w:rPr>
        <w:t xml:space="preserve"> a </w:t>
      </w:r>
      <w:proofErr w:type="spellStart"/>
      <w:r w:rsidRPr="006B273A">
        <w:rPr>
          <w:b/>
          <w:bCs/>
        </w:rPr>
        <w:t>Finanţelor</w:t>
      </w:r>
      <w:proofErr w:type="spellEnd"/>
      <w:r w:rsidRPr="006B273A">
        <w:rPr>
          <w:b/>
          <w:bCs/>
        </w:rPr>
        <w:t xml:space="preserve"> Publice </w:t>
      </w:r>
      <w:r w:rsidR="008242C6">
        <w:rPr>
          <w:b/>
          <w:bCs/>
        </w:rPr>
        <w:t>V</w:t>
      </w:r>
      <w:r w:rsidRPr="006B273A">
        <w:t xml:space="preserve"> cu sediul în </w:t>
      </w:r>
      <w:r w:rsidR="008242C6">
        <w:t>R</w:t>
      </w:r>
      <w:r w:rsidRPr="006B273A">
        <w:t xml:space="preserve">, Str. </w:t>
      </w:r>
      <w:r w:rsidR="008242C6">
        <w:t>…</w:t>
      </w:r>
      <w:r w:rsidRPr="006B273A">
        <w:t xml:space="preserve">, </w:t>
      </w:r>
      <w:proofErr w:type="spellStart"/>
      <w:r w:rsidRPr="006B273A">
        <w:t>judeţul</w:t>
      </w:r>
      <w:proofErr w:type="spellEnd"/>
      <w:r w:rsidRPr="006B273A">
        <w:t xml:space="preserve"> </w:t>
      </w:r>
      <w:r w:rsidR="003A0D34">
        <w:t>…</w:t>
      </w:r>
      <w:r w:rsidRPr="006B273A">
        <w:t>.</w:t>
      </w:r>
    </w:p>
    <w:p w:rsidR="00894390" w:rsidRPr="006B273A" w:rsidRDefault="00894390" w:rsidP="00894390">
      <w:pPr>
        <w:ind w:right="-1" w:firstLine="1416"/>
        <w:jc w:val="both"/>
      </w:pPr>
      <w:r w:rsidRPr="006B273A">
        <w:t xml:space="preserve">La apelul nominal făcut în </w:t>
      </w:r>
      <w:proofErr w:type="spellStart"/>
      <w:r w:rsidRPr="006B273A">
        <w:t>şedinţă</w:t>
      </w:r>
      <w:proofErr w:type="spellEnd"/>
      <w:r w:rsidRPr="006B273A">
        <w:t xml:space="preserve"> publică, a</w:t>
      </w:r>
      <w:r>
        <w:t xml:space="preserve"> răspuns avocat </w:t>
      </w:r>
      <w:r w:rsidR="008242C6">
        <w:t>AV1</w:t>
      </w:r>
      <w:r>
        <w:t xml:space="preserve"> pentru recurentul-reclamant potrivit împuternicirii </w:t>
      </w:r>
      <w:proofErr w:type="spellStart"/>
      <w:r>
        <w:t>avocaţiale</w:t>
      </w:r>
      <w:proofErr w:type="spellEnd"/>
      <w:r>
        <w:t xml:space="preserve"> de la dosar, lipsă fiind intimata-pârâtă</w:t>
      </w:r>
      <w:r w:rsidRPr="006B273A">
        <w:t>.</w:t>
      </w:r>
    </w:p>
    <w:p w:rsidR="00894390" w:rsidRPr="006B273A" w:rsidRDefault="00894390" w:rsidP="00894390">
      <w:pPr>
        <w:widowControl w:val="0"/>
        <w:ind w:firstLine="1416"/>
        <w:jc w:val="both"/>
      </w:pPr>
      <w:r w:rsidRPr="006B273A">
        <w:t>Procedura de citare este legal îndeplinită.</w:t>
      </w:r>
    </w:p>
    <w:p w:rsidR="00894390" w:rsidRPr="006B273A" w:rsidRDefault="00894390" w:rsidP="00894390">
      <w:pPr>
        <w:widowControl w:val="0"/>
        <w:ind w:firstLine="1416"/>
        <w:jc w:val="both"/>
      </w:pPr>
      <w:r>
        <w:t>Recursul este timbrat cu</w:t>
      </w:r>
      <w:r w:rsidRPr="006B273A">
        <w:t xml:space="preserve"> taxă judiciară de timbru în cuantum de 100 lei, potrivit </w:t>
      </w:r>
      <w:proofErr w:type="spellStart"/>
      <w:r w:rsidRPr="006B273A">
        <w:t>chitanţelor</w:t>
      </w:r>
      <w:proofErr w:type="spellEnd"/>
      <w:r w:rsidRPr="006B273A">
        <w:t xml:space="preserve"> nr</w:t>
      </w:r>
      <w:r w:rsidR="006E1965">
        <w:t>…</w:t>
      </w:r>
      <w:r w:rsidRPr="006B273A">
        <w:t xml:space="preserve">/24.02.2020 </w:t>
      </w:r>
      <w:proofErr w:type="spellStart"/>
      <w:r w:rsidRPr="006B273A">
        <w:t>şi</w:t>
      </w:r>
      <w:proofErr w:type="spellEnd"/>
      <w:r w:rsidRPr="006B273A">
        <w:t xml:space="preserve"> </w:t>
      </w:r>
      <w:r w:rsidR="006E1965">
        <w:t>..</w:t>
      </w:r>
      <w:r w:rsidRPr="006B273A">
        <w:t>/06.04.2020</w:t>
      </w:r>
    </w:p>
    <w:p w:rsidR="00894390" w:rsidRDefault="00894390" w:rsidP="00894390">
      <w:pPr>
        <w:ind w:firstLine="1416"/>
        <w:jc w:val="both"/>
        <w:rPr>
          <w:rFonts w:eastAsia="Calibri"/>
        </w:rPr>
      </w:pPr>
      <w:r w:rsidRPr="006B273A">
        <w:rPr>
          <w:rFonts w:eastAsia="Calibri"/>
        </w:rPr>
        <w:t xml:space="preserve">S-a făcut </w:t>
      </w:r>
      <w:r w:rsidRPr="006B273A">
        <w:rPr>
          <w:rFonts w:eastAsia="Calibri"/>
        </w:rPr>
        <w:fldChar w:fldCharType="begin">
          <w:ffData>
            <w:name w:val="tip_doc_despre_cauza"/>
            <w:enabled/>
            <w:calcOnExit w:val="0"/>
            <w:textInput/>
          </w:ffData>
        </w:fldChar>
      </w:r>
      <w:r w:rsidRPr="006B273A">
        <w:rPr>
          <w:rFonts w:eastAsia="Calibri"/>
        </w:rPr>
        <w:instrText xml:space="preserve"> FORMTEXT </w:instrText>
      </w:r>
      <w:r w:rsidRPr="006B273A">
        <w:rPr>
          <w:rFonts w:eastAsia="Calibri"/>
        </w:rPr>
      </w:r>
      <w:r w:rsidRPr="006B273A">
        <w:rPr>
          <w:rFonts w:eastAsia="Calibri"/>
        </w:rPr>
        <w:fldChar w:fldCharType="separate"/>
      </w:r>
      <w:r w:rsidRPr="006B273A">
        <w:rPr>
          <w:rFonts w:eastAsia="Calibri"/>
        </w:rPr>
        <w:t>referatul</w:t>
      </w:r>
      <w:r w:rsidRPr="006B273A">
        <w:rPr>
          <w:rFonts w:eastAsia="Calibri"/>
        </w:rPr>
        <w:fldChar w:fldCharType="end"/>
      </w:r>
      <w:r w:rsidRPr="006B273A">
        <w:rPr>
          <w:rFonts w:eastAsia="Calibri"/>
        </w:rPr>
        <w:t xml:space="preserve"> cauzei de către </w:t>
      </w:r>
      <w:r w:rsidRPr="006B273A">
        <w:rPr>
          <w:rFonts w:eastAsia="Calibri"/>
        </w:rPr>
        <w:fldChar w:fldCharType="begin">
          <w:ffData>
            <w:name w:val="functia_celui_care_f"/>
            <w:enabled/>
            <w:calcOnExit w:val="0"/>
            <w:textInput/>
          </w:ffData>
        </w:fldChar>
      </w:r>
      <w:r w:rsidRPr="006B273A">
        <w:rPr>
          <w:rFonts w:eastAsia="Calibri"/>
        </w:rPr>
        <w:instrText xml:space="preserve"> FORMTEXT </w:instrText>
      </w:r>
      <w:r w:rsidRPr="006B273A">
        <w:rPr>
          <w:rFonts w:eastAsia="Calibri"/>
        </w:rPr>
      </w:r>
      <w:r w:rsidRPr="006B273A">
        <w:rPr>
          <w:rFonts w:eastAsia="Calibri"/>
        </w:rPr>
        <w:fldChar w:fldCharType="separate"/>
      </w:r>
      <w:r w:rsidRPr="006B273A">
        <w:rPr>
          <w:rFonts w:eastAsia="Calibri"/>
        </w:rPr>
        <w:t>grefier</w:t>
      </w:r>
      <w:r w:rsidRPr="006B273A">
        <w:rPr>
          <w:rFonts w:eastAsia="Calibri"/>
        </w:rPr>
        <w:fldChar w:fldCharType="end"/>
      </w:r>
      <w:r w:rsidRPr="006B273A">
        <w:rPr>
          <w:rFonts w:eastAsia="Calibri"/>
        </w:rPr>
        <w:t xml:space="preserve">ul de </w:t>
      </w:r>
      <w:proofErr w:type="spellStart"/>
      <w:r w:rsidRPr="006B273A">
        <w:rPr>
          <w:rFonts w:eastAsia="Calibri"/>
        </w:rPr>
        <w:t>şedinţă</w:t>
      </w:r>
      <w:proofErr w:type="spellEnd"/>
      <w:r w:rsidRPr="006B273A">
        <w:rPr>
          <w:rFonts w:eastAsia="Calibri"/>
        </w:rPr>
        <w:t>, după care:</w:t>
      </w:r>
    </w:p>
    <w:p w:rsidR="00894390" w:rsidRDefault="00894390" w:rsidP="00894390">
      <w:pPr>
        <w:ind w:firstLine="1416"/>
        <w:jc w:val="both"/>
      </w:pPr>
      <w:r>
        <w:t xml:space="preserve">Nemaifiind alte cereri de formulat, Curtea constată încheiată cercetarea judecătorească </w:t>
      </w:r>
      <w:proofErr w:type="spellStart"/>
      <w:r>
        <w:t>şi</w:t>
      </w:r>
      <w:proofErr w:type="spellEnd"/>
      <w:r>
        <w:t xml:space="preserve"> acordă cuvântul asupra recursului.</w:t>
      </w:r>
    </w:p>
    <w:p w:rsidR="00894390" w:rsidRDefault="00894390" w:rsidP="00894390">
      <w:pPr>
        <w:ind w:firstLine="1416"/>
        <w:jc w:val="both"/>
      </w:pPr>
      <w:r>
        <w:t xml:space="preserve">Reprezentantul recurentului-reclamant depune la dosarul cauzei concluzii scrise </w:t>
      </w:r>
      <w:proofErr w:type="spellStart"/>
      <w:r>
        <w:t>şi</w:t>
      </w:r>
      <w:proofErr w:type="spellEnd"/>
      <w:r>
        <w:t xml:space="preserve"> având cuvântul asupra recursului, solicită admiterea acestuia, modificarea în tot a </w:t>
      </w:r>
      <w:proofErr w:type="spellStart"/>
      <w:r>
        <w:t>sentinţei</w:t>
      </w:r>
      <w:proofErr w:type="spellEnd"/>
      <w:r>
        <w:t xml:space="preserve"> atacate în sensul admiterii </w:t>
      </w:r>
      <w:proofErr w:type="spellStart"/>
      <w:r>
        <w:t>contestaţiei</w:t>
      </w:r>
      <w:proofErr w:type="spellEnd"/>
      <w:r>
        <w:t xml:space="preserve">. </w:t>
      </w:r>
      <w:proofErr w:type="spellStart"/>
      <w:r>
        <w:t>Susţine</w:t>
      </w:r>
      <w:proofErr w:type="spellEnd"/>
      <w:r>
        <w:t xml:space="preserve"> că după dizolvarea unei </w:t>
      </w:r>
      <w:proofErr w:type="spellStart"/>
      <w:r>
        <w:t>societăţi</w:t>
      </w:r>
      <w:proofErr w:type="spellEnd"/>
      <w:r>
        <w:t xml:space="preserve">, </w:t>
      </w:r>
      <w:proofErr w:type="spellStart"/>
      <w:r>
        <w:t>acţionarii</w:t>
      </w:r>
      <w:proofErr w:type="spellEnd"/>
      <w:r>
        <w:t xml:space="preserve"> pot solicita restituirea taxei de înmatriculare achitate pentru un autoturism, ca </w:t>
      </w:r>
      <w:proofErr w:type="spellStart"/>
      <w:r>
        <w:t>şi</w:t>
      </w:r>
      <w:proofErr w:type="spellEnd"/>
      <w:r>
        <w:t xml:space="preserve"> în </w:t>
      </w:r>
      <w:proofErr w:type="spellStart"/>
      <w:r>
        <w:t>situaţia</w:t>
      </w:r>
      <w:proofErr w:type="spellEnd"/>
      <w:r>
        <w:t xml:space="preserve"> </w:t>
      </w:r>
      <w:proofErr w:type="spellStart"/>
      <w:r>
        <w:t>moştenitorilor</w:t>
      </w:r>
      <w:proofErr w:type="spellEnd"/>
      <w:r>
        <w:t xml:space="preserve"> unei persoane fizice. Mai arată că, în motivarea primei </w:t>
      </w:r>
      <w:proofErr w:type="spellStart"/>
      <w:r>
        <w:t>instanţe</w:t>
      </w:r>
      <w:proofErr w:type="spellEnd"/>
      <w:r>
        <w:t xml:space="preserve"> s-a </w:t>
      </w:r>
      <w:proofErr w:type="spellStart"/>
      <w:r>
        <w:t>reţinut</w:t>
      </w:r>
      <w:proofErr w:type="spellEnd"/>
      <w:r>
        <w:t xml:space="preserve"> că nu există o hotărâre AGA anterioară dizolvării </w:t>
      </w:r>
      <w:proofErr w:type="spellStart"/>
      <w:r>
        <w:t>şi</w:t>
      </w:r>
      <w:proofErr w:type="spellEnd"/>
      <w:r>
        <w:t xml:space="preserve"> radierii </w:t>
      </w:r>
      <w:proofErr w:type="spellStart"/>
      <w:r>
        <w:t>societăţii</w:t>
      </w:r>
      <w:proofErr w:type="spellEnd"/>
      <w:r>
        <w:t xml:space="preserve"> prin care </w:t>
      </w:r>
      <w:proofErr w:type="spellStart"/>
      <w:r>
        <w:t>acţionarii</w:t>
      </w:r>
      <w:proofErr w:type="spellEnd"/>
      <w:r>
        <w:t xml:space="preserve"> să fi dispus pentru viitor, însă acest lucru nu s-ar fi putut realiza anterior.</w:t>
      </w:r>
    </w:p>
    <w:p w:rsidR="00894390" w:rsidRDefault="00894390" w:rsidP="00894390">
      <w:pPr>
        <w:ind w:firstLine="1416"/>
        <w:jc w:val="both"/>
      </w:pPr>
      <w:r>
        <w:t xml:space="preserve">În concluzie, solicită admiterea recursului; fără cheltuieli de judecată. Precizează că recurentul-reclamant este dispus la plata taxei datorate, </w:t>
      </w:r>
      <w:proofErr w:type="spellStart"/>
      <w:r>
        <w:t>aşa</w:t>
      </w:r>
      <w:proofErr w:type="spellEnd"/>
      <w:r>
        <w:t xml:space="preserve"> cum a </w:t>
      </w:r>
      <w:proofErr w:type="spellStart"/>
      <w:r>
        <w:t>menţionat</w:t>
      </w:r>
      <w:proofErr w:type="spellEnd"/>
      <w:r>
        <w:t xml:space="preserve"> </w:t>
      </w:r>
      <w:proofErr w:type="spellStart"/>
      <w:r>
        <w:t>şi</w:t>
      </w:r>
      <w:proofErr w:type="spellEnd"/>
      <w:r>
        <w:t xml:space="preserve"> în cererea formulată către intimata-pârâtă.</w:t>
      </w:r>
    </w:p>
    <w:p w:rsidR="00894390" w:rsidRDefault="00894390" w:rsidP="00894390">
      <w:pPr>
        <w:ind w:firstLine="1416"/>
        <w:jc w:val="both"/>
      </w:pPr>
      <w:r>
        <w:t xml:space="preserve">Curtea declară închise dezbaterile </w:t>
      </w:r>
      <w:proofErr w:type="spellStart"/>
      <w:r>
        <w:t>şi</w:t>
      </w:r>
      <w:proofErr w:type="spellEnd"/>
      <w:r>
        <w:t xml:space="preserve"> </w:t>
      </w:r>
      <w:proofErr w:type="spellStart"/>
      <w:r>
        <w:t>reţine</w:t>
      </w:r>
      <w:proofErr w:type="spellEnd"/>
      <w:r>
        <w:t xml:space="preserve"> cauza pentru </w:t>
      </w:r>
      <w:proofErr w:type="spellStart"/>
      <w:r>
        <w:t>soluţionarea</w:t>
      </w:r>
      <w:proofErr w:type="spellEnd"/>
      <w:r>
        <w:t xml:space="preserve"> recursului.</w:t>
      </w:r>
    </w:p>
    <w:p w:rsidR="00894390" w:rsidRPr="00A87B7E" w:rsidRDefault="00894390" w:rsidP="00894390">
      <w:pPr>
        <w:jc w:val="both"/>
      </w:pPr>
    </w:p>
    <w:p w:rsidR="00894390" w:rsidRDefault="00894390" w:rsidP="00894390">
      <w:pPr>
        <w:jc w:val="center"/>
        <w:rPr>
          <w:b/>
        </w:rPr>
      </w:pPr>
      <w:r w:rsidRPr="00A87B7E">
        <w:rPr>
          <w:b/>
        </w:rPr>
        <w:t>C U R T E A</w:t>
      </w:r>
    </w:p>
    <w:p w:rsidR="00894390" w:rsidRDefault="00894390" w:rsidP="00894390">
      <w:pPr>
        <w:rPr>
          <w:b/>
        </w:rPr>
      </w:pPr>
    </w:p>
    <w:p w:rsidR="00894390" w:rsidRPr="002510FB" w:rsidRDefault="00894390" w:rsidP="00894390">
      <w:pPr>
        <w:ind w:firstLine="1418"/>
        <w:jc w:val="both"/>
        <w:rPr>
          <w:b/>
        </w:rPr>
      </w:pPr>
      <w:r w:rsidRPr="002510FB">
        <w:rPr>
          <w:b/>
        </w:rPr>
        <w:t xml:space="preserve">Asupra recursului de </w:t>
      </w:r>
      <w:proofErr w:type="spellStart"/>
      <w:r w:rsidRPr="002510FB">
        <w:rPr>
          <w:b/>
        </w:rPr>
        <w:t>faţă</w:t>
      </w:r>
      <w:proofErr w:type="spellEnd"/>
      <w:r w:rsidRPr="002510FB">
        <w:rPr>
          <w:b/>
        </w:rPr>
        <w:t>, constată următoarele:</w:t>
      </w:r>
    </w:p>
    <w:p w:rsidR="00894390" w:rsidRDefault="00894390" w:rsidP="00894390">
      <w:pPr>
        <w:ind w:firstLine="1418"/>
        <w:jc w:val="both"/>
      </w:pPr>
      <w:r w:rsidRPr="005648FF">
        <w:t xml:space="preserve">Prin cererea înregistrată la Tribunalul </w:t>
      </w:r>
      <w:r w:rsidR="003A0D34">
        <w:t>…</w:t>
      </w:r>
      <w:r w:rsidRPr="005648FF">
        <w:t xml:space="preserve"> la data de 17 septembrie 2019, formulată de reclamantul </w:t>
      </w:r>
      <w:r w:rsidR="008242C6">
        <w:t>X</w:t>
      </w:r>
      <w:r w:rsidRPr="005648FF">
        <w:t xml:space="preserve"> în contradictoriu cu pârâta </w:t>
      </w:r>
      <w:proofErr w:type="spellStart"/>
      <w:r w:rsidRPr="005648FF">
        <w:t>Agenţia</w:t>
      </w:r>
      <w:proofErr w:type="spellEnd"/>
      <w:r w:rsidRPr="005648FF">
        <w:t xml:space="preserve"> </w:t>
      </w:r>
      <w:proofErr w:type="spellStart"/>
      <w:r w:rsidRPr="005648FF">
        <w:t>Naţională</w:t>
      </w:r>
      <w:proofErr w:type="spellEnd"/>
      <w:r w:rsidRPr="005648FF">
        <w:t xml:space="preserve"> de Administrare Fiscală - </w:t>
      </w:r>
      <w:proofErr w:type="spellStart"/>
      <w:r w:rsidRPr="005648FF">
        <w:t>Direcţia</w:t>
      </w:r>
      <w:proofErr w:type="spellEnd"/>
      <w:r w:rsidRPr="005648FF">
        <w:t xml:space="preserve"> Generală Regională a </w:t>
      </w:r>
      <w:proofErr w:type="spellStart"/>
      <w:r w:rsidRPr="005648FF">
        <w:t>Finanţelor</w:t>
      </w:r>
      <w:proofErr w:type="spellEnd"/>
      <w:r w:rsidRPr="005648FF">
        <w:t xml:space="preserve"> Publice </w:t>
      </w:r>
      <w:r w:rsidR="008242C6">
        <w:t>C</w:t>
      </w:r>
      <w:r w:rsidRPr="005648FF">
        <w:t xml:space="preserve">, reprezentată </w:t>
      </w:r>
      <w:r>
        <w:t xml:space="preserve">de </w:t>
      </w:r>
      <w:proofErr w:type="spellStart"/>
      <w:r w:rsidRPr="005648FF">
        <w:t>Administraţia</w:t>
      </w:r>
      <w:proofErr w:type="spellEnd"/>
      <w:r w:rsidRPr="005648FF">
        <w:t xml:space="preserve"> </w:t>
      </w:r>
      <w:proofErr w:type="spellStart"/>
      <w:r w:rsidRPr="005648FF">
        <w:t>Judeţeană</w:t>
      </w:r>
      <w:proofErr w:type="spellEnd"/>
      <w:r w:rsidRPr="005648FF">
        <w:t xml:space="preserve"> a  </w:t>
      </w:r>
      <w:proofErr w:type="spellStart"/>
      <w:r w:rsidRPr="005648FF">
        <w:t>Finanţelor</w:t>
      </w:r>
      <w:proofErr w:type="spellEnd"/>
      <w:r w:rsidRPr="005648FF">
        <w:t xml:space="preserve"> Publice </w:t>
      </w:r>
      <w:r w:rsidR="008242C6">
        <w:t>V</w:t>
      </w:r>
      <w:r w:rsidRPr="005648FF">
        <w:t xml:space="preserve">, a solicitat ca prin hotărârea ce se va </w:t>
      </w:r>
      <w:proofErr w:type="spellStart"/>
      <w:r w:rsidRPr="005648FF">
        <w:t>pronunţa</w:t>
      </w:r>
      <w:proofErr w:type="spellEnd"/>
      <w:r w:rsidRPr="005648FF">
        <w:t xml:space="preserve">, să se dispună anularea Deciziei nr. </w:t>
      </w:r>
      <w:r w:rsidR="008242C6">
        <w:t>D1</w:t>
      </w:r>
      <w:r w:rsidRPr="005648FF">
        <w:t xml:space="preserve"> din </w:t>
      </w:r>
      <w:r w:rsidR="00712819">
        <w:t>..</w:t>
      </w:r>
      <w:r w:rsidRPr="005648FF">
        <w:t xml:space="preserve">, de respingere a  </w:t>
      </w:r>
      <w:proofErr w:type="spellStart"/>
      <w:r w:rsidRPr="005648FF">
        <w:t>contestaţiei</w:t>
      </w:r>
      <w:proofErr w:type="spellEnd"/>
      <w:r w:rsidRPr="005648FF">
        <w:t xml:space="preserve">, </w:t>
      </w:r>
      <w:proofErr w:type="spellStart"/>
      <w:r w:rsidRPr="005648FF">
        <w:t>şi</w:t>
      </w:r>
      <w:proofErr w:type="spellEnd"/>
      <w:r w:rsidRPr="005648FF">
        <w:t xml:space="preserve"> a Deciziei nr.</w:t>
      </w:r>
      <w:r w:rsidR="008242C6">
        <w:t>D2</w:t>
      </w:r>
      <w:r w:rsidRPr="005648FF">
        <w:t>, cu obligarea pârâtei la restituirea sumelor reprezentând taxa speciala pentru autoturisme si autovehicule, taxa de poluare pentru autovehicule, taxa pentru emisii poluant</w:t>
      </w:r>
      <w:r>
        <w:t xml:space="preserve">e provenite de la autovehicule </w:t>
      </w:r>
      <w:proofErr w:type="spellStart"/>
      <w:r>
        <w:t>ş</w:t>
      </w:r>
      <w:r w:rsidRPr="005648FF">
        <w:t>i</w:t>
      </w:r>
      <w:proofErr w:type="spellEnd"/>
      <w:r w:rsidRPr="005648FF">
        <w:t xml:space="preserve"> timbrul de mediu pentru autovehicule, solicitate conform cereri</w:t>
      </w:r>
      <w:r>
        <w:t>i</w:t>
      </w:r>
      <w:r w:rsidRPr="005648FF">
        <w:t xml:space="preserve"> cu numărul </w:t>
      </w:r>
      <w:r w:rsidR="008242C6">
        <w:t>….</w:t>
      </w:r>
      <w:r w:rsidRPr="005648FF">
        <w:t>/31.08.2018.</w:t>
      </w:r>
    </w:p>
    <w:p w:rsidR="00894390" w:rsidRDefault="00894390" w:rsidP="00894390">
      <w:pPr>
        <w:ind w:firstLine="1418"/>
        <w:jc w:val="both"/>
      </w:pPr>
      <w:r>
        <w:rPr>
          <w:b/>
        </w:rPr>
        <w:t>P</w:t>
      </w:r>
      <w:r w:rsidRPr="005648FF">
        <w:rPr>
          <w:b/>
        </w:rPr>
        <w:t xml:space="preserve">rin </w:t>
      </w:r>
      <w:proofErr w:type="spellStart"/>
      <w:r w:rsidRPr="005648FF">
        <w:rPr>
          <w:b/>
        </w:rPr>
        <w:t>sentinţa</w:t>
      </w:r>
      <w:proofErr w:type="spellEnd"/>
      <w:r w:rsidRPr="005648FF">
        <w:rPr>
          <w:b/>
        </w:rPr>
        <w:t xml:space="preserve"> nr.</w:t>
      </w:r>
      <w:r w:rsidR="008242C6">
        <w:rPr>
          <w:b/>
        </w:rPr>
        <w:t xml:space="preserve"> S1</w:t>
      </w:r>
      <w:r>
        <w:rPr>
          <w:b/>
        </w:rPr>
        <w:t>, în dosarul nr.</w:t>
      </w:r>
      <w:r w:rsidR="008242C6">
        <w:rPr>
          <w:b/>
        </w:rPr>
        <w:t>DS1</w:t>
      </w:r>
      <w:r w:rsidRPr="005648FF">
        <w:rPr>
          <w:b/>
        </w:rPr>
        <w:t xml:space="preserve">, Tribunalul </w:t>
      </w:r>
      <w:r w:rsidR="00CC6560">
        <w:rPr>
          <w:b/>
        </w:rPr>
        <w:t>..</w:t>
      </w:r>
      <w:bookmarkStart w:id="3" w:name="_GoBack"/>
      <w:bookmarkEnd w:id="3"/>
      <w:r>
        <w:rPr>
          <w:b/>
        </w:rPr>
        <w:t xml:space="preserve"> </w:t>
      </w:r>
      <w:r>
        <w:t xml:space="preserve">a respins cererea formulată de reclamantul </w:t>
      </w:r>
      <w:r w:rsidR="008242C6">
        <w:t>X</w:t>
      </w:r>
      <w:r>
        <w:t>, ca neîntemeiată.</w:t>
      </w:r>
    </w:p>
    <w:p w:rsidR="00894390" w:rsidRPr="004816C2" w:rsidRDefault="00894390" w:rsidP="00894390">
      <w:pPr>
        <w:ind w:firstLine="1418"/>
        <w:jc w:val="both"/>
      </w:pPr>
      <w:r w:rsidRPr="003F5137">
        <w:t xml:space="preserve">Pentru a hotărî astfel, tribunalul a </w:t>
      </w:r>
      <w:proofErr w:type="spellStart"/>
      <w:r w:rsidRPr="003F5137">
        <w:t>reţinut</w:t>
      </w:r>
      <w:proofErr w:type="spellEnd"/>
      <w:r w:rsidRPr="003F5137">
        <w:t xml:space="preserve"> că</w:t>
      </w:r>
      <w:r>
        <w:rPr>
          <w:b/>
        </w:rPr>
        <w:t xml:space="preserve"> </w:t>
      </w:r>
      <w:r w:rsidRPr="004816C2">
        <w:t xml:space="preserve">dreptul la restituirea taxei speciale achitate de contribuabili s-a născut la data intrării în vigoare a OUG nr. 52/2017, în cazul concret al taxei plătite de </w:t>
      </w:r>
      <w:r w:rsidR="008242C6">
        <w:t>TG</w:t>
      </w:r>
      <w:r w:rsidRPr="004816C2">
        <w:t xml:space="preserve"> SRL nu se poate reține că s-ar fi născut vreun drept la restituire în patrimoniul acestei </w:t>
      </w:r>
      <w:r w:rsidRPr="004816C2">
        <w:lastRenderedPageBreak/>
        <w:t xml:space="preserve">societăți, din moment ce ea fusese radiată din anul 2014, iar la momentul intrării în vigoare a OUG nr. 52/2017 nu mai exista ca subiect de drept. De asemenea, un eventual drept la restituire nu se putea naște direct în patrimoniul reclamantului ca fost asociat al </w:t>
      </w:r>
      <w:r w:rsidR="008242C6">
        <w:t>TG</w:t>
      </w:r>
      <w:r w:rsidRPr="004816C2">
        <w:t xml:space="preserve"> SRL, lipsind vreun temei legal în acest sens.</w:t>
      </w:r>
    </w:p>
    <w:p w:rsidR="00894390" w:rsidRPr="004816C2" w:rsidRDefault="00894390" w:rsidP="00894390">
      <w:pPr>
        <w:ind w:firstLine="1418"/>
        <w:jc w:val="both"/>
      </w:pPr>
      <w:r w:rsidRPr="004816C2">
        <w:t xml:space="preserve">Tribunalul </w:t>
      </w:r>
      <w:r>
        <w:t xml:space="preserve">a </w:t>
      </w:r>
      <w:r w:rsidRPr="004816C2">
        <w:t>mai obser</w:t>
      </w:r>
      <w:r>
        <w:t>vat</w:t>
      </w:r>
      <w:r w:rsidRPr="004816C2">
        <w:t xml:space="preserve"> că OUG nr. 52/2017 nu reglementează în niciun fel posibilitatea restituirii taxelor de poluare achitate de societăți care nu mai există, prin urmare în privința unei asemenea eventuale posibilități ar trebui să se aplice dispozițiile fiscale comune. În acest sens, art. 168 alin. 11 din Legea nr. 207/2015 prevede că </w:t>
      </w:r>
      <w:r w:rsidRPr="004816C2">
        <w:rPr>
          <w:i/>
        </w:rPr>
        <w:t xml:space="preserve">„În cazul în care după decesul persoanei fizice sau încetarea persoanei juridice se stabilesc sume de restituit sau de rambursat </w:t>
      </w:r>
      <w:r w:rsidRPr="004816C2">
        <w:rPr>
          <w:b/>
          <w:i/>
        </w:rPr>
        <w:t xml:space="preserve">prin hotărâri </w:t>
      </w:r>
      <w:proofErr w:type="spellStart"/>
      <w:r w:rsidRPr="004816C2">
        <w:rPr>
          <w:b/>
          <w:i/>
        </w:rPr>
        <w:t>judecătoreşti</w:t>
      </w:r>
      <w:proofErr w:type="spellEnd"/>
      <w:r w:rsidRPr="004816C2">
        <w:rPr>
          <w:b/>
          <w:i/>
        </w:rPr>
        <w:t xml:space="preserve"> definitive</w:t>
      </w:r>
      <w:r w:rsidRPr="004816C2">
        <w:rPr>
          <w:i/>
        </w:rPr>
        <w:t xml:space="preserve">, aceste sume se restituie sau se rambursează numai dacă există succesori ori </w:t>
      </w:r>
      <w:proofErr w:type="spellStart"/>
      <w:r w:rsidRPr="004816C2">
        <w:rPr>
          <w:i/>
        </w:rPr>
        <w:t>alţi</w:t>
      </w:r>
      <w:proofErr w:type="spellEnd"/>
      <w:r w:rsidRPr="004816C2">
        <w:rPr>
          <w:i/>
        </w:rPr>
        <w:t xml:space="preserve"> titulari care au dobândit drepturile de rambursare sau de restituire în </w:t>
      </w:r>
      <w:proofErr w:type="spellStart"/>
      <w:r w:rsidRPr="004816C2">
        <w:rPr>
          <w:i/>
        </w:rPr>
        <w:t>condiţiile</w:t>
      </w:r>
      <w:proofErr w:type="spellEnd"/>
      <w:r w:rsidRPr="004816C2">
        <w:rPr>
          <w:i/>
        </w:rPr>
        <w:t xml:space="preserve"> legii”</w:t>
      </w:r>
      <w:r w:rsidRPr="004816C2">
        <w:t>.</w:t>
      </w:r>
    </w:p>
    <w:p w:rsidR="00894390" w:rsidRPr="004816C2" w:rsidRDefault="00894390" w:rsidP="00894390">
      <w:pPr>
        <w:ind w:firstLine="1418"/>
        <w:jc w:val="both"/>
      </w:pPr>
      <w:r>
        <w:t>S-a apreciat că, î</w:t>
      </w:r>
      <w:r w:rsidRPr="004816C2">
        <w:t xml:space="preserve">n speță, nu </w:t>
      </w:r>
      <w:r>
        <w:t xml:space="preserve">este vorba despre </w:t>
      </w:r>
      <w:r w:rsidRPr="004816C2">
        <w:t xml:space="preserve">sume stabilite a fi restituite prin hotărâri judecătorești, iar la momentul dizolvării și lichidării </w:t>
      </w:r>
      <w:r w:rsidR="008242C6">
        <w:t>TG</w:t>
      </w:r>
      <w:r w:rsidRPr="004816C2">
        <w:t xml:space="preserve"> SRL asociații acesteia nu au hotărât nimic în privința bunurilor sau drepturilor existente în patrimoniul societății, deoarece astfel de bunuri sau drepturi nu existau.</w:t>
      </w:r>
    </w:p>
    <w:p w:rsidR="00894390" w:rsidRPr="004816C2" w:rsidRDefault="00894390" w:rsidP="00894390">
      <w:pPr>
        <w:ind w:firstLine="1418"/>
        <w:jc w:val="both"/>
      </w:pPr>
      <w:r w:rsidRPr="004816C2">
        <w:t xml:space="preserve">Față de cele de mai sus, tribunalul </w:t>
      </w:r>
      <w:r>
        <w:t xml:space="preserve">a </w:t>
      </w:r>
      <w:r w:rsidRPr="004816C2">
        <w:t>concluzion</w:t>
      </w:r>
      <w:r>
        <w:t>at</w:t>
      </w:r>
      <w:r w:rsidRPr="004816C2">
        <w:t xml:space="preserve"> că nu există niciun temei legal pentru a se dispune restituirea către reclamant a taxei speciale achitate de societatea radiată la care acesta a fost asociat, astfel că </w:t>
      </w:r>
      <w:r>
        <w:t>a dispus</w:t>
      </w:r>
      <w:r w:rsidRPr="004816C2">
        <w:t xml:space="preserve"> respingerea acțiunii</w:t>
      </w:r>
      <w:r>
        <w:t>,</w:t>
      </w:r>
      <w:r w:rsidRPr="004816C2">
        <w:t xml:space="preserve"> ca neîntemeiată.</w:t>
      </w:r>
    </w:p>
    <w:p w:rsidR="00894390" w:rsidRPr="00810ED7" w:rsidRDefault="00894390" w:rsidP="00894390">
      <w:pPr>
        <w:ind w:firstLine="1418"/>
        <w:jc w:val="both"/>
        <w:rPr>
          <w:b/>
        </w:rPr>
      </w:pPr>
      <w:r w:rsidRPr="00810ED7">
        <w:rPr>
          <w:b/>
        </w:rPr>
        <w:t xml:space="preserve">Împotriva acestei </w:t>
      </w:r>
      <w:proofErr w:type="spellStart"/>
      <w:r w:rsidRPr="00810ED7">
        <w:rPr>
          <w:b/>
        </w:rPr>
        <w:t>sentinţe</w:t>
      </w:r>
      <w:proofErr w:type="spellEnd"/>
      <w:r w:rsidRPr="00810ED7">
        <w:rPr>
          <w:b/>
        </w:rPr>
        <w:t xml:space="preserve"> a formulat recurs recurentul, criticând-o pentru nelegalitate prin prisma </w:t>
      </w:r>
      <w:r>
        <w:rPr>
          <w:b/>
        </w:rPr>
        <w:t>următoarelor motive</w:t>
      </w:r>
      <w:r w:rsidRPr="00810ED7">
        <w:rPr>
          <w:b/>
        </w:rPr>
        <w:t xml:space="preserve"> de recurs încadrate în drept, din oficiu, în </w:t>
      </w:r>
      <w:proofErr w:type="spellStart"/>
      <w:r w:rsidRPr="00810ED7">
        <w:rPr>
          <w:b/>
        </w:rPr>
        <w:t>dispoziţiile</w:t>
      </w:r>
      <w:proofErr w:type="spellEnd"/>
      <w:r w:rsidRPr="00810ED7">
        <w:rPr>
          <w:b/>
        </w:rPr>
        <w:t xml:space="preserve"> art.488 al</w:t>
      </w:r>
      <w:r>
        <w:rPr>
          <w:b/>
        </w:rPr>
        <w:t>in.1 pct.8 Cod procedură civilă:</w:t>
      </w:r>
    </w:p>
    <w:p w:rsidR="00894390" w:rsidRDefault="00894390" w:rsidP="00894390">
      <w:pPr>
        <w:ind w:firstLine="1418"/>
        <w:jc w:val="both"/>
      </w:pPr>
      <w:r>
        <w:t xml:space="preserve">Dreptul de a solicita taxa s-a născut, potrivit </w:t>
      </w:r>
      <w:proofErr w:type="spellStart"/>
      <w:r>
        <w:t>dispoziţiilor</w:t>
      </w:r>
      <w:proofErr w:type="spellEnd"/>
      <w:r>
        <w:t xml:space="preserve"> OUG nr.52/2017, la data intrării în vigoare a acestui act normativ, astfel încât, la momentul lichidării </w:t>
      </w:r>
      <w:proofErr w:type="spellStart"/>
      <w:r>
        <w:t>societăţii</w:t>
      </w:r>
      <w:proofErr w:type="spellEnd"/>
      <w:r>
        <w:t>, aceasta nu putea dispune cu privire la drepturi nenăscute încă.</w:t>
      </w:r>
    </w:p>
    <w:p w:rsidR="00894390" w:rsidRDefault="00894390" w:rsidP="00894390">
      <w:pPr>
        <w:ind w:firstLine="1418"/>
        <w:jc w:val="both"/>
      </w:pPr>
      <w:r>
        <w:t xml:space="preserve">Apreciază recurentul că taxa respectivă a fost încasată fără drept de către intimată </w:t>
      </w:r>
      <w:proofErr w:type="spellStart"/>
      <w:r>
        <w:t>şi</w:t>
      </w:r>
      <w:proofErr w:type="spellEnd"/>
      <w:r>
        <w:t xml:space="preserve"> că, în mod similar cu dreptul </w:t>
      </w:r>
      <w:proofErr w:type="spellStart"/>
      <w:r>
        <w:t>moştenitorilor</w:t>
      </w:r>
      <w:proofErr w:type="spellEnd"/>
      <w:r>
        <w:t xml:space="preserve"> unei persoane fizice de a solicita această taxă </w:t>
      </w:r>
      <w:proofErr w:type="spellStart"/>
      <w:r>
        <w:t>şi</w:t>
      </w:r>
      <w:proofErr w:type="spellEnd"/>
      <w:r>
        <w:t xml:space="preserve"> </w:t>
      </w:r>
      <w:proofErr w:type="spellStart"/>
      <w:r>
        <w:t>asociaţilor</w:t>
      </w:r>
      <w:proofErr w:type="spellEnd"/>
      <w:r>
        <w:t xml:space="preserve"> </w:t>
      </w:r>
      <w:proofErr w:type="spellStart"/>
      <w:r>
        <w:t>societăţii</w:t>
      </w:r>
      <w:proofErr w:type="spellEnd"/>
      <w:r>
        <w:t xml:space="preserve"> trebuie să li se recunoască acest drept, după lichidarea </w:t>
      </w:r>
      <w:proofErr w:type="spellStart"/>
      <w:r>
        <w:t>societăţii</w:t>
      </w:r>
      <w:proofErr w:type="spellEnd"/>
      <w:r>
        <w:t xml:space="preserve">, </w:t>
      </w:r>
      <w:proofErr w:type="spellStart"/>
      <w:r>
        <w:t>aşa</w:t>
      </w:r>
      <w:proofErr w:type="spellEnd"/>
      <w:r>
        <w:t xml:space="preserve"> cum de altfel le revine </w:t>
      </w:r>
      <w:proofErr w:type="spellStart"/>
      <w:r>
        <w:t>şi</w:t>
      </w:r>
      <w:proofErr w:type="spellEnd"/>
      <w:r>
        <w:t xml:space="preserve"> </w:t>
      </w:r>
      <w:proofErr w:type="spellStart"/>
      <w:r>
        <w:t>obligaţia</w:t>
      </w:r>
      <w:proofErr w:type="spellEnd"/>
      <w:r>
        <w:t xml:space="preserve"> achitării eventualelor datorii descoperite ulterior.</w:t>
      </w:r>
    </w:p>
    <w:p w:rsidR="00894390" w:rsidRDefault="00894390" w:rsidP="00894390">
      <w:pPr>
        <w:ind w:firstLine="1418"/>
        <w:jc w:val="both"/>
      </w:pPr>
      <w:r>
        <w:t xml:space="preserve">Intimata DGRFP </w:t>
      </w:r>
      <w:r w:rsidR="008242C6">
        <w:t>C</w:t>
      </w:r>
      <w:r>
        <w:t xml:space="preserve"> a formulat întâmpinare, solicitând respingerea recursului ca nefondat, întrucât </w:t>
      </w:r>
      <w:proofErr w:type="spellStart"/>
      <w:r>
        <w:t>sentinţa</w:t>
      </w:r>
      <w:proofErr w:type="spellEnd"/>
      <w:r>
        <w:t xml:space="preserve"> </w:t>
      </w:r>
      <w:proofErr w:type="spellStart"/>
      <w:r>
        <w:t>instanţei</w:t>
      </w:r>
      <w:proofErr w:type="spellEnd"/>
      <w:r>
        <w:t xml:space="preserve"> de fond a fost </w:t>
      </w:r>
      <w:proofErr w:type="spellStart"/>
      <w:r>
        <w:t>pronunţată</w:t>
      </w:r>
      <w:proofErr w:type="spellEnd"/>
      <w:r>
        <w:t xml:space="preserve"> cu interpretarea corectă a legii, </w:t>
      </w:r>
      <w:proofErr w:type="spellStart"/>
      <w:r>
        <w:t>reţinându</w:t>
      </w:r>
      <w:proofErr w:type="spellEnd"/>
      <w:r>
        <w:t xml:space="preserve">-se în mod temeinic efectele radierii </w:t>
      </w:r>
      <w:proofErr w:type="spellStart"/>
      <w:r>
        <w:t>societăţii</w:t>
      </w:r>
      <w:proofErr w:type="spellEnd"/>
      <w:r>
        <w:t xml:space="preserve"> din registrul </w:t>
      </w:r>
      <w:proofErr w:type="spellStart"/>
      <w:r>
        <w:t>comerţului</w:t>
      </w:r>
      <w:proofErr w:type="spellEnd"/>
      <w:r>
        <w:t xml:space="preserve">, precum </w:t>
      </w:r>
      <w:proofErr w:type="spellStart"/>
      <w:r>
        <w:t>şi</w:t>
      </w:r>
      <w:proofErr w:type="spellEnd"/>
      <w:r>
        <w:t xml:space="preserve"> faptul că OUG nr.52/2017 nu reglementează posibilitatea restituirii taxelor de poluare către </w:t>
      </w:r>
      <w:proofErr w:type="spellStart"/>
      <w:r>
        <w:t>societăţi</w:t>
      </w:r>
      <w:proofErr w:type="spellEnd"/>
      <w:r>
        <w:t xml:space="preserve"> radiate.</w:t>
      </w:r>
    </w:p>
    <w:p w:rsidR="00894390" w:rsidRDefault="00894390" w:rsidP="00894390">
      <w:pPr>
        <w:ind w:firstLine="1418"/>
        <w:jc w:val="both"/>
        <w:rPr>
          <w:b/>
        </w:rPr>
      </w:pPr>
      <w:r w:rsidRPr="00810ED7">
        <w:rPr>
          <w:b/>
        </w:rPr>
        <w:t xml:space="preserve">Analizând </w:t>
      </w:r>
      <w:proofErr w:type="spellStart"/>
      <w:r w:rsidRPr="00810ED7">
        <w:rPr>
          <w:b/>
        </w:rPr>
        <w:t>sentinţa</w:t>
      </w:r>
      <w:proofErr w:type="spellEnd"/>
      <w:r w:rsidRPr="00810ED7">
        <w:rPr>
          <w:b/>
        </w:rPr>
        <w:t xml:space="preserve"> </w:t>
      </w:r>
      <w:proofErr w:type="spellStart"/>
      <w:r w:rsidRPr="00810ED7">
        <w:rPr>
          <w:b/>
        </w:rPr>
        <w:t>recurată</w:t>
      </w:r>
      <w:proofErr w:type="spellEnd"/>
      <w:r w:rsidRPr="00810ED7">
        <w:rPr>
          <w:b/>
        </w:rPr>
        <w:t xml:space="preserve"> prin prisma motivelor de recurs invocate, Curtea constată că recursul este nefondat, urmând a fi respins pentru următoarele considerente:</w:t>
      </w:r>
    </w:p>
    <w:p w:rsidR="00894390" w:rsidRDefault="00894390" w:rsidP="00894390">
      <w:pPr>
        <w:ind w:firstLine="1418"/>
        <w:jc w:val="both"/>
      </w:pPr>
      <w:r w:rsidRPr="00D54F0A">
        <w:t>Critica recurentului</w:t>
      </w:r>
      <w:r>
        <w:t xml:space="preserve"> vizează, în </w:t>
      </w:r>
      <w:proofErr w:type="spellStart"/>
      <w:r>
        <w:t>esenţă</w:t>
      </w:r>
      <w:proofErr w:type="spellEnd"/>
      <w:r>
        <w:t xml:space="preserve">, aspectul transmiterii dreptului de a solicita o taxă de poluare la care se pretinde că ar fi avut dreptul o societate radiată, după momentul radierii sale, către </w:t>
      </w:r>
      <w:proofErr w:type="spellStart"/>
      <w:r>
        <w:t>asociaţi</w:t>
      </w:r>
      <w:proofErr w:type="spellEnd"/>
      <w:r>
        <w:t>.</w:t>
      </w:r>
    </w:p>
    <w:p w:rsidR="00894390" w:rsidRDefault="00894390" w:rsidP="00894390">
      <w:pPr>
        <w:ind w:firstLine="1418"/>
        <w:jc w:val="both"/>
      </w:pPr>
      <w:r>
        <w:t xml:space="preserve">Sub acest aspect, Curtea </w:t>
      </w:r>
      <w:proofErr w:type="spellStart"/>
      <w:r>
        <w:t>reţine</w:t>
      </w:r>
      <w:proofErr w:type="spellEnd"/>
      <w:r>
        <w:t xml:space="preserve"> că, potrivit </w:t>
      </w:r>
      <w:proofErr w:type="spellStart"/>
      <w:r>
        <w:t>dispoziţiilor</w:t>
      </w:r>
      <w:proofErr w:type="spellEnd"/>
      <w:r>
        <w:t xml:space="preserve"> art. </w:t>
      </w:r>
      <w:r w:rsidRPr="00AC37DE">
        <w:rPr>
          <w:bCs/>
        </w:rPr>
        <w:t>251</w:t>
      </w:r>
      <w:r>
        <w:rPr>
          <w:bCs/>
        </w:rPr>
        <w:t xml:space="preserve"> alin. </w:t>
      </w:r>
      <w:r w:rsidRPr="00AC37DE">
        <w:t>(1) </w:t>
      </w:r>
      <w:r>
        <w:t>din Legea nr. 31/1990 „</w:t>
      </w:r>
      <w:r w:rsidRPr="00AC37DE">
        <w:t>Persoanele juridice supuse înregistrării încetează la data radierii din registrele în care au fost înscrise.</w:t>
      </w:r>
      <w:r>
        <w:t>”</w:t>
      </w:r>
    </w:p>
    <w:p w:rsidR="00894390" w:rsidRDefault="00894390" w:rsidP="00894390">
      <w:pPr>
        <w:ind w:firstLine="1418"/>
        <w:jc w:val="both"/>
      </w:pPr>
      <w:r>
        <w:t xml:space="preserve">În cauză, societatea </w:t>
      </w:r>
      <w:r w:rsidR="008242C6">
        <w:t>TG</w:t>
      </w:r>
      <w:r>
        <w:t xml:space="preserve"> SRL a fost radiată în cursul anului 2014, personalitatea sa juridică încetând la acel moment.</w:t>
      </w:r>
    </w:p>
    <w:p w:rsidR="00894390" w:rsidRDefault="00894390" w:rsidP="00894390">
      <w:pPr>
        <w:ind w:firstLine="1418"/>
        <w:jc w:val="both"/>
      </w:pPr>
      <w:r>
        <w:t xml:space="preserve">Încetarea </w:t>
      </w:r>
      <w:proofErr w:type="spellStart"/>
      <w:r>
        <w:t>personalităţii</w:t>
      </w:r>
      <w:proofErr w:type="spellEnd"/>
      <w:r>
        <w:t xml:space="preserve"> juridice a </w:t>
      </w:r>
      <w:proofErr w:type="spellStart"/>
      <w:r>
        <w:t>societăţii</w:t>
      </w:r>
      <w:proofErr w:type="spellEnd"/>
      <w:r>
        <w:t xml:space="preserve"> atrage </w:t>
      </w:r>
      <w:proofErr w:type="spellStart"/>
      <w:r>
        <w:t>şi</w:t>
      </w:r>
      <w:proofErr w:type="spellEnd"/>
      <w:r>
        <w:t xml:space="preserve"> stingerea patrimoniului acesteia, art.</w:t>
      </w:r>
      <w:r w:rsidRPr="00AC37DE">
        <w:rPr>
          <w:bCs/>
        </w:rPr>
        <w:t xml:space="preserve"> 249</w:t>
      </w:r>
      <w:r>
        <w:rPr>
          <w:bCs/>
        </w:rPr>
        <w:t xml:space="preserve"> Cod civil reglementând </w:t>
      </w:r>
      <w:proofErr w:type="spellStart"/>
      <w:r>
        <w:rPr>
          <w:bCs/>
        </w:rPr>
        <w:t>d</w:t>
      </w:r>
      <w:r w:rsidRPr="00AC37DE">
        <w:rPr>
          <w:bCs/>
        </w:rPr>
        <w:t>estinaţia</w:t>
      </w:r>
      <w:proofErr w:type="spellEnd"/>
      <w:r w:rsidRPr="00AC37DE">
        <w:rPr>
          <w:bCs/>
        </w:rPr>
        <w:t xml:space="preserve"> bunurilor rămase după lichidare</w:t>
      </w:r>
      <w:r>
        <w:rPr>
          <w:bCs/>
        </w:rPr>
        <w:t>: „</w:t>
      </w:r>
      <w:r w:rsidRPr="00AC37DE">
        <w:t xml:space="preserve">(1) Oricare ar fi cauzele dizolvării, bunurile persoanei juridice rămase după lichidare vor primi </w:t>
      </w:r>
      <w:proofErr w:type="spellStart"/>
      <w:r w:rsidRPr="00AC37DE">
        <w:t>destinaţia</w:t>
      </w:r>
      <w:proofErr w:type="spellEnd"/>
      <w:r w:rsidRPr="00AC37DE">
        <w:t xml:space="preserve"> stabilită în actul de constituire sau statut ori </w:t>
      </w:r>
      <w:proofErr w:type="spellStart"/>
      <w:r w:rsidRPr="00AC37DE">
        <w:t>destinaţia</w:t>
      </w:r>
      <w:proofErr w:type="spellEnd"/>
      <w:r w:rsidRPr="00AC37DE">
        <w:t xml:space="preserve"> stabilită în hotărârea organului competent luată înainte de dizolvare.</w:t>
      </w:r>
      <w:r>
        <w:t xml:space="preserve"> (…) </w:t>
      </w:r>
      <w:r w:rsidRPr="00AC37DE">
        <w:t xml:space="preserve">(4) În toate cazurile, transmiterea dreptului de proprietate asupra bunurilor rămase după lichidare are loc la data preluării lor de către beneficiari, dacă prin lege nu se prevede altfel. Procesul-verbal de predare-primire </w:t>
      </w:r>
      <w:proofErr w:type="spellStart"/>
      <w:r w:rsidRPr="00AC37DE">
        <w:t>şi</w:t>
      </w:r>
      <w:proofErr w:type="spellEnd"/>
      <w:r w:rsidRPr="00AC37DE">
        <w:t xml:space="preserve"> hotărârea judecătorească rămasă definitivă, în cazurile prevăzute la alin. (2) ori (3), constituie titlu de proprietate sau, după caz, pot servi drept temei juridic pentru intabularea în cartea funciară. În cazul bunurilor imobile, </w:t>
      </w:r>
      <w:proofErr w:type="spellStart"/>
      <w:r w:rsidRPr="00AC37DE">
        <w:t>dispoziţiile</w:t>
      </w:r>
      <w:proofErr w:type="spellEnd"/>
      <w:r w:rsidRPr="00AC37DE">
        <w:t xml:space="preserve"> art. 1.244 </w:t>
      </w:r>
      <w:proofErr w:type="spellStart"/>
      <w:r w:rsidRPr="00AC37DE">
        <w:t>şi</w:t>
      </w:r>
      <w:proofErr w:type="spellEnd"/>
      <w:r w:rsidRPr="00AC37DE">
        <w:t xml:space="preserve"> cele în materie de carte funciară rămân aplicabile.</w:t>
      </w:r>
      <w:r>
        <w:t>”</w:t>
      </w:r>
    </w:p>
    <w:p w:rsidR="00894390" w:rsidRDefault="00894390" w:rsidP="00894390">
      <w:pPr>
        <w:ind w:firstLine="1418"/>
        <w:jc w:val="both"/>
      </w:pPr>
      <w:r>
        <w:t xml:space="preserve">Curtea </w:t>
      </w:r>
      <w:proofErr w:type="spellStart"/>
      <w:r>
        <w:t>reţine</w:t>
      </w:r>
      <w:proofErr w:type="spellEnd"/>
      <w:r>
        <w:t xml:space="preserve"> că dreptul de a solicita taxa de poluare nu s-a născut în patrimoniul </w:t>
      </w:r>
      <w:proofErr w:type="spellStart"/>
      <w:r>
        <w:t>societăţii</w:t>
      </w:r>
      <w:proofErr w:type="spellEnd"/>
      <w:r>
        <w:t xml:space="preserve"> înainte ca aceasta să fie radiată pentru ca acesta să poată fi transmis după lichidare </w:t>
      </w:r>
      <w:proofErr w:type="spellStart"/>
      <w:r>
        <w:t>asociaţilor</w:t>
      </w:r>
      <w:proofErr w:type="spellEnd"/>
      <w:r>
        <w:t xml:space="preserve"> săi prin hotărârea adunării generale a </w:t>
      </w:r>
      <w:proofErr w:type="spellStart"/>
      <w:r>
        <w:t>asociaţilor</w:t>
      </w:r>
      <w:proofErr w:type="spellEnd"/>
      <w:r>
        <w:t xml:space="preserve"> luată înainte de lichidare.</w:t>
      </w:r>
    </w:p>
    <w:p w:rsidR="00894390" w:rsidRDefault="00894390" w:rsidP="00894390">
      <w:pPr>
        <w:ind w:firstLine="1418"/>
        <w:jc w:val="both"/>
      </w:pPr>
      <w:r>
        <w:lastRenderedPageBreak/>
        <w:t xml:space="preserve">Or, după momentul lichidării către </w:t>
      </w:r>
      <w:proofErr w:type="spellStart"/>
      <w:r>
        <w:t>asociaţi</w:t>
      </w:r>
      <w:proofErr w:type="spellEnd"/>
      <w:r>
        <w:t xml:space="preserve"> se transmit numai acele drepturi care existau în patrimoniul </w:t>
      </w:r>
      <w:proofErr w:type="spellStart"/>
      <w:r>
        <w:t>societăţii</w:t>
      </w:r>
      <w:proofErr w:type="spellEnd"/>
      <w:r>
        <w:t xml:space="preserve"> anterior momentului lichidării. </w:t>
      </w:r>
    </w:p>
    <w:p w:rsidR="00894390" w:rsidRDefault="00894390" w:rsidP="00894390">
      <w:pPr>
        <w:ind w:firstLine="1418"/>
        <w:jc w:val="both"/>
      </w:pPr>
      <w:r>
        <w:t xml:space="preserve">Ulterior momentului radierii, personalitatea juridică a </w:t>
      </w:r>
      <w:proofErr w:type="spellStart"/>
      <w:r>
        <w:t>societăţii</w:t>
      </w:r>
      <w:proofErr w:type="spellEnd"/>
      <w:r>
        <w:t xml:space="preserve"> încetează </w:t>
      </w:r>
      <w:proofErr w:type="spellStart"/>
      <w:r>
        <w:t>şi</w:t>
      </w:r>
      <w:proofErr w:type="spellEnd"/>
      <w:r>
        <w:t xml:space="preserve"> odată cu aceasta </w:t>
      </w:r>
      <w:proofErr w:type="spellStart"/>
      <w:r>
        <w:t>şi</w:t>
      </w:r>
      <w:proofErr w:type="spellEnd"/>
      <w:r>
        <w:t xml:space="preserve"> patrimoniul său, în care nu se mai pot </w:t>
      </w:r>
      <w:proofErr w:type="spellStart"/>
      <w:r>
        <w:t>naşte</w:t>
      </w:r>
      <w:proofErr w:type="spellEnd"/>
      <w:r>
        <w:t xml:space="preserve"> ulterior drepturi care să fie transmise către </w:t>
      </w:r>
      <w:proofErr w:type="spellStart"/>
      <w:r>
        <w:t>asociaţi</w:t>
      </w:r>
      <w:proofErr w:type="spellEnd"/>
      <w:r>
        <w:t>.</w:t>
      </w:r>
    </w:p>
    <w:p w:rsidR="00894390" w:rsidRDefault="00894390" w:rsidP="00894390">
      <w:pPr>
        <w:ind w:firstLine="1418"/>
        <w:jc w:val="both"/>
      </w:pPr>
      <w:r>
        <w:t xml:space="preserve">Interpretarea dată de către recurent prin asimilare cu </w:t>
      </w:r>
      <w:proofErr w:type="spellStart"/>
      <w:r>
        <w:t>moştenitorii</w:t>
      </w:r>
      <w:proofErr w:type="spellEnd"/>
      <w:r>
        <w:t xml:space="preserve"> persoanei fizice este lipsită de </w:t>
      </w:r>
      <w:proofErr w:type="spellStart"/>
      <w:r>
        <w:t>relevanţă</w:t>
      </w:r>
      <w:proofErr w:type="spellEnd"/>
      <w:r>
        <w:t xml:space="preserve"> în cauză, întrucât efectele încetării </w:t>
      </w:r>
      <w:proofErr w:type="spellStart"/>
      <w:r>
        <w:t>capacităţii</w:t>
      </w:r>
      <w:proofErr w:type="spellEnd"/>
      <w:r>
        <w:t xml:space="preserve"> de </w:t>
      </w:r>
      <w:proofErr w:type="spellStart"/>
      <w:r>
        <w:t>folosinţă</w:t>
      </w:r>
      <w:proofErr w:type="spellEnd"/>
      <w:r>
        <w:t xml:space="preserve"> sunt diferite în cazul persoanelor fizice </w:t>
      </w:r>
      <w:proofErr w:type="spellStart"/>
      <w:r>
        <w:t>şi</w:t>
      </w:r>
      <w:proofErr w:type="spellEnd"/>
      <w:r>
        <w:t xml:space="preserve"> celor juridice, efectele încetării </w:t>
      </w:r>
      <w:proofErr w:type="spellStart"/>
      <w:r>
        <w:t>personalităţii</w:t>
      </w:r>
      <w:proofErr w:type="spellEnd"/>
      <w:r>
        <w:t xml:space="preserve"> juridice fiind reglementate expres prin reglementările speciale ale Legii nr.31/1990, care nu consacră un „drept de </w:t>
      </w:r>
      <w:proofErr w:type="spellStart"/>
      <w:r>
        <w:t>moştenire</w:t>
      </w:r>
      <w:proofErr w:type="spellEnd"/>
      <w:r>
        <w:t xml:space="preserve">” al </w:t>
      </w:r>
      <w:proofErr w:type="spellStart"/>
      <w:r>
        <w:t>asociaţilor</w:t>
      </w:r>
      <w:proofErr w:type="spellEnd"/>
      <w:r>
        <w:t xml:space="preserve"> </w:t>
      </w:r>
      <w:proofErr w:type="spellStart"/>
      <w:r>
        <w:t>faţă</w:t>
      </w:r>
      <w:proofErr w:type="spellEnd"/>
      <w:r>
        <w:t xml:space="preserve"> de drepturi nenăscute în patrimoniul </w:t>
      </w:r>
      <w:proofErr w:type="spellStart"/>
      <w:r>
        <w:t>societăţii</w:t>
      </w:r>
      <w:proofErr w:type="spellEnd"/>
      <w:r>
        <w:t xml:space="preserve"> la momentul radierii acesteia, dar care s-ar putea </w:t>
      </w:r>
      <w:proofErr w:type="spellStart"/>
      <w:r>
        <w:t>naşte</w:t>
      </w:r>
      <w:proofErr w:type="spellEnd"/>
      <w:r>
        <w:t xml:space="preserve"> ulterior. Astfel, </w:t>
      </w:r>
      <w:proofErr w:type="spellStart"/>
      <w:r>
        <w:t>faţă</w:t>
      </w:r>
      <w:proofErr w:type="spellEnd"/>
      <w:r>
        <w:t xml:space="preserve"> de </w:t>
      </w:r>
      <w:proofErr w:type="spellStart"/>
      <w:r>
        <w:t>asociaţi</w:t>
      </w:r>
      <w:proofErr w:type="spellEnd"/>
      <w:r>
        <w:t xml:space="preserve"> se transmit, în </w:t>
      </w:r>
      <w:proofErr w:type="spellStart"/>
      <w:r>
        <w:t>condiţiile</w:t>
      </w:r>
      <w:proofErr w:type="spellEnd"/>
      <w:r>
        <w:t xml:space="preserve"> hotărârii adunării </w:t>
      </w:r>
      <w:proofErr w:type="spellStart"/>
      <w:r>
        <w:t>asociaţilor</w:t>
      </w:r>
      <w:proofErr w:type="spellEnd"/>
      <w:r>
        <w:t xml:space="preserve"> referitoare la lichidarea </w:t>
      </w:r>
      <w:proofErr w:type="spellStart"/>
      <w:r>
        <w:t>societăţii</w:t>
      </w:r>
      <w:proofErr w:type="spellEnd"/>
      <w:r>
        <w:t xml:space="preserve">, bunurile aflate în patrimoniul </w:t>
      </w:r>
      <w:proofErr w:type="spellStart"/>
      <w:r>
        <w:t>societăţii</w:t>
      </w:r>
      <w:proofErr w:type="spellEnd"/>
      <w:r>
        <w:t xml:space="preserve"> la acel moment, după care ulterior radierii, nu se mai poate vorbi despre un patrimoniu al </w:t>
      </w:r>
      <w:proofErr w:type="spellStart"/>
      <w:r>
        <w:t>societăţii</w:t>
      </w:r>
      <w:proofErr w:type="spellEnd"/>
      <w:r>
        <w:t xml:space="preserve"> </w:t>
      </w:r>
      <w:proofErr w:type="spellStart"/>
      <w:r>
        <w:t>şi</w:t>
      </w:r>
      <w:proofErr w:type="spellEnd"/>
      <w:r>
        <w:t xml:space="preserve"> în </w:t>
      </w:r>
      <w:proofErr w:type="spellStart"/>
      <w:r>
        <w:t>consecinţă</w:t>
      </w:r>
      <w:proofErr w:type="spellEnd"/>
      <w:r>
        <w:t xml:space="preserve"> nici despre transmiterea unui bun către </w:t>
      </w:r>
      <w:proofErr w:type="spellStart"/>
      <w:r>
        <w:t>asociaţi</w:t>
      </w:r>
      <w:proofErr w:type="spellEnd"/>
      <w:r>
        <w:t xml:space="preserve"> din patrimoniul acesteia.</w:t>
      </w:r>
    </w:p>
    <w:p w:rsidR="00894390" w:rsidRDefault="00894390" w:rsidP="00894390">
      <w:pPr>
        <w:ind w:firstLine="1418"/>
        <w:jc w:val="both"/>
      </w:pPr>
      <w:r>
        <w:t xml:space="preserve">În ceea ce </w:t>
      </w:r>
      <w:proofErr w:type="spellStart"/>
      <w:r>
        <w:t>priveşte</w:t>
      </w:r>
      <w:proofErr w:type="spellEnd"/>
      <w:r>
        <w:t xml:space="preserve"> </w:t>
      </w:r>
      <w:proofErr w:type="spellStart"/>
      <w:r>
        <w:t>dispoziţiile</w:t>
      </w:r>
      <w:proofErr w:type="spellEnd"/>
      <w:r>
        <w:t xml:space="preserve"> OUG nr.52/2017, Curtea </w:t>
      </w:r>
      <w:proofErr w:type="spellStart"/>
      <w:r>
        <w:t>reţine</w:t>
      </w:r>
      <w:proofErr w:type="spellEnd"/>
      <w:r>
        <w:t xml:space="preserve"> că aceasta nu reglementează ipoteza recuperării taxei de poluare în numele unei </w:t>
      </w:r>
      <w:proofErr w:type="spellStart"/>
      <w:r>
        <w:t>societăţi</w:t>
      </w:r>
      <w:proofErr w:type="spellEnd"/>
      <w:r>
        <w:t xml:space="preserve"> radiate, astfel încât aplicabile devin </w:t>
      </w:r>
      <w:proofErr w:type="spellStart"/>
      <w:r>
        <w:t>dispoziţiile</w:t>
      </w:r>
      <w:proofErr w:type="spellEnd"/>
      <w:r>
        <w:t xml:space="preserve"> de drept comun referitoare la </w:t>
      </w:r>
      <w:proofErr w:type="spellStart"/>
      <w:r>
        <w:t>consecinţele</w:t>
      </w:r>
      <w:proofErr w:type="spellEnd"/>
      <w:r>
        <w:t xml:space="preserve"> lichidării </w:t>
      </w:r>
      <w:proofErr w:type="spellStart"/>
      <w:r>
        <w:t>şi</w:t>
      </w:r>
      <w:proofErr w:type="spellEnd"/>
      <w:r>
        <w:t xml:space="preserve"> radierii </w:t>
      </w:r>
      <w:proofErr w:type="spellStart"/>
      <w:r>
        <w:t>societăţii</w:t>
      </w:r>
      <w:proofErr w:type="spellEnd"/>
      <w:r>
        <w:t xml:space="preserve"> comerciale.</w:t>
      </w:r>
    </w:p>
    <w:p w:rsidR="00894390" w:rsidRDefault="00894390" w:rsidP="00894390">
      <w:pPr>
        <w:ind w:firstLine="1418"/>
        <w:jc w:val="both"/>
      </w:pPr>
      <w:r>
        <w:t xml:space="preserve">În </w:t>
      </w:r>
      <w:proofErr w:type="spellStart"/>
      <w:r>
        <w:t>consecinţă</w:t>
      </w:r>
      <w:proofErr w:type="spellEnd"/>
      <w:r>
        <w:t xml:space="preserve">, Curtea </w:t>
      </w:r>
      <w:proofErr w:type="spellStart"/>
      <w:r>
        <w:t>reţine</w:t>
      </w:r>
      <w:proofErr w:type="spellEnd"/>
      <w:r>
        <w:t xml:space="preserve"> că nu există un temei legal pentru transmiterea, după radierea </w:t>
      </w:r>
      <w:proofErr w:type="spellStart"/>
      <w:r>
        <w:t>societăţii</w:t>
      </w:r>
      <w:proofErr w:type="spellEnd"/>
      <w:r>
        <w:t xml:space="preserve">, în patrimoniul </w:t>
      </w:r>
      <w:proofErr w:type="spellStart"/>
      <w:r>
        <w:t>asociaţilor</w:t>
      </w:r>
      <w:proofErr w:type="spellEnd"/>
      <w:r>
        <w:t xml:space="preserve"> a dreptului de a solicita restituirea taxei de poluare pentru un autoturism </w:t>
      </w:r>
      <w:proofErr w:type="spellStart"/>
      <w:r>
        <w:t>achiziţionat</w:t>
      </w:r>
      <w:proofErr w:type="spellEnd"/>
      <w:r>
        <w:t xml:space="preserve"> de societate, societate deja radiată la momentul la care prin OUG nr.52/2017 s-a stabilit dreptul de restituire al acestei taxe.</w:t>
      </w:r>
    </w:p>
    <w:p w:rsidR="00894390" w:rsidRDefault="00894390" w:rsidP="00894390">
      <w:pPr>
        <w:ind w:firstLine="1418"/>
        <w:jc w:val="both"/>
        <w:rPr>
          <w:b/>
        </w:rPr>
      </w:pPr>
      <w:r>
        <w:t xml:space="preserve">Prin urmare, </w:t>
      </w:r>
      <w:proofErr w:type="spellStart"/>
      <w:r>
        <w:t>reţinând</w:t>
      </w:r>
      <w:proofErr w:type="spellEnd"/>
      <w:r>
        <w:t xml:space="preserve"> că motivele de recurs sunt nefondate, Curtea urmează să respingă recursul ca nefondat.</w:t>
      </w:r>
    </w:p>
    <w:p w:rsidR="00894390" w:rsidRDefault="00894390" w:rsidP="00894390">
      <w:pPr>
        <w:jc w:val="center"/>
        <w:rPr>
          <w:b/>
        </w:rPr>
      </w:pPr>
      <w:r>
        <w:rPr>
          <w:b/>
        </w:rPr>
        <w:t>PENTRU ACESTE MOTIVE</w:t>
      </w:r>
    </w:p>
    <w:p w:rsidR="00894390" w:rsidRDefault="00894390" w:rsidP="00894390">
      <w:pPr>
        <w:jc w:val="center"/>
        <w:rPr>
          <w:b/>
        </w:rPr>
      </w:pPr>
      <w:r>
        <w:rPr>
          <w:b/>
        </w:rPr>
        <w:t>ÎN NUMELE LEGII</w:t>
      </w:r>
    </w:p>
    <w:p w:rsidR="00894390" w:rsidRDefault="00894390" w:rsidP="00894390">
      <w:pPr>
        <w:jc w:val="center"/>
        <w:rPr>
          <w:b/>
        </w:rPr>
      </w:pPr>
      <w:r>
        <w:rPr>
          <w:b/>
        </w:rPr>
        <w:t>D E C I D E</w:t>
      </w:r>
    </w:p>
    <w:p w:rsidR="00894390" w:rsidRDefault="00894390" w:rsidP="00894390">
      <w:pPr>
        <w:rPr>
          <w:b/>
        </w:rPr>
      </w:pPr>
    </w:p>
    <w:p w:rsidR="00894390" w:rsidRPr="0085199C" w:rsidRDefault="00894390" w:rsidP="00894390">
      <w:pPr>
        <w:ind w:firstLine="1418"/>
        <w:jc w:val="both"/>
      </w:pPr>
      <w:r w:rsidRPr="00701402">
        <w:t xml:space="preserve">Respinge, ca nefondat, recursul formulat de reclamantul </w:t>
      </w:r>
      <w:r w:rsidR="008242C6">
        <w:rPr>
          <w:b/>
          <w:bCs/>
        </w:rPr>
        <w:t>X</w:t>
      </w:r>
      <w:r>
        <w:t>,</w:t>
      </w:r>
      <w:r w:rsidRPr="00701402">
        <w:t xml:space="preserve"> </w:t>
      </w:r>
      <w:r w:rsidR="008242C6">
        <w:t>CNP …</w:t>
      </w:r>
      <w:r>
        <w:t xml:space="preserve">, </w:t>
      </w:r>
      <w:r w:rsidRPr="00701402">
        <w:t xml:space="preserve">cu domiciliul în </w:t>
      </w:r>
      <w:r w:rsidR="008242C6">
        <w:t>R</w:t>
      </w:r>
      <w:r w:rsidRPr="00701402">
        <w:t xml:space="preserve">, </w:t>
      </w:r>
      <w:r w:rsidR="008242C6">
        <w:t>...</w:t>
      </w:r>
      <w:r w:rsidRPr="00701402">
        <w:t xml:space="preserve">, </w:t>
      </w:r>
      <w:proofErr w:type="spellStart"/>
      <w:r w:rsidRPr="00701402">
        <w:t>judeţul</w:t>
      </w:r>
      <w:proofErr w:type="spellEnd"/>
      <w:r w:rsidRPr="00701402">
        <w:t xml:space="preserve"> </w:t>
      </w:r>
      <w:r w:rsidR="008242C6">
        <w:t>V</w:t>
      </w:r>
      <w:r w:rsidRPr="00701402">
        <w:t xml:space="preserve">, împotriva </w:t>
      </w:r>
      <w:proofErr w:type="spellStart"/>
      <w:r w:rsidRPr="00701402">
        <w:t>sentinţei</w:t>
      </w:r>
      <w:proofErr w:type="spellEnd"/>
      <w:r w:rsidRPr="00701402">
        <w:t xml:space="preserve"> nr.</w:t>
      </w:r>
      <w:r w:rsidR="008242C6">
        <w:t>S1</w:t>
      </w:r>
      <w:r w:rsidRPr="00701402">
        <w:t xml:space="preserve">, </w:t>
      </w:r>
      <w:proofErr w:type="spellStart"/>
      <w:r w:rsidRPr="00701402">
        <w:t>pronunţată</w:t>
      </w:r>
      <w:proofErr w:type="spellEnd"/>
      <w:r w:rsidRPr="00701402">
        <w:t xml:space="preserve"> de Tribunalul </w:t>
      </w:r>
      <w:r w:rsidR="003A0D34">
        <w:t>…</w:t>
      </w:r>
      <w:r w:rsidRPr="00701402">
        <w:t xml:space="preserve"> – </w:t>
      </w:r>
      <w:proofErr w:type="spellStart"/>
      <w:r w:rsidRPr="00701402">
        <w:t>Secţia</w:t>
      </w:r>
      <w:proofErr w:type="spellEnd"/>
      <w:r w:rsidRPr="00701402">
        <w:t xml:space="preserve"> </w:t>
      </w:r>
      <w:r w:rsidR="008242C6">
        <w:t xml:space="preserve"> ...</w:t>
      </w:r>
      <w:r w:rsidRPr="00701402">
        <w:t xml:space="preserve">, în dosarul nr. </w:t>
      </w:r>
      <w:r w:rsidR="008242C6">
        <w:t>DS1</w:t>
      </w:r>
      <w:r w:rsidRPr="00701402">
        <w:t xml:space="preserve">, intimată fiind pârâta </w:t>
      </w:r>
      <w:proofErr w:type="spellStart"/>
      <w:r w:rsidRPr="00701402">
        <w:rPr>
          <w:bCs/>
        </w:rPr>
        <w:t>Agenţia</w:t>
      </w:r>
      <w:proofErr w:type="spellEnd"/>
      <w:r w:rsidRPr="00701402">
        <w:rPr>
          <w:bCs/>
        </w:rPr>
        <w:t xml:space="preserve"> </w:t>
      </w:r>
      <w:proofErr w:type="spellStart"/>
      <w:r w:rsidRPr="00701402">
        <w:rPr>
          <w:bCs/>
        </w:rPr>
        <w:t>Naţională</w:t>
      </w:r>
      <w:proofErr w:type="spellEnd"/>
      <w:r w:rsidRPr="00701402">
        <w:rPr>
          <w:bCs/>
        </w:rPr>
        <w:t xml:space="preserve"> de Administrare Fiscală - </w:t>
      </w:r>
      <w:proofErr w:type="spellStart"/>
      <w:r w:rsidRPr="00701402">
        <w:rPr>
          <w:bCs/>
        </w:rPr>
        <w:t>Direcţia</w:t>
      </w:r>
      <w:proofErr w:type="spellEnd"/>
      <w:r w:rsidRPr="00701402">
        <w:rPr>
          <w:bCs/>
        </w:rPr>
        <w:t xml:space="preserve"> Generală Regională a </w:t>
      </w:r>
      <w:proofErr w:type="spellStart"/>
      <w:r w:rsidRPr="00701402">
        <w:rPr>
          <w:bCs/>
        </w:rPr>
        <w:t>Finanţelor</w:t>
      </w:r>
      <w:proofErr w:type="spellEnd"/>
      <w:r w:rsidRPr="00701402">
        <w:rPr>
          <w:bCs/>
        </w:rPr>
        <w:t xml:space="preserve"> Publice </w:t>
      </w:r>
      <w:r w:rsidR="008242C6">
        <w:rPr>
          <w:bCs/>
        </w:rPr>
        <w:t>C</w:t>
      </w:r>
      <w:r w:rsidRPr="00701402">
        <w:rPr>
          <w:bCs/>
        </w:rPr>
        <w:t xml:space="preserve"> - </w:t>
      </w:r>
      <w:proofErr w:type="spellStart"/>
      <w:r w:rsidRPr="00701402">
        <w:rPr>
          <w:bCs/>
        </w:rPr>
        <w:t>Administraţia</w:t>
      </w:r>
      <w:proofErr w:type="spellEnd"/>
      <w:r w:rsidRPr="00701402">
        <w:rPr>
          <w:bCs/>
        </w:rPr>
        <w:t xml:space="preserve"> </w:t>
      </w:r>
      <w:proofErr w:type="spellStart"/>
      <w:r w:rsidRPr="00701402">
        <w:rPr>
          <w:bCs/>
        </w:rPr>
        <w:t>Judeţeană</w:t>
      </w:r>
      <w:proofErr w:type="spellEnd"/>
      <w:r w:rsidRPr="00701402">
        <w:rPr>
          <w:bCs/>
        </w:rPr>
        <w:t xml:space="preserve"> a </w:t>
      </w:r>
      <w:proofErr w:type="spellStart"/>
      <w:r w:rsidRPr="00701402">
        <w:rPr>
          <w:bCs/>
        </w:rPr>
        <w:t>Finanţelor</w:t>
      </w:r>
      <w:proofErr w:type="spellEnd"/>
      <w:r w:rsidRPr="00701402">
        <w:rPr>
          <w:bCs/>
        </w:rPr>
        <w:t xml:space="preserve"> Publice </w:t>
      </w:r>
      <w:r w:rsidR="003A0D34">
        <w:rPr>
          <w:bCs/>
        </w:rPr>
        <w:t>…</w:t>
      </w:r>
      <w:r w:rsidRPr="00701402">
        <w:t xml:space="preserve"> cu sediu</w:t>
      </w:r>
      <w:r w:rsidRPr="0085199C">
        <w:t xml:space="preserve"> în </w:t>
      </w:r>
      <w:r w:rsidR="008242C6">
        <w:t>R</w:t>
      </w:r>
      <w:r>
        <w:t>, s</w:t>
      </w:r>
      <w:r w:rsidRPr="0085199C">
        <w:t xml:space="preserve">tr. </w:t>
      </w:r>
      <w:r w:rsidR="008242C6">
        <w:t>…</w:t>
      </w:r>
      <w:r w:rsidRPr="0085199C">
        <w:t xml:space="preserve">, </w:t>
      </w:r>
      <w:proofErr w:type="spellStart"/>
      <w:r w:rsidRPr="0085199C">
        <w:t>judeţul</w:t>
      </w:r>
      <w:proofErr w:type="spellEnd"/>
      <w:r w:rsidRPr="0085199C">
        <w:t xml:space="preserve"> </w:t>
      </w:r>
      <w:r w:rsidR="008242C6">
        <w:t>V</w:t>
      </w:r>
      <w:r w:rsidRPr="0085199C">
        <w:t>.</w:t>
      </w:r>
    </w:p>
    <w:p w:rsidR="00894390" w:rsidRPr="00701402" w:rsidRDefault="00894390" w:rsidP="00894390">
      <w:pPr>
        <w:ind w:firstLine="1418"/>
        <w:jc w:val="both"/>
      </w:pPr>
      <w:r w:rsidRPr="00701402">
        <w:t>Definitivă.</w:t>
      </w:r>
    </w:p>
    <w:p w:rsidR="00894390" w:rsidRPr="00A87B7E" w:rsidRDefault="00894390" w:rsidP="00894390">
      <w:pPr>
        <w:ind w:firstLine="1418"/>
        <w:jc w:val="both"/>
        <w:rPr>
          <w:noProof/>
        </w:rPr>
      </w:pPr>
      <w:proofErr w:type="spellStart"/>
      <w:r>
        <w:t>Pronunţată</w:t>
      </w:r>
      <w:proofErr w:type="spellEnd"/>
      <w:r>
        <w:t xml:space="preserve"> în </w:t>
      </w:r>
      <w:proofErr w:type="spellStart"/>
      <w:r>
        <w:t>şedinţă</w:t>
      </w:r>
      <w:proofErr w:type="spellEnd"/>
      <w:r>
        <w:t xml:space="preserve"> publică</w:t>
      </w:r>
      <w:r w:rsidRPr="00A87B7E">
        <w:t xml:space="preserve"> astăzi</w:t>
      </w:r>
      <w:r>
        <w:t>,</w:t>
      </w:r>
      <w:r w:rsidRPr="00A87B7E">
        <w:t xml:space="preserve"> </w:t>
      </w:r>
      <w:r w:rsidR="008242C6">
        <w:t>…</w:t>
      </w:r>
      <w:r w:rsidRPr="00A87B7E">
        <w:t xml:space="preserve">, la </w:t>
      </w:r>
      <w:r w:rsidR="00E92716">
        <w:t>CURTEA DE APEL ...</w:t>
      </w:r>
      <w:r w:rsidRPr="00A87B7E">
        <w:t xml:space="preserve"> – </w:t>
      </w:r>
      <w:proofErr w:type="spellStart"/>
      <w:r>
        <w:t>Secţia</w:t>
      </w:r>
      <w:proofErr w:type="spellEnd"/>
      <w:r>
        <w:t xml:space="preserve"> </w:t>
      </w:r>
      <w:r w:rsidR="008242C6">
        <w:t xml:space="preserve"> ...</w:t>
      </w:r>
      <w:r>
        <w:t>.</w:t>
      </w:r>
      <w:r w:rsidRPr="00A87B7E">
        <w:fldChar w:fldCharType="begin">
          <w:ffData>
            <w:name w:val="completul_1"/>
            <w:enabled/>
            <w:calcOnExit w:val="0"/>
            <w:textInput/>
          </w:ffData>
        </w:fldChar>
      </w:r>
      <w:bookmarkStart w:id="4" w:name="completul_1"/>
      <w:r w:rsidRPr="00A87B7E">
        <w:instrText xml:space="preserve"> FORMTEXT </w:instrText>
      </w:r>
      <w:r w:rsidRPr="00A87B7E">
        <w:fldChar w:fldCharType="separat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4A0" w:firstRow="1" w:lastRow="0" w:firstColumn="1" w:lastColumn="0" w:noHBand="0" w:noVBand="1"/>
      </w:tblPr>
      <w:tblGrid>
        <w:gridCol w:w="3096"/>
        <w:gridCol w:w="3096"/>
        <w:gridCol w:w="3096"/>
      </w:tblGrid>
      <w:tr w:rsidR="00894390" w:rsidRPr="00A87B7E" w:rsidTr="00BC595F">
        <w:tc>
          <w:tcPr>
            <w:tcW w:w="3096" w:type="dxa"/>
            <w:tcBorders>
              <w:top w:val="single" w:sz="4" w:space="0" w:color="FFFFFF"/>
              <w:left w:val="single" w:sz="4" w:space="0" w:color="FFFFFF"/>
              <w:bottom w:val="single" w:sz="4" w:space="0" w:color="FFFFFF"/>
              <w:right w:val="single" w:sz="4" w:space="0" w:color="FFFFFF"/>
            </w:tcBorders>
          </w:tcPr>
          <w:p w:rsidR="00894390" w:rsidRDefault="00894390" w:rsidP="00BC595F">
            <w:pPr>
              <w:jc w:val="center"/>
              <w:rPr>
                <w:noProof/>
              </w:rPr>
            </w:pPr>
            <w:r>
              <w:rPr>
                <w:noProof/>
              </w:rPr>
              <w:t>Preşedinte,</w:t>
            </w:r>
          </w:p>
          <w:p w:rsidR="00894390" w:rsidRPr="00A87B7E" w:rsidRDefault="008242C6" w:rsidP="00BC595F">
            <w:pPr>
              <w:jc w:val="center"/>
              <w:rPr>
                <w:noProof/>
              </w:rPr>
            </w:pPr>
            <w:r>
              <w:rPr>
                <w:noProof/>
              </w:rPr>
              <w:t>COD A1038</w:t>
            </w:r>
          </w:p>
        </w:tc>
        <w:tc>
          <w:tcPr>
            <w:tcW w:w="3096" w:type="dxa"/>
            <w:tcBorders>
              <w:top w:val="single" w:sz="4" w:space="0" w:color="FFFFFF"/>
              <w:left w:val="single" w:sz="4" w:space="0" w:color="FFFFFF"/>
              <w:bottom w:val="single" w:sz="4" w:space="0" w:color="FFFFFF"/>
              <w:right w:val="single" w:sz="4" w:space="0" w:color="FFFFFF"/>
            </w:tcBorders>
          </w:tcPr>
          <w:p w:rsidR="00894390" w:rsidRDefault="00894390" w:rsidP="00BC595F">
            <w:pPr>
              <w:jc w:val="center"/>
              <w:rPr>
                <w:noProof/>
              </w:rPr>
            </w:pPr>
            <w:r>
              <w:rPr>
                <w:noProof/>
              </w:rPr>
              <w:t>Judecător,</w:t>
            </w:r>
          </w:p>
          <w:p w:rsidR="00894390" w:rsidRPr="00A87B7E" w:rsidRDefault="008242C6" w:rsidP="00BC595F">
            <w:pPr>
              <w:jc w:val="center"/>
              <w:rPr>
                <w:noProof/>
              </w:rPr>
            </w:pPr>
            <w:r>
              <w:rPr>
                <w:noProof/>
              </w:rPr>
              <w:t>1</w:t>
            </w:r>
          </w:p>
        </w:tc>
        <w:tc>
          <w:tcPr>
            <w:tcW w:w="3096" w:type="dxa"/>
            <w:tcBorders>
              <w:top w:val="single" w:sz="4" w:space="0" w:color="FFFFFF"/>
              <w:left w:val="single" w:sz="4" w:space="0" w:color="FFFFFF"/>
              <w:bottom w:val="single" w:sz="4" w:space="0" w:color="FFFFFF"/>
              <w:right w:val="single" w:sz="4" w:space="0" w:color="FFFFFF"/>
            </w:tcBorders>
          </w:tcPr>
          <w:p w:rsidR="00894390" w:rsidRDefault="00894390" w:rsidP="00BC595F">
            <w:pPr>
              <w:jc w:val="center"/>
              <w:rPr>
                <w:noProof/>
              </w:rPr>
            </w:pPr>
            <w:r>
              <w:rPr>
                <w:noProof/>
              </w:rPr>
              <w:t>Judecător,</w:t>
            </w:r>
          </w:p>
          <w:p w:rsidR="00894390" w:rsidRPr="00A87B7E" w:rsidRDefault="008242C6" w:rsidP="00BC595F">
            <w:pPr>
              <w:jc w:val="center"/>
              <w:rPr>
                <w:noProof/>
              </w:rPr>
            </w:pPr>
            <w:r>
              <w:rPr>
                <w:noProof/>
              </w:rPr>
              <w:t>2</w:t>
            </w:r>
          </w:p>
        </w:tc>
      </w:tr>
      <w:tr w:rsidR="00894390" w:rsidRPr="00A87B7E" w:rsidTr="00BC595F">
        <w:tc>
          <w:tcPr>
            <w:tcW w:w="3096" w:type="dxa"/>
            <w:tcBorders>
              <w:top w:val="single" w:sz="4" w:space="0" w:color="FFFFFF"/>
              <w:left w:val="single" w:sz="4" w:space="0" w:color="FFFFFF"/>
              <w:bottom w:val="single" w:sz="4" w:space="0" w:color="FFFFFF"/>
              <w:right w:val="single" w:sz="4" w:space="0" w:color="FFFFFF"/>
            </w:tcBorders>
          </w:tcPr>
          <w:p w:rsidR="00894390" w:rsidRPr="00A87B7E" w:rsidRDefault="00894390" w:rsidP="00BC595F">
            <w:pPr>
              <w:jc w:val="center"/>
              <w:rPr>
                <w:noProof/>
              </w:rPr>
            </w:pPr>
          </w:p>
        </w:tc>
        <w:tc>
          <w:tcPr>
            <w:tcW w:w="3096" w:type="dxa"/>
            <w:tcBorders>
              <w:top w:val="single" w:sz="4" w:space="0" w:color="FFFFFF"/>
              <w:left w:val="single" w:sz="4" w:space="0" w:color="FFFFFF"/>
              <w:bottom w:val="single" w:sz="4" w:space="0" w:color="FFFFFF"/>
              <w:right w:val="single" w:sz="4" w:space="0" w:color="FFFFFF"/>
            </w:tcBorders>
          </w:tcPr>
          <w:p w:rsidR="00894390" w:rsidRDefault="00894390" w:rsidP="00BC595F">
            <w:pPr>
              <w:jc w:val="center"/>
              <w:rPr>
                <w:noProof/>
              </w:rPr>
            </w:pPr>
            <w:r>
              <w:rPr>
                <w:noProof/>
              </w:rPr>
              <w:t>Grefier,</w:t>
            </w:r>
          </w:p>
          <w:p w:rsidR="00894390" w:rsidRPr="00A87B7E" w:rsidRDefault="008242C6" w:rsidP="00BC595F">
            <w:pPr>
              <w:jc w:val="center"/>
              <w:rPr>
                <w:noProof/>
              </w:rPr>
            </w:pPr>
            <w:r>
              <w:rPr>
                <w:noProof/>
              </w:rPr>
              <w:t>3</w:t>
            </w:r>
          </w:p>
        </w:tc>
        <w:tc>
          <w:tcPr>
            <w:tcW w:w="3096" w:type="dxa"/>
            <w:tcBorders>
              <w:top w:val="single" w:sz="4" w:space="0" w:color="FFFFFF"/>
              <w:left w:val="single" w:sz="4" w:space="0" w:color="FFFFFF"/>
              <w:bottom w:val="single" w:sz="4" w:space="0" w:color="FFFFFF"/>
              <w:right w:val="single" w:sz="4" w:space="0" w:color="FFFFFF"/>
            </w:tcBorders>
          </w:tcPr>
          <w:p w:rsidR="00894390" w:rsidRPr="00A87B7E" w:rsidRDefault="00894390" w:rsidP="00BC595F">
            <w:pPr>
              <w:jc w:val="center"/>
              <w:rPr>
                <w:noProof/>
              </w:rPr>
            </w:pPr>
          </w:p>
        </w:tc>
      </w:tr>
    </w:tbl>
    <w:p w:rsidR="00894390" w:rsidRPr="0085199C" w:rsidRDefault="00894390" w:rsidP="00894390">
      <w:pPr>
        <w:rPr>
          <w:sz w:val="16"/>
          <w:szCs w:val="16"/>
        </w:rPr>
      </w:pPr>
      <w:r w:rsidRPr="00A87B7E">
        <w:fldChar w:fldCharType="end"/>
      </w:r>
      <w:bookmarkEnd w:id="4"/>
      <w:r w:rsidRPr="0085199C">
        <w:rPr>
          <w:sz w:val="16"/>
          <w:szCs w:val="16"/>
        </w:rPr>
        <w:t xml:space="preserve">Red. </w:t>
      </w:r>
      <w:r w:rsidR="008242C6">
        <w:rPr>
          <w:sz w:val="16"/>
          <w:szCs w:val="16"/>
        </w:rPr>
        <w:t>…</w:t>
      </w:r>
      <w:r w:rsidRPr="0085199C">
        <w:rPr>
          <w:sz w:val="16"/>
          <w:szCs w:val="16"/>
        </w:rPr>
        <w:t>.</w:t>
      </w:r>
    </w:p>
    <w:p w:rsidR="00894390" w:rsidRPr="0085199C" w:rsidRDefault="003A0D34" w:rsidP="00894390">
      <w:pPr>
        <w:rPr>
          <w:sz w:val="16"/>
          <w:szCs w:val="16"/>
        </w:rPr>
      </w:pPr>
      <w:r>
        <w:rPr>
          <w:sz w:val="16"/>
          <w:szCs w:val="16"/>
        </w:rPr>
        <w:t>…..</w:t>
      </w:r>
      <w:r w:rsidR="00894390" w:rsidRPr="0085199C">
        <w:rPr>
          <w:sz w:val="16"/>
          <w:szCs w:val="16"/>
        </w:rPr>
        <w:t>/4 ex./</w:t>
      </w:r>
      <w:r w:rsidR="008242C6">
        <w:rPr>
          <w:sz w:val="16"/>
          <w:szCs w:val="16"/>
        </w:rPr>
        <w:t>…</w:t>
      </w:r>
    </w:p>
    <w:p w:rsidR="00894390" w:rsidRPr="0085199C" w:rsidRDefault="00894390" w:rsidP="00894390">
      <w:pPr>
        <w:rPr>
          <w:sz w:val="16"/>
          <w:szCs w:val="16"/>
        </w:rPr>
      </w:pPr>
      <w:proofErr w:type="spellStart"/>
      <w:r w:rsidRPr="0085199C">
        <w:rPr>
          <w:sz w:val="16"/>
          <w:szCs w:val="16"/>
        </w:rPr>
        <w:t>Jud.fond</w:t>
      </w:r>
      <w:proofErr w:type="spellEnd"/>
      <w:r w:rsidRPr="0085199C">
        <w:rPr>
          <w:sz w:val="16"/>
          <w:szCs w:val="16"/>
        </w:rPr>
        <w:t xml:space="preserve"> </w:t>
      </w:r>
      <w:r w:rsidR="008242C6">
        <w:rPr>
          <w:sz w:val="16"/>
          <w:szCs w:val="16"/>
        </w:rPr>
        <w:t>…</w:t>
      </w:r>
    </w:p>
    <w:p w:rsidR="00894390" w:rsidRPr="0085199C" w:rsidRDefault="00894390" w:rsidP="00894390">
      <w:pPr>
        <w:rPr>
          <w:sz w:val="16"/>
          <w:szCs w:val="16"/>
        </w:rPr>
      </w:pPr>
    </w:p>
    <w:p w:rsidR="00ED34B0" w:rsidRDefault="00ED34B0"/>
    <w:sectPr w:rsidR="00ED34B0" w:rsidSect="00752573">
      <w:headerReference w:type="default" r:id="rId6"/>
      <w:pgSz w:w="11906" w:h="16838" w:code="9"/>
      <w:pgMar w:top="851" w:right="567" w:bottom="567" w:left="1701" w:header="397"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1CB" w:rsidRDefault="00F331CB">
      <w:r>
        <w:separator/>
      </w:r>
    </w:p>
  </w:endnote>
  <w:endnote w:type="continuationSeparator" w:id="0">
    <w:p w:rsidR="00F331CB" w:rsidRDefault="00F33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1CB" w:rsidRDefault="00F331CB">
      <w:r>
        <w:separator/>
      </w:r>
    </w:p>
  </w:footnote>
  <w:footnote w:type="continuationSeparator" w:id="0">
    <w:p w:rsidR="00F331CB" w:rsidRDefault="00F331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40F" w:rsidRDefault="00894390">
    <w:pPr>
      <w:pStyle w:val="Header"/>
      <w:jc w:val="center"/>
    </w:pPr>
    <w:r>
      <w:fldChar w:fldCharType="begin"/>
    </w:r>
    <w:r>
      <w:instrText>PAGE   \* MERGEFORMAT</w:instrText>
    </w:r>
    <w:r>
      <w:fldChar w:fldCharType="separate"/>
    </w:r>
    <w:r w:rsidR="00CC6560">
      <w:rPr>
        <w:noProof/>
      </w:rPr>
      <w:t>3</w:t>
    </w:r>
    <w:r>
      <w:fldChar w:fldCharType="end"/>
    </w:r>
  </w:p>
  <w:p w:rsidR="008F440F" w:rsidRDefault="00F331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390"/>
    <w:rsid w:val="0030108B"/>
    <w:rsid w:val="003A0D34"/>
    <w:rsid w:val="00450FC7"/>
    <w:rsid w:val="00541003"/>
    <w:rsid w:val="006C57FB"/>
    <w:rsid w:val="006E1965"/>
    <w:rsid w:val="00712819"/>
    <w:rsid w:val="008242C6"/>
    <w:rsid w:val="00894390"/>
    <w:rsid w:val="008B4393"/>
    <w:rsid w:val="00C31863"/>
    <w:rsid w:val="00CC6560"/>
    <w:rsid w:val="00DB489C"/>
    <w:rsid w:val="00E21B1C"/>
    <w:rsid w:val="00E92716"/>
    <w:rsid w:val="00ED34B0"/>
    <w:rsid w:val="00F331C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A6CE63-96D5-4DE6-BE29-7C909B4E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4390"/>
    <w:pPr>
      <w:spacing w:after="0" w:line="240" w:lineRule="auto"/>
    </w:pPr>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94390"/>
    <w:pPr>
      <w:tabs>
        <w:tab w:val="center" w:pos="4536"/>
        <w:tab w:val="right" w:pos="9072"/>
      </w:tabs>
    </w:pPr>
  </w:style>
  <w:style w:type="character" w:customStyle="1" w:styleId="HeaderChar">
    <w:name w:val="Header Char"/>
    <w:basedOn w:val="DefaultParagraphFont"/>
    <w:link w:val="Header"/>
    <w:uiPriority w:val="99"/>
    <w:rsid w:val="00894390"/>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1600</Words>
  <Characters>9125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Preda</dc:creator>
  <cp:lastModifiedBy>Enrica, BADOIU</cp:lastModifiedBy>
  <cp:revision>10</cp:revision>
  <dcterms:created xsi:type="dcterms:W3CDTF">2020-11-09T06:26:00Z</dcterms:created>
  <dcterms:modified xsi:type="dcterms:W3CDTF">2020-11-25T13:03:00Z</dcterms:modified>
</cp:coreProperties>
</file>