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163" w:rsidRPr="006713C9" w:rsidRDefault="006713C9" w:rsidP="006713C9">
      <w:pPr>
        <w:pStyle w:val="Footer"/>
        <w:jc w:val="center"/>
        <w:rPr>
          <w:b/>
        </w:rPr>
      </w:pPr>
      <w:r w:rsidRPr="006713C9">
        <w:rPr>
          <w:b/>
        </w:rPr>
        <w:t>Hot. nr. 28</w:t>
      </w:r>
    </w:p>
    <w:p w:rsidR="006713C9" w:rsidRDefault="006713C9" w:rsidP="006713C9">
      <w:pPr>
        <w:pStyle w:val="Footer"/>
        <w:jc w:val="center"/>
      </w:pPr>
      <w:r w:rsidRPr="006713C9">
        <w:rPr>
          <w:b/>
        </w:rPr>
        <w:t>COD A 1036</w:t>
      </w:r>
    </w:p>
    <w:p w:rsidR="00B66163" w:rsidRDefault="00B66163" w:rsidP="00B66163">
      <w:r>
        <w:t xml:space="preserve">Dosar nr. </w:t>
      </w:r>
      <w:r w:rsidR="001E0861">
        <w:t>........</w:t>
      </w:r>
      <w:r>
        <w:t xml:space="preserve">                                           </w:t>
      </w:r>
      <w:r w:rsidR="006713C9">
        <w:t xml:space="preserve">            </w:t>
      </w:r>
      <w:bookmarkStart w:id="0" w:name="_GoBack"/>
      <w:bookmarkEnd w:id="0"/>
      <w:r>
        <w:t xml:space="preserve">  -  anulare act emis de autorităţile publice -  </w:t>
      </w:r>
    </w:p>
    <w:p w:rsidR="00B66163" w:rsidRDefault="00B66163" w:rsidP="00B66163">
      <w:pPr>
        <w:rPr>
          <w:b/>
        </w:rPr>
      </w:pPr>
    </w:p>
    <w:p w:rsidR="00B66163" w:rsidRDefault="00B66163" w:rsidP="00B66163">
      <w:pPr>
        <w:rPr>
          <w:b/>
        </w:rPr>
      </w:pPr>
    </w:p>
    <w:p w:rsidR="00B66163" w:rsidRDefault="00B66163" w:rsidP="00B66163"/>
    <w:p w:rsidR="00B66163" w:rsidRDefault="00B66163" w:rsidP="00B66163">
      <w:pPr>
        <w:jc w:val="center"/>
        <w:rPr>
          <w:b/>
        </w:rPr>
      </w:pPr>
      <w:r>
        <w:rPr>
          <w:b/>
        </w:rPr>
        <w:t xml:space="preserve">      R O M Â N I A</w:t>
      </w:r>
    </w:p>
    <w:p w:rsidR="00B66163" w:rsidRDefault="00B66163" w:rsidP="00B66163">
      <w:pPr>
        <w:jc w:val="center"/>
      </w:pPr>
      <w:r>
        <w:t xml:space="preserve">CURTEA DE APEL </w:t>
      </w:r>
      <w:r w:rsidR="001E0861">
        <w:t>.</w:t>
      </w:r>
    </w:p>
    <w:p w:rsidR="00B66163" w:rsidRDefault="00B66163" w:rsidP="00B66163">
      <w:pPr>
        <w:jc w:val="center"/>
      </w:pPr>
      <w:r>
        <w:t xml:space="preserve">SECŢIA  </w:t>
      </w:r>
      <w:r w:rsidR="001E0861">
        <w:t>.</w:t>
      </w:r>
    </w:p>
    <w:p w:rsidR="00B66163" w:rsidRDefault="00B66163" w:rsidP="00B66163">
      <w:pPr>
        <w:ind w:firstLine="708"/>
        <w:rPr>
          <w:b/>
          <w:color w:val="000000"/>
        </w:rPr>
      </w:pPr>
      <w:r>
        <w:rPr>
          <w:b/>
          <w:color w:val="000000"/>
        </w:rPr>
        <w:t xml:space="preserve">                                                D E C I Z I A  Nr. </w:t>
      </w:r>
      <w:r w:rsidR="001E0861">
        <w:rPr>
          <w:b/>
          <w:color w:val="000000"/>
        </w:rPr>
        <w:t>.</w:t>
      </w:r>
    </w:p>
    <w:p w:rsidR="00B66163" w:rsidRDefault="00B66163" w:rsidP="00B66163">
      <w:pPr>
        <w:jc w:val="center"/>
        <w:rPr>
          <w:color w:val="000000"/>
        </w:rPr>
      </w:pPr>
      <w:r>
        <w:t xml:space="preserve">        </w:t>
      </w:r>
      <w:r>
        <w:rPr>
          <w:color w:val="000000"/>
        </w:rPr>
        <w:t xml:space="preserve">Şedinţa publică din  </w:t>
      </w:r>
      <w:r w:rsidR="001E0861">
        <w:rPr>
          <w:color w:val="000000"/>
        </w:rPr>
        <w:t>.</w:t>
      </w:r>
    </w:p>
    <w:p w:rsidR="00B66163" w:rsidRDefault="00B66163" w:rsidP="00B66163">
      <w:pPr>
        <w:jc w:val="center"/>
        <w:rPr>
          <w:color w:val="000000"/>
        </w:rPr>
      </w:pPr>
      <w:r>
        <w:rPr>
          <w:color w:val="000000"/>
        </w:rPr>
        <w:t xml:space="preserve">     Preşedinte      </w:t>
      </w:r>
      <w:r w:rsidR="001E0861">
        <w:rPr>
          <w:color w:val="000000"/>
        </w:rPr>
        <w:t>.</w:t>
      </w:r>
    </w:p>
    <w:p w:rsidR="00B66163" w:rsidRDefault="00B66163" w:rsidP="00B66163">
      <w:pPr>
        <w:ind w:left="2124" w:firstLine="708"/>
        <w:rPr>
          <w:color w:val="000000"/>
        </w:rPr>
      </w:pPr>
      <w:r>
        <w:rPr>
          <w:color w:val="000000"/>
        </w:rPr>
        <w:t xml:space="preserve">       Judecător        </w:t>
      </w:r>
      <w:r w:rsidR="001E0861">
        <w:rPr>
          <w:color w:val="000000"/>
        </w:rPr>
        <w:t>.</w:t>
      </w:r>
      <w:r>
        <w:rPr>
          <w:color w:val="000000"/>
        </w:rPr>
        <w:t xml:space="preserve">         </w:t>
      </w:r>
    </w:p>
    <w:p w:rsidR="00B66163" w:rsidRDefault="00B66163" w:rsidP="00B66163">
      <w:pPr>
        <w:ind w:left="2124" w:firstLine="708"/>
        <w:rPr>
          <w:color w:val="000000"/>
        </w:rPr>
      </w:pPr>
      <w:r>
        <w:rPr>
          <w:color w:val="000000"/>
        </w:rPr>
        <w:t xml:space="preserve">       Judecător        </w:t>
      </w:r>
      <w:r w:rsidR="001E0861">
        <w:rPr>
          <w:color w:val="000000"/>
        </w:rPr>
        <w:t>COD A1036</w:t>
      </w:r>
    </w:p>
    <w:p w:rsidR="00B66163" w:rsidRDefault="00B66163" w:rsidP="00B66163">
      <w:pPr>
        <w:rPr>
          <w:rFonts w:ascii="Times" w:hAnsi="Times"/>
          <w:color w:val="000000"/>
          <w:sz w:val="32"/>
          <w:szCs w:val="32"/>
        </w:rPr>
      </w:pPr>
      <w:r>
        <w:rPr>
          <w:color w:val="000000"/>
        </w:rPr>
        <w:t xml:space="preserve">                                                      Grefier            </w:t>
      </w:r>
      <w:r w:rsidR="001E0861">
        <w:rPr>
          <w:color w:val="000000"/>
        </w:rPr>
        <w:t>..</w:t>
      </w:r>
      <w:r>
        <w:rPr>
          <w:color w:val="000000"/>
        </w:rPr>
        <w:t xml:space="preserve"> </w:t>
      </w:r>
    </w:p>
    <w:p w:rsidR="00B66163" w:rsidRDefault="00B66163" w:rsidP="00B66163">
      <w:pPr>
        <w:tabs>
          <w:tab w:val="left" w:pos="1080"/>
        </w:tabs>
      </w:pPr>
    </w:p>
    <w:p w:rsidR="00B66163" w:rsidRDefault="00B66163" w:rsidP="00B66163">
      <w:pPr>
        <w:tabs>
          <w:tab w:val="left" w:pos="720"/>
        </w:tabs>
        <w:ind w:firstLine="720"/>
        <w:jc w:val="both"/>
      </w:pPr>
      <w:r>
        <w:t xml:space="preserve">Pe rol, judecarea  recursului  formulat de  reclamanta </w:t>
      </w:r>
      <w:r w:rsidR="001E0861">
        <w:t xml:space="preserve">R </w:t>
      </w:r>
      <w:r>
        <w:t xml:space="preserve"> domiciliată în  </w:t>
      </w:r>
      <w:r w:rsidR="001E0861">
        <w:t>..</w:t>
      </w:r>
      <w:r>
        <w:t xml:space="preserve">municipiului B, str. </w:t>
      </w:r>
      <w:r w:rsidR="001E0861">
        <w:t>..</w:t>
      </w:r>
      <w:r>
        <w:t xml:space="preserve"> împotriva  sentinţei nr. </w:t>
      </w:r>
      <w:r w:rsidR="001E0861">
        <w:t>..</w:t>
      </w:r>
      <w:r>
        <w:t xml:space="preserve"> din </w:t>
      </w:r>
      <w:r w:rsidR="001E0861">
        <w:t>..</w:t>
      </w:r>
      <w:r>
        <w:t xml:space="preserve">, pronunţată de Tribunalul </w:t>
      </w:r>
      <w:r w:rsidR="001E0861">
        <w:t>..</w:t>
      </w:r>
      <w:r>
        <w:t xml:space="preserve"> în dosarul nr</w:t>
      </w:r>
      <w:r w:rsidR="001E0861">
        <w:t>..</w:t>
      </w:r>
      <w:r>
        <w:t xml:space="preserve">, intimat fiind  pârâtul Consiliul Local al Comunei </w:t>
      </w:r>
      <w:r w:rsidR="001E0861">
        <w:t xml:space="preserve">S </w:t>
      </w:r>
      <w:r>
        <w:t xml:space="preserve">  prin primar, cu sediul primăriei  în comuna </w:t>
      </w:r>
      <w:r w:rsidR="001E0861">
        <w:t xml:space="preserve">S </w:t>
      </w:r>
      <w:r>
        <w:t xml:space="preserve">, sat </w:t>
      </w:r>
      <w:r w:rsidR="001E0861">
        <w:t xml:space="preserve">S </w:t>
      </w:r>
      <w:r>
        <w:t xml:space="preserve">, </w:t>
      </w:r>
      <w:r w:rsidR="001E0861">
        <w:t>..</w:t>
      </w:r>
      <w:r>
        <w:t xml:space="preserve"> judeţul S</w:t>
      </w:r>
      <w:r w:rsidR="001E0861">
        <w:t>1</w:t>
      </w:r>
      <w:r>
        <w:t xml:space="preserve">.  </w:t>
      </w:r>
    </w:p>
    <w:p w:rsidR="00B66163" w:rsidRDefault="00B66163" w:rsidP="00B66163">
      <w:pPr>
        <w:tabs>
          <w:tab w:val="left" w:pos="720"/>
        </w:tabs>
        <w:ind w:firstLine="720"/>
        <w:jc w:val="both"/>
      </w:pPr>
      <w:r>
        <w:t xml:space="preserve">La apelul nominal, făcut în şedinţa publică, au răspuns  reclamanta – recurentă </w:t>
      </w:r>
      <w:r w:rsidR="001E0861">
        <w:t xml:space="preserve">R </w:t>
      </w:r>
      <w:r>
        <w:t xml:space="preserve"> şi apărătorul ales al acesteia – avocat </w:t>
      </w:r>
      <w:r w:rsidR="001E0861">
        <w:t>A</w:t>
      </w:r>
      <w:r>
        <w:t xml:space="preserve">, lipsă fiind  reprezentantul  pârât – intimatului Consiliul Local al Comunei </w:t>
      </w:r>
      <w:r w:rsidR="001E0861">
        <w:t xml:space="preserve">S </w:t>
      </w:r>
      <w:r>
        <w:t xml:space="preserve">.  </w:t>
      </w:r>
    </w:p>
    <w:p w:rsidR="00B66163" w:rsidRDefault="00B66163" w:rsidP="00B66163">
      <w:pPr>
        <w:tabs>
          <w:tab w:val="left" w:pos="720"/>
        </w:tabs>
        <w:ind w:firstLine="720"/>
        <w:jc w:val="both"/>
      </w:pPr>
      <w:r>
        <w:t>Procedura de citare este legal îndeplinită.</w:t>
      </w:r>
    </w:p>
    <w:p w:rsidR="00B66163" w:rsidRDefault="00B66163" w:rsidP="00B66163">
      <w:pPr>
        <w:tabs>
          <w:tab w:val="left" w:pos="1080"/>
        </w:tabs>
        <w:ind w:firstLine="720"/>
        <w:jc w:val="both"/>
      </w:pPr>
      <w:r>
        <w:t xml:space="preserve">S-a făcut referatul cauzei, grefierul de şedinţă învederând că   pârât – intimatul a răspuns solicitării instanţei  comunicate cu adresa emisă la 28 februarie 2018.  </w:t>
      </w:r>
    </w:p>
    <w:p w:rsidR="00B66163" w:rsidRDefault="00B66163" w:rsidP="00B66163">
      <w:pPr>
        <w:tabs>
          <w:tab w:val="left" w:pos="1080"/>
        </w:tabs>
        <w:ind w:firstLine="720"/>
        <w:jc w:val="both"/>
      </w:pPr>
      <w:r>
        <w:t xml:space="preserve">Întrebată fiind, apărătoarea recurentei a  precizat că  nu mai are cereri de formulat şi  chestiuni prealabile  de invocat. </w:t>
      </w:r>
    </w:p>
    <w:p w:rsidR="00B66163" w:rsidRDefault="00B66163" w:rsidP="00B66163">
      <w:pPr>
        <w:tabs>
          <w:tab w:val="left" w:pos="1080"/>
        </w:tabs>
        <w:ind w:firstLine="720"/>
        <w:jc w:val="both"/>
      </w:pPr>
      <w:r>
        <w:t xml:space="preserve">Instanţa, constatând recursul  legal timbrat  şi în stare  de judecată, a acordat cuvântul la dezbateri. </w:t>
      </w:r>
    </w:p>
    <w:p w:rsidR="00B66163" w:rsidRDefault="00B66163" w:rsidP="00B66163">
      <w:pPr>
        <w:tabs>
          <w:tab w:val="left" w:pos="1080"/>
        </w:tabs>
        <w:ind w:firstLine="720"/>
        <w:jc w:val="both"/>
      </w:pPr>
      <w:r>
        <w:t xml:space="preserve">Avocat </w:t>
      </w:r>
      <w:r w:rsidR="001E0861">
        <w:t xml:space="preserve">A </w:t>
      </w:r>
      <w:r>
        <w:t xml:space="preserve">, pentru reclamanta recurentă, a  solicitat admiterea recursului,  casarea hotărârii recurate şi, în rejudecarea  cauzei pe fond, admiterea acţiunii aşa  cum a fost  formulată. În  susţinere a  arătat  că din toate înscrisurile depuse la dosar, inclusiv cele prezentate pentru termenul de astăzi  de către Primăria </w:t>
      </w:r>
      <w:r w:rsidR="001E0861">
        <w:t xml:space="preserve">S </w:t>
      </w:r>
      <w:r>
        <w:t xml:space="preserve"> rezultă că terenul în discuţie este în intravilan; că partea pe care o reprezintă nu a ştiut de această modificare  şi a aflat doar în momentul în care  a solicitat adeverinţa din 2016 când  a  vrut să se intabuleze. A mai arătat că  în actele   depuse pentru termenul de astăzi, pârâtul  nu a explicat  în ce a constat eroarea materială despre care  vor ţine cont pe viitor la o nouă aprobare a PUG –ului.  A solicitat să fie avute în vedere toate titlurile de proprietate  şi hotărârile judecătoreşti în care  terenul în discuţie figurează  ca teren intravilan cât şi faptul  că impozitul  a fost calculat  şi  achitat ca pentru teren intravilan. A învederat faptul că  avizele obţinute – depuse pentru acest termen  - nu privesc  terenul proprietatea reclamantei, astfel încât  să existe motive pentru a schimba  destinaţia terenului printr-o hotărâre de consiliu  local. A solicitat obligarea pârâtului la plata  tuturor cheltuielilor de judecată şi a depus  decont (filele 65-78 dosar). </w:t>
      </w:r>
    </w:p>
    <w:p w:rsidR="00B66163" w:rsidRDefault="00B66163" w:rsidP="00B66163">
      <w:pPr>
        <w:tabs>
          <w:tab w:val="left" w:pos="1080"/>
        </w:tabs>
        <w:ind w:firstLine="720"/>
        <w:jc w:val="both"/>
      </w:pPr>
      <w:r>
        <w:t xml:space="preserve">Declarând dezbaterile închise, după deliberare, </w:t>
      </w:r>
    </w:p>
    <w:p w:rsidR="00B66163" w:rsidRDefault="00B66163" w:rsidP="00B66163">
      <w:pPr>
        <w:tabs>
          <w:tab w:val="left" w:pos="1080"/>
        </w:tabs>
        <w:ind w:firstLine="720"/>
        <w:jc w:val="both"/>
      </w:pPr>
    </w:p>
    <w:p w:rsidR="00B66163" w:rsidRDefault="00B66163" w:rsidP="00B66163">
      <w:pPr>
        <w:tabs>
          <w:tab w:val="left" w:pos="1080"/>
        </w:tabs>
        <w:ind w:firstLine="720"/>
        <w:jc w:val="center"/>
        <w:rPr>
          <w:b/>
        </w:rPr>
      </w:pPr>
      <w:r>
        <w:rPr>
          <w:b/>
        </w:rPr>
        <w:t xml:space="preserve">C U R T E A, </w:t>
      </w:r>
    </w:p>
    <w:p w:rsidR="00B66163" w:rsidRDefault="00B66163" w:rsidP="00B66163">
      <w:pPr>
        <w:tabs>
          <w:tab w:val="left" w:pos="1080"/>
        </w:tabs>
        <w:ind w:firstLine="720"/>
        <w:jc w:val="center"/>
        <w:rPr>
          <w:b/>
        </w:rPr>
      </w:pPr>
    </w:p>
    <w:p w:rsidR="00B66163" w:rsidRDefault="00B66163" w:rsidP="00B66163">
      <w:pPr>
        <w:tabs>
          <w:tab w:val="left" w:pos="1080"/>
        </w:tabs>
        <w:ind w:firstLine="720"/>
        <w:jc w:val="both"/>
      </w:pPr>
      <w:r>
        <w:t xml:space="preserve">Asupra cauzei de faţă, constată: </w:t>
      </w:r>
    </w:p>
    <w:p w:rsidR="00B66163" w:rsidRDefault="00B66163" w:rsidP="00B66163">
      <w:pPr>
        <w:ind w:firstLine="720"/>
        <w:jc w:val="both"/>
      </w:pPr>
      <w:r>
        <w:t xml:space="preserve">Prin cererea adresată Tribunalului </w:t>
      </w:r>
      <w:r w:rsidR="001E0861">
        <w:t>..</w:t>
      </w:r>
      <w:r>
        <w:t xml:space="preserve"> – Secţia </w:t>
      </w:r>
      <w:r w:rsidR="001E0861">
        <w:t>..</w:t>
      </w:r>
      <w:r>
        <w:t xml:space="preserve">  la data de 09.05.2017 şi înregistrată sub număr </w:t>
      </w:r>
      <w:r w:rsidR="001E0861">
        <w:t>..</w:t>
      </w:r>
      <w:r>
        <w:t xml:space="preserve">, reclamanta </w:t>
      </w:r>
      <w:r w:rsidR="001E0861">
        <w:t xml:space="preserve">R </w:t>
      </w:r>
      <w:r>
        <w:t xml:space="preserve"> în contradictoriu cu pârâtul Consiliul Local al Comunei </w:t>
      </w:r>
      <w:r w:rsidR="001E0861">
        <w:t xml:space="preserve">S </w:t>
      </w:r>
      <w:r>
        <w:rPr>
          <w:b/>
        </w:rPr>
        <w:t xml:space="preserve"> </w:t>
      </w:r>
      <w:r>
        <w:t xml:space="preserve">a solicitat  </w:t>
      </w:r>
      <w:r>
        <w:lastRenderedPageBreak/>
        <w:t xml:space="preserve">ca prin hotărârea ce se va pronunţa să se dispună obligarea Consiliului Local </w:t>
      </w:r>
      <w:r w:rsidR="001E0861">
        <w:t xml:space="preserve">S </w:t>
      </w:r>
      <w:r>
        <w:t xml:space="preserve"> să corecteze cu celeritate în PUG eroarea trecerii în extravilan a unei părţi din grădină situată în intravilan.</w:t>
      </w:r>
    </w:p>
    <w:p w:rsidR="00B66163" w:rsidRDefault="00B66163" w:rsidP="00B66163">
      <w:pPr>
        <w:ind w:firstLine="720"/>
        <w:jc w:val="both"/>
      </w:pPr>
      <w:r>
        <w:t xml:space="preserve">În susţinerea cererii, a arătat că prin aprobarea HCL nr. </w:t>
      </w:r>
      <w:r w:rsidR="001E0861">
        <w:t>.</w:t>
      </w:r>
      <w:r>
        <w:t xml:space="preserve">28.02.2014 privind Planul Urbanistic General şi al Regulamentului Local de Urbanism al Comunei </w:t>
      </w:r>
      <w:r w:rsidR="001E0861">
        <w:t xml:space="preserve">S </w:t>
      </w:r>
      <w:r>
        <w:t xml:space="preserve">, Consiliul Local al Comunei </w:t>
      </w:r>
      <w:r w:rsidR="001E0861">
        <w:t xml:space="preserve">S </w:t>
      </w:r>
      <w:r>
        <w:t xml:space="preserve"> a aprobat nelegal trecerea în extravilanul comunei </w:t>
      </w:r>
      <w:r w:rsidR="001E0861">
        <w:t xml:space="preserve">S </w:t>
      </w:r>
      <w:r>
        <w:t>, în tarlaua „</w:t>
      </w:r>
      <w:r w:rsidR="001E0861">
        <w:t xml:space="preserve">X </w:t>
      </w:r>
      <w:r>
        <w:t xml:space="preserve">”, teren înscris la poziţia B, „Suprafaţa primită în intravilan” în titlurile de proprietate </w:t>
      </w:r>
      <w:r w:rsidR="00250C37">
        <w:t>..</w:t>
      </w:r>
      <w:r>
        <w:t xml:space="preserve">/95 şi </w:t>
      </w:r>
      <w:r w:rsidR="00250C37">
        <w:t>..</w:t>
      </w:r>
      <w:r>
        <w:t>/06 emise de Comisia Judeţeană pentru stabilirea dreptului de proprietate.</w:t>
      </w:r>
    </w:p>
    <w:p w:rsidR="00B66163" w:rsidRDefault="00B66163" w:rsidP="00B66163">
      <w:pPr>
        <w:ind w:firstLine="720"/>
        <w:jc w:val="both"/>
      </w:pPr>
      <w:r>
        <w:rPr>
          <w:i/>
        </w:rPr>
        <w:t>La data de 12.09.2017, reclamanta a depus la dosarul cauzei o serie de precizări</w:t>
      </w:r>
      <w:r>
        <w:t xml:space="preserve">, prin care a arătat că obiectul acţiunii în constituie anularea HCL nr. </w:t>
      </w:r>
      <w:r w:rsidR="001E0861">
        <w:t>.</w:t>
      </w:r>
      <w:r>
        <w:t xml:space="preserve">/28.02.2014 prin care a trecut în PUG din intravilan în extravilan suprafaţa de 8841 mp din Titlul de proprietate </w:t>
      </w:r>
      <w:r w:rsidR="00250C37">
        <w:t>.</w:t>
      </w:r>
      <w:r>
        <w:t xml:space="preserve">/1995 cu suprafaţa totală de 10400 mp şi suprafaţa de 4457 mp din Titlul de proprietate </w:t>
      </w:r>
      <w:r w:rsidR="00250C37">
        <w:t>..</w:t>
      </w:r>
      <w:r>
        <w:t xml:space="preserve">/2006 cu suprafaţa totală de 5200 mp şi obligarea Consiliului Local </w:t>
      </w:r>
      <w:r w:rsidR="001E0861">
        <w:t xml:space="preserve">S </w:t>
      </w:r>
      <w:r>
        <w:t xml:space="preserve"> să corecteze în PUG eroarea trecerii din intravilan în extravilan.</w:t>
      </w:r>
    </w:p>
    <w:p w:rsidR="00B66163" w:rsidRDefault="00B66163" w:rsidP="00B66163">
      <w:pPr>
        <w:jc w:val="both"/>
        <w:rPr>
          <w:i/>
        </w:rPr>
      </w:pPr>
      <w:r>
        <w:tab/>
      </w:r>
      <w:r>
        <w:rPr>
          <w:i/>
        </w:rPr>
        <w:t>Legal citată, pârâta nu a formulat întâmpinare.</w:t>
      </w:r>
    </w:p>
    <w:p w:rsidR="00B66163" w:rsidRDefault="00B66163" w:rsidP="00B66163">
      <w:pPr>
        <w:ind w:firstLine="708"/>
        <w:jc w:val="both"/>
      </w:pPr>
      <w:r>
        <w:rPr>
          <w:i/>
        </w:rPr>
        <w:t>La termenul din 14.09.2017</w:t>
      </w:r>
      <w:r>
        <w:rPr>
          <w:b/>
        </w:rPr>
        <w:t xml:space="preserve"> </w:t>
      </w:r>
      <w:r>
        <w:t xml:space="preserve">instanţa a luat act de precizările obiectului acţiunii reclamantei pe care le-a comunicat şi pârâtului care prin adresa înaintată la dosarul cauzei odată cu documentaţia solicitată de către instanţă, pentru termenul de judecată din data de 05 octombrie </w:t>
      </w:r>
      <w:smartTag w:uri="urn:schemas-microsoft-com:office:smarttags" w:element="metricconverter">
        <w:smartTagPr>
          <w:attr w:name="ProductID" w:val="2017, a"/>
        </w:smartTagPr>
        <w:r>
          <w:t>2017, a</w:t>
        </w:r>
      </w:smartTag>
      <w:r>
        <w:t xml:space="preserve"> invocat excepţia tardivităţii formulării acţiunii reclamantei iar pe fond a  solicitat respingerea acţiunii ca nefondată, motivat de faptul că prin HCL </w:t>
      </w:r>
      <w:r w:rsidR="001E0861">
        <w:t>.</w:t>
      </w:r>
      <w:r>
        <w:t xml:space="preserve">/2014 s-a extins intravilanul localităţii cu suprafaţa totală de </w:t>
      </w:r>
      <w:smartTag w:uri="urn:schemas-microsoft-com:office:smarttags" w:element="metricconverter">
        <w:smartTagPr>
          <w:attr w:name="ProductID" w:val="123,37 ha"/>
        </w:smartTagPr>
        <w:r>
          <w:t>123,37 ha</w:t>
        </w:r>
      </w:smartTag>
      <w:r>
        <w:t xml:space="preserve"> şi nu s-a procedat la micşorarea suprafeţei de teren intravilan prin trecerea lui în extravilan.</w:t>
      </w:r>
    </w:p>
    <w:p w:rsidR="00B66163" w:rsidRDefault="00B66163" w:rsidP="00B66163">
      <w:pPr>
        <w:ind w:right="70" w:firstLine="720"/>
        <w:jc w:val="both"/>
      </w:pPr>
      <w:r>
        <w:t xml:space="preserve">Prin </w:t>
      </w:r>
      <w:r>
        <w:rPr>
          <w:u w:val="single"/>
        </w:rPr>
        <w:t xml:space="preserve">sentinţa nr. </w:t>
      </w:r>
      <w:r w:rsidR="001E0861">
        <w:rPr>
          <w:u w:val="single"/>
        </w:rPr>
        <w:t>.</w:t>
      </w:r>
      <w:r>
        <w:rPr>
          <w:u w:val="single"/>
        </w:rPr>
        <w:t xml:space="preserve"> din </w:t>
      </w:r>
      <w:r w:rsidR="001E0861">
        <w:rPr>
          <w:u w:val="single"/>
        </w:rPr>
        <w:t>.</w:t>
      </w:r>
      <w:r>
        <w:t xml:space="preserve">, Tribunalul </w:t>
      </w:r>
      <w:r w:rsidR="001E0861">
        <w:t>.</w:t>
      </w:r>
      <w:r>
        <w:t xml:space="preserve">– Secţia </w:t>
      </w:r>
      <w:r w:rsidR="001E0861">
        <w:t>.</w:t>
      </w:r>
      <w:r>
        <w:t xml:space="preserve"> a </w:t>
      </w:r>
      <w:r>
        <w:rPr>
          <w:bCs/>
        </w:rPr>
        <w:t xml:space="preserve">respins ca nefondată excepţia tardivităţii acţiunii reclamantei invocata de către </w:t>
      </w:r>
      <w:r>
        <w:t xml:space="preserve">pârâtul Consiliul Local al Comunei </w:t>
      </w:r>
      <w:r w:rsidR="001E0861">
        <w:t xml:space="preserve">S </w:t>
      </w:r>
      <w:r>
        <w:t xml:space="preserve">  prin primar şi a respins </w:t>
      </w:r>
      <w:r>
        <w:rPr>
          <w:bCs/>
        </w:rPr>
        <w:t xml:space="preserve">ca nefondată acţiunea precizată a reclamantei </w:t>
      </w:r>
      <w:r w:rsidR="001E0861">
        <w:t xml:space="preserve">R </w:t>
      </w:r>
      <w:r>
        <w:t xml:space="preserve"> în contradictoriu cu pârâtul Consiliul Local al Comunei </w:t>
      </w:r>
      <w:r w:rsidR="001E0861">
        <w:t xml:space="preserve">S </w:t>
      </w:r>
      <w:r>
        <w:t xml:space="preserve">  prin primar. </w:t>
      </w:r>
    </w:p>
    <w:p w:rsidR="00B66163" w:rsidRDefault="00B66163" w:rsidP="00B66163">
      <w:pPr>
        <w:ind w:right="70" w:firstLine="720"/>
        <w:jc w:val="both"/>
        <w:rPr>
          <w:i/>
        </w:rPr>
      </w:pPr>
      <w:r>
        <w:rPr>
          <w:i/>
        </w:rPr>
        <w:t xml:space="preserve">Împotriva acestei  sentinţe, pe care a criticat-o pentru nelegalitate şi netemeinicie, în termen legal a promovat recurs reclamanta </w:t>
      </w:r>
      <w:r w:rsidR="001E0861">
        <w:rPr>
          <w:i/>
        </w:rPr>
        <w:t xml:space="preserve">R </w:t>
      </w:r>
      <w:r>
        <w:rPr>
          <w:i/>
        </w:rPr>
        <w:t xml:space="preserve">. </w:t>
      </w:r>
    </w:p>
    <w:p w:rsidR="00B66163" w:rsidRDefault="00B66163" w:rsidP="00B66163">
      <w:pPr>
        <w:ind w:firstLine="720"/>
        <w:jc w:val="both"/>
      </w:pPr>
      <w:r>
        <w:t>În motivarea căii de atac promovate, recurenta a arătat că a aflat  despre PUG în data de 08.09.2016, din adeverinţa cu nr.</w:t>
      </w:r>
      <w:r w:rsidR="001E0861">
        <w:t>.</w:t>
      </w:r>
      <w:r>
        <w:t xml:space="preserve">/08.09.2016, solicitată de expert </w:t>
      </w:r>
      <w:r w:rsidR="001E0861">
        <w:t>E</w:t>
      </w:r>
      <w:r>
        <w:t>, fiind necesară pentru intabulare şi că prin această modificare a PUG-lui Primăria a prejudiciat-o  în dreptul său de proprietate.</w:t>
      </w:r>
    </w:p>
    <w:p w:rsidR="00B66163" w:rsidRDefault="00B66163" w:rsidP="00B66163">
      <w:pPr>
        <w:ind w:firstLine="720"/>
        <w:jc w:val="both"/>
      </w:pPr>
      <w:r>
        <w:t xml:space="preserve">A susţinut recurenta că actele cadastrale efectuate în 2014 nu corespund cu titlurile sale de proprietate şi nici cu sentinţele judecătoreşti care au stat la baza titlurilor, acesta fiind motivul şi interesul pentru care  a solicitat  anularea HCL nr. </w:t>
      </w:r>
      <w:r w:rsidR="001E0861">
        <w:t>.</w:t>
      </w:r>
      <w:r>
        <w:t>/2014 şi rectificarea PUG - uIui.</w:t>
      </w:r>
    </w:p>
    <w:p w:rsidR="00B66163" w:rsidRDefault="00B66163" w:rsidP="00B66163">
      <w:pPr>
        <w:ind w:firstLine="720"/>
        <w:jc w:val="both"/>
      </w:pPr>
      <w:r>
        <w:t xml:space="preserve"> A arătat că pentru anularea HCL nr. </w:t>
      </w:r>
      <w:r w:rsidR="001E0861">
        <w:t>.</w:t>
      </w:r>
      <w:r>
        <w:t xml:space="preserve"> din 28.02.2014, s-a adresat cu cereri şi memorii Consiliului Local, Instituţiei Prefectului şi Consiliului Judeţean </w:t>
      </w:r>
      <w:r w:rsidR="001E0861">
        <w:t>S1</w:t>
      </w:r>
      <w:r>
        <w:t xml:space="preserve"> însoţite de înscrisuri doveditoare, primind răspunsuri neconcludente de la acestea.</w:t>
      </w:r>
    </w:p>
    <w:p w:rsidR="00B66163" w:rsidRDefault="00B66163" w:rsidP="00B66163">
      <w:pPr>
        <w:ind w:firstLine="720"/>
        <w:jc w:val="both"/>
      </w:pPr>
      <w:r>
        <w:t>Prin Sentinţa recurată instanţa de judecată a reţinut şi a dat eficienţă doar înscrisurilor prezentate de pârâtă şi parţial celor prezentate de subsemnata.</w:t>
      </w:r>
    </w:p>
    <w:p w:rsidR="00B66163" w:rsidRDefault="00B66163" w:rsidP="00B66163">
      <w:pPr>
        <w:jc w:val="both"/>
      </w:pPr>
      <w:r>
        <w:t xml:space="preserve">Instanţa şi-a motivat respingerea acţiunii pe faptul că nu rezultă de nicăieri modificarea categoriei de folosinţă a terenului, din intravilan în extravilan, decât din adeverinţa </w:t>
      </w:r>
      <w:r w:rsidR="001E0861">
        <w:t>.</w:t>
      </w:r>
      <w:r>
        <w:t xml:space="preserve">/08.09.2016 emisă de Primărie şi că ar fi o eroare materială care nu este susţinută de alte înscrisuri, iar din HCL nr. </w:t>
      </w:r>
      <w:r w:rsidR="001E0861">
        <w:t>.</w:t>
      </w:r>
      <w:r>
        <w:t>/28.02.2014, în expunerea de motive privind aprobarea PUG - ului nu scrie nimic despre această modificare ilegală.</w:t>
      </w:r>
    </w:p>
    <w:p w:rsidR="00B66163" w:rsidRDefault="00B66163" w:rsidP="00B66163">
      <w:pPr>
        <w:tabs>
          <w:tab w:val="left" w:pos="720"/>
        </w:tabs>
        <w:ind w:firstLine="720"/>
        <w:jc w:val="both"/>
      </w:pPr>
      <w:r>
        <w:t xml:space="preserve"> A susţinut recurenta că instanţa  a ignorat răspunsul Primăriei </w:t>
      </w:r>
      <w:r w:rsidR="001E0861">
        <w:t xml:space="preserve">S </w:t>
      </w:r>
      <w:r>
        <w:t xml:space="preserve"> nr. </w:t>
      </w:r>
      <w:r w:rsidR="001E0861">
        <w:t>.</w:t>
      </w:r>
      <w:r>
        <w:t xml:space="preserve">/31.10.2016 la cererea  sa  nr. </w:t>
      </w:r>
      <w:r w:rsidR="001E0861">
        <w:t>.</w:t>
      </w:r>
      <w:r>
        <w:t xml:space="preserve">/27.10.2016 prin care i-a adus  la cunoştinţă că potrivit HCL nr. </w:t>
      </w:r>
      <w:r w:rsidR="001E0861">
        <w:t>.</w:t>
      </w:r>
      <w:r>
        <w:t xml:space="preserve">/28.02.2014 prin care a fost aprobată documentaţia PUG şi RLU a comunei </w:t>
      </w:r>
      <w:r w:rsidR="001E0861">
        <w:t xml:space="preserve">S </w:t>
      </w:r>
      <w:r>
        <w:t xml:space="preserve"> cu valabilitate de 10 ani, până la 28.02.2023, terenul</w:t>
      </w:r>
      <w:r>
        <w:rPr>
          <w:rStyle w:val="FontStyle37"/>
        </w:rPr>
        <w:t xml:space="preserve">  pe care îl  deţine reclamanta</w:t>
      </w:r>
      <w:r>
        <w:t xml:space="preserve"> în suprafaţă de </w:t>
      </w:r>
      <w:smartTag w:uri="urn:schemas-microsoft-com:office:smarttags" w:element="metricconverter">
        <w:smartTagPr>
          <w:attr w:name="ProductID" w:val="1,56 ha"/>
        </w:smartTagPr>
        <w:r>
          <w:t>1,56 ha</w:t>
        </w:r>
      </w:smartTag>
      <w:r>
        <w:t xml:space="preserve">, situat la locul numit </w:t>
      </w:r>
      <w:r w:rsidR="001E0861">
        <w:t>X</w:t>
      </w:r>
      <w:r>
        <w:t xml:space="preserve">, înscris în TP </w:t>
      </w:r>
      <w:r w:rsidR="001E0861">
        <w:t>.</w:t>
      </w:r>
      <w:r>
        <w:t xml:space="preserve"> din 02.10.1995 şi TP </w:t>
      </w:r>
      <w:r w:rsidR="001E0861">
        <w:t>.</w:t>
      </w:r>
      <w:r>
        <w:t xml:space="preserve"> din 24.01.2006 este situat parţial în intravilanul şi extravilanul comunei </w:t>
      </w:r>
      <w:r w:rsidR="001E0861">
        <w:t xml:space="preserve">S </w:t>
      </w:r>
      <w:r>
        <w:t>, conform PUG actual.</w:t>
      </w:r>
    </w:p>
    <w:p w:rsidR="00B66163" w:rsidRDefault="00B66163" w:rsidP="00B66163">
      <w:pPr>
        <w:ind w:firstLine="720"/>
        <w:jc w:val="both"/>
      </w:pPr>
      <w:r>
        <w:lastRenderedPageBreak/>
        <w:t xml:space="preserve">A  menţionat recurenta că în răspunsul nr. </w:t>
      </w:r>
      <w:r w:rsidR="001E0861">
        <w:t>..</w:t>
      </w:r>
      <w:r>
        <w:t xml:space="preserve">/06.12.2016 al Primăriei </w:t>
      </w:r>
      <w:r w:rsidR="001E0861">
        <w:t xml:space="preserve">S </w:t>
      </w:r>
      <w:r>
        <w:t xml:space="preserve"> formulat la cererea Instituţiei Prefectului în anul </w:t>
      </w:r>
      <w:smartTag w:uri="urn:schemas-microsoft-com:office:smarttags" w:element="metricconverter">
        <w:smartTagPr>
          <w:attr w:name="ProductID" w:val="2014 a"/>
        </w:smartTagPr>
        <w:smartTag w:uri="urn:schemas-microsoft-com:office:smarttags" w:element="metricconverter">
          <w:smartTagPr>
            <w:attr w:name="ProductID" w:val="2014 a"/>
          </w:smartTagPr>
          <w:r>
            <w:t>2014 a</w:t>
          </w:r>
        </w:smartTag>
        <w:r>
          <w:t xml:space="preserve"> </w:t>
        </w:r>
      </w:smartTag>
      <w:r>
        <w:t xml:space="preserve">fost extinsă suprafaţa ce cuprinde teren intravilan şi în nici un caz să fie micşorată suprafaţa de teren intravilan şi că din aceste două răspunsuri reiese că Primăria, respectiv Consiliul local se contrazic, emiţând  acte contradictorii. Totodată Consiliul Judeţean prin adresa </w:t>
      </w:r>
      <w:r w:rsidR="001E0861">
        <w:t>.</w:t>
      </w:r>
      <w:r>
        <w:t xml:space="preserve">/18.11.2016 i-a comunicat ca anexe la răspuns două hărţi din care rezultă limita intravilanului propus. </w:t>
      </w:r>
    </w:p>
    <w:p w:rsidR="00B66163" w:rsidRDefault="00B66163" w:rsidP="00B66163">
      <w:pPr>
        <w:tabs>
          <w:tab w:val="left" w:pos="720"/>
        </w:tabs>
        <w:ind w:firstLine="720"/>
        <w:jc w:val="both"/>
      </w:pPr>
      <w:r>
        <w:t>Consideră recurenta că  sentinţa recurată  este  nelegală, deoarece la baza motivării nu au fost avute în vedere toate înscrisurile doveditoare pe care şi-a întemeiat acţiunea. Hotărârea a fost dată cu încălcarea şi aplicarea greşită a normelor de drept material, pronunţându-se doar asupra unor înscrisuri, nu asupra întregului material probator administrat în cauză.</w:t>
      </w:r>
    </w:p>
    <w:p w:rsidR="00B66163" w:rsidRDefault="00B66163" w:rsidP="00B66163">
      <w:pPr>
        <w:tabs>
          <w:tab w:val="left" w:pos="720"/>
        </w:tabs>
        <w:ind w:firstLine="720"/>
        <w:jc w:val="both"/>
      </w:pPr>
      <w:r>
        <w:t xml:space="preserve">Recurenta a concluzionat solicitând admiterea  recursului, casarea hotărârii atacate, rejudecarea  procesului în fond şi  admiterea acţiunii aşa cum a fost  formulată. </w:t>
      </w:r>
    </w:p>
    <w:p w:rsidR="00B66163" w:rsidRDefault="00B66163" w:rsidP="00B66163">
      <w:pPr>
        <w:ind w:firstLine="720"/>
        <w:jc w:val="both"/>
        <w:rPr>
          <w:i/>
        </w:rPr>
      </w:pPr>
      <w:r>
        <w:rPr>
          <w:i/>
        </w:rPr>
        <w:t xml:space="preserve">Examinând sentinţa recurată  prin prisma actelor şi lucrărilor dosarului  precum şi a motivelor de recurs  invocate, </w:t>
      </w:r>
      <w:r>
        <w:rPr>
          <w:b/>
          <w:i/>
        </w:rPr>
        <w:t>Curtea</w:t>
      </w:r>
      <w:r>
        <w:rPr>
          <w:i/>
        </w:rPr>
        <w:t xml:space="preserve"> constată că  recursul nu este fondat pentru  următoarele considerente: </w:t>
      </w:r>
    </w:p>
    <w:p w:rsidR="00B66163" w:rsidRDefault="00B66163" w:rsidP="00B66163">
      <w:pPr>
        <w:ind w:firstLine="720"/>
        <w:jc w:val="both"/>
      </w:pPr>
      <w:r>
        <w:t xml:space="preserve">Fără nici un dubiu, există o discordanţă între menţiunile din titlurile de proprietate eliberate în favoarea reclamantei şi PUG-ul Comunei </w:t>
      </w:r>
      <w:r w:rsidR="001E0861">
        <w:t xml:space="preserve">S </w:t>
      </w:r>
      <w:r>
        <w:t>, dar aceasta nu afectează valabilitatea hotărârii de consiliu local contestată în prezenta cauză. Şi aceasta pentru bunul motiv că o hotărâre de consiliu local care modifică PUG-ul comunei prin extinderea suprafeţei de intravilan, nu poate să conducă la diminuarea suprafeţei de teren pe care reclamanta o deţine în intravilan.</w:t>
      </w:r>
    </w:p>
    <w:p w:rsidR="00B66163" w:rsidRDefault="00B66163" w:rsidP="00B66163">
      <w:pPr>
        <w:ind w:firstLine="720"/>
        <w:jc w:val="both"/>
      </w:pPr>
      <w:r>
        <w:t>În realitate, o parte din terenul pe care reclamanta îl deţine în intravilan, conform titlurilor de proprietate, dar care în vechiul PUG era situat în extravilan, a fost trecut prin noul PUG în intravilan, aşa cum rezultă din analiza comparativă a celor două planuri de situaţie depuse la dosar (fila 10 vechiul plan, fila 11 – noul plan).</w:t>
      </w:r>
    </w:p>
    <w:p w:rsidR="00B66163" w:rsidRDefault="00B66163" w:rsidP="00B66163">
      <w:pPr>
        <w:ind w:firstLine="720"/>
        <w:jc w:val="both"/>
      </w:pPr>
      <w:r>
        <w:t>În ceea ce priveşte menţiunile din titlul de proprietate conform cărora terenul în discuţie ar fi în întregime intravilan, Curtea apreciază că este mai probabil ca eroarea să fi apărut în procedura de redactare a titlurilor de proprietate, modul de situare a terenurilor reclamantei (care traversează o porţiune însemnată dintr-o zonă a comunei care în cele două PUG-uri figurează în extravilan) permiţând concluzia că o parte din terenul reclamantei nu s-a aflat niciodată în intravilanul comunei.</w:t>
      </w:r>
    </w:p>
    <w:p w:rsidR="00B66163" w:rsidRDefault="00B66163" w:rsidP="00B66163">
      <w:pPr>
        <w:ind w:firstLine="720"/>
        <w:jc w:val="both"/>
      </w:pPr>
      <w:r>
        <w:t>În fine, în ce priveşte alegaţiile din finalul memoriului de recurs, Curtea reţine că prima instanţă a făcut o analiză completă a probatoriului administrat în cauză, trăgând concluzia simplă că PUG care extinde intravilanul comunei fără a afecta zonele deja situate în intravilan conform vechiului PUG, nu putea aduce atingere regimului juridic al terenurilor proprietatea reclamantei.</w:t>
      </w:r>
    </w:p>
    <w:p w:rsidR="00B66163" w:rsidRDefault="00B66163" w:rsidP="00B66163">
      <w:pPr>
        <w:ind w:firstLine="720"/>
        <w:jc w:val="both"/>
      </w:pPr>
      <w:r>
        <w:t>În consecinţă, constatând că în cauză nu este dat motivul de recurs prevăzut de art. 488 alin. 1 pct. 8 Cod procedură civilă, Curtea va respinge recursul ca nefondat în temeiul art. 496 Cod procedură civilă.</w:t>
      </w:r>
    </w:p>
    <w:p w:rsidR="00B66163" w:rsidRDefault="00B66163" w:rsidP="00B66163">
      <w:pPr>
        <w:ind w:firstLine="720"/>
        <w:jc w:val="both"/>
      </w:pPr>
    </w:p>
    <w:p w:rsidR="00B66163" w:rsidRDefault="00B66163" w:rsidP="00B66163">
      <w:pPr>
        <w:ind w:firstLine="720"/>
        <w:jc w:val="center"/>
      </w:pPr>
      <w:r>
        <w:t>Pentru aceste motive,</w:t>
      </w:r>
    </w:p>
    <w:p w:rsidR="00B66163" w:rsidRDefault="00B66163" w:rsidP="00B66163">
      <w:pPr>
        <w:ind w:firstLine="720"/>
        <w:jc w:val="center"/>
      </w:pPr>
      <w:r>
        <w:t>În numele Legii</w:t>
      </w:r>
    </w:p>
    <w:p w:rsidR="00B66163" w:rsidRDefault="00B66163" w:rsidP="00B66163">
      <w:pPr>
        <w:ind w:firstLine="720"/>
        <w:jc w:val="center"/>
        <w:rPr>
          <w:b/>
        </w:rPr>
      </w:pPr>
      <w:r>
        <w:rPr>
          <w:b/>
        </w:rPr>
        <w:t>D E C I D E:</w:t>
      </w:r>
    </w:p>
    <w:p w:rsidR="00B66163" w:rsidRDefault="00B66163" w:rsidP="00B66163">
      <w:pPr>
        <w:ind w:firstLine="720"/>
        <w:jc w:val="center"/>
        <w:rPr>
          <w:b/>
        </w:rPr>
      </w:pPr>
    </w:p>
    <w:p w:rsidR="00B66163" w:rsidRDefault="00B66163" w:rsidP="00B66163">
      <w:pPr>
        <w:tabs>
          <w:tab w:val="left" w:pos="720"/>
        </w:tabs>
        <w:ind w:firstLine="720"/>
        <w:jc w:val="both"/>
      </w:pPr>
      <w:r>
        <w:t xml:space="preserve">Respinge recursul formulat de  reclamanta </w:t>
      </w:r>
      <w:r w:rsidR="001E0861">
        <w:t xml:space="preserve">R </w:t>
      </w:r>
      <w:r>
        <w:t xml:space="preserve"> domiciliată în  </w:t>
      </w:r>
      <w:r w:rsidR="001E0861">
        <w:t>..</w:t>
      </w:r>
      <w:r>
        <w:t xml:space="preserve"> municipiului B, str. </w:t>
      </w:r>
      <w:r w:rsidR="001E0861">
        <w:t>..</w:t>
      </w:r>
      <w:r>
        <w:t xml:space="preserve">împotriva  sentinţei nr. </w:t>
      </w:r>
      <w:r w:rsidR="001E0861">
        <w:t>.</w:t>
      </w:r>
      <w:r>
        <w:t xml:space="preserve"> din </w:t>
      </w:r>
      <w:r w:rsidR="001E0861">
        <w:t>..</w:t>
      </w:r>
      <w:r>
        <w:t xml:space="preserve">, pronunţată de Tribunalul </w:t>
      </w:r>
      <w:r w:rsidR="001E0861">
        <w:t>.</w:t>
      </w:r>
      <w:r>
        <w:t xml:space="preserve">  în dosarul nr. </w:t>
      </w:r>
      <w:r w:rsidR="001E0861">
        <w:t>..</w:t>
      </w:r>
      <w:r>
        <w:t xml:space="preserve">, intimat fiind  pârâtul Consiliul Local al Comunei </w:t>
      </w:r>
      <w:r w:rsidR="001E0861">
        <w:t xml:space="preserve">S </w:t>
      </w:r>
      <w:r>
        <w:t xml:space="preserve">  prin primar, cu sediul primăriei  în comuna </w:t>
      </w:r>
      <w:r w:rsidR="001E0861">
        <w:t xml:space="preserve">S </w:t>
      </w:r>
      <w:r>
        <w:t xml:space="preserve">, sat </w:t>
      </w:r>
      <w:r w:rsidR="001E0861">
        <w:t xml:space="preserve">S </w:t>
      </w:r>
      <w:r>
        <w:t xml:space="preserve">, </w:t>
      </w:r>
      <w:r w:rsidR="001E0861">
        <w:t>.</w:t>
      </w:r>
      <w:r>
        <w:t xml:space="preserve"> judeţul S</w:t>
      </w:r>
      <w:r w:rsidR="001E0861">
        <w:t>1</w:t>
      </w:r>
      <w:r>
        <w:t>, ca nefondat.</w:t>
      </w:r>
    </w:p>
    <w:p w:rsidR="00B66163" w:rsidRDefault="00B66163" w:rsidP="00B66163">
      <w:pPr>
        <w:tabs>
          <w:tab w:val="left" w:pos="720"/>
        </w:tabs>
        <w:ind w:firstLine="720"/>
        <w:jc w:val="both"/>
      </w:pPr>
      <w:r>
        <w:t>Definitivă.</w:t>
      </w:r>
    </w:p>
    <w:p w:rsidR="00B66163" w:rsidRDefault="00B66163" w:rsidP="00B66163">
      <w:pPr>
        <w:tabs>
          <w:tab w:val="left" w:pos="720"/>
        </w:tabs>
        <w:ind w:firstLine="720"/>
        <w:jc w:val="both"/>
      </w:pPr>
      <w:r>
        <w:t xml:space="preserve">Pronunţată în  şedinţă publică, azi, </w:t>
      </w:r>
      <w:r w:rsidR="00250C37">
        <w:t>..</w:t>
      </w:r>
      <w:r>
        <w:t xml:space="preserve">. </w:t>
      </w:r>
    </w:p>
    <w:p w:rsidR="00B66163" w:rsidRDefault="00B66163" w:rsidP="00B66163">
      <w:pPr>
        <w:ind w:firstLine="720"/>
        <w:jc w:val="both"/>
      </w:pPr>
    </w:p>
    <w:p w:rsidR="00B66163" w:rsidRDefault="00B66163" w:rsidP="00B66163">
      <w:pPr>
        <w:ind w:firstLine="720"/>
        <w:jc w:val="both"/>
      </w:pPr>
    </w:p>
    <w:p w:rsidR="00B66163" w:rsidRDefault="00B66163" w:rsidP="00B66163">
      <w:pPr>
        <w:ind w:firstLine="720"/>
        <w:jc w:val="both"/>
      </w:pPr>
      <w:r>
        <w:t xml:space="preserve">Preşedinte,                                       Judecători,                                                 Grefier, </w:t>
      </w:r>
    </w:p>
    <w:p w:rsidR="00B66163" w:rsidRDefault="00250C37" w:rsidP="00250C37">
      <w:pPr>
        <w:ind w:left="3528" w:firstLine="720"/>
        <w:jc w:val="both"/>
      </w:pPr>
      <w:r>
        <w:rPr>
          <w:color w:val="000000"/>
        </w:rPr>
        <w:t>COD A1036</w:t>
      </w:r>
    </w:p>
    <w:p w:rsidR="00B66163" w:rsidRDefault="00B66163" w:rsidP="00B66163">
      <w:pPr>
        <w:ind w:firstLine="720"/>
        <w:jc w:val="both"/>
      </w:pPr>
    </w:p>
    <w:p w:rsidR="00B66163" w:rsidRDefault="00B66163" w:rsidP="00B66163">
      <w:pPr>
        <w:ind w:firstLine="720"/>
        <w:jc w:val="both"/>
      </w:pPr>
    </w:p>
    <w:p w:rsidR="00B66163" w:rsidRDefault="00B66163" w:rsidP="00B66163">
      <w:pPr>
        <w:ind w:firstLine="720"/>
        <w:jc w:val="both"/>
      </w:pPr>
    </w:p>
    <w:p w:rsidR="00B66163" w:rsidRDefault="00B66163" w:rsidP="00B66163">
      <w:pPr>
        <w:ind w:firstLine="720"/>
        <w:jc w:val="both"/>
      </w:pPr>
    </w:p>
    <w:p w:rsidR="00B66163" w:rsidRDefault="00B66163" w:rsidP="00B66163">
      <w:pPr>
        <w:jc w:val="both"/>
      </w:pPr>
      <w:r>
        <w:t xml:space="preserve">  </w:t>
      </w: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jc w:val="both"/>
      </w:pPr>
    </w:p>
    <w:p w:rsidR="00B66163" w:rsidRDefault="00B66163" w:rsidP="00B66163">
      <w:pPr>
        <w:rPr>
          <w:rFonts w:ascii="Garamond" w:hAnsi="Garamond"/>
          <w:color w:val="BFBFBF"/>
          <w:sz w:val="20"/>
          <w:szCs w:val="20"/>
        </w:rPr>
      </w:pPr>
    </w:p>
    <w:p w:rsidR="00805B58" w:rsidRDefault="00805B58"/>
    <w:sectPr w:rsidR="00805B58" w:rsidSect="00B66163">
      <w:footerReference w:type="default" r:id="rId6"/>
      <w:pgSz w:w="11906" w:h="16838"/>
      <w:pgMar w:top="1276" w:right="1134" w:bottom="1135"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E43" w:rsidRDefault="005D1E43" w:rsidP="00B66163">
      <w:r>
        <w:separator/>
      </w:r>
    </w:p>
  </w:endnote>
  <w:endnote w:type="continuationSeparator" w:id="0">
    <w:p w:rsidR="005D1E43" w:rsidRDefault="005D1E43" w:rsidP="00B66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698838"/>
      <w:docPartObj>
        <w:docPartGallery w:val="Page Numbers (Bottom of Page)"/>
        <w:docPartUnique/>
      </w:docPartObj>
    </w:sdtPr>
    <w:sdtEndPr/>
    <w:sdtContent>
      <w:p w:rsidR="00B66163" w:rsidRDefault="00B66163">
        <w:pPr>
          <w:pStyle w:val="Footer"/>
          <w:jc w:val="center"/>
        </w:pPr>
        <w:r>
          <w:fldChar w:fldCharType="begin"/>
        </w:r>
        <w:r>
          <w:instrText>PAGE   \* MERGEFORMAT</w:instrText>
        </w:r>
        <w:r>
          <w:fldChar w:fldCharType="separate"/>
        </w:r>
        <w:r w:rsidR="006713C9">
          <w:rPr>
            <w:noProof/>
          </w:rPr>
          <w:t>4</w:t>
        </w:r>
        <w:r>
          <w:fldChar w:fldCharType="end"/>
        </w:r>
      </w:p>
    </w:sdtContent>
  </w:sdt>
  <w:p w:rsidR="00B66163" w:rsidRDefault="00B66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E43" w:rsidRDefault="005D1E43" w:rsidP="00B66163">
      <w:r>
        <w:separator/>
      </w:r>
    </w:p>
  </w:footnote>
  <w:footnote w:type="continuationSeparator" w:id="0">
    <w:p w:rsidR="005D1E43" w:rsidRDefault="005D1E43" w:rsidP="00B66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163"/>
    <w:rsid w:val="000B0E26"/>
    <w:rsid w:val="0014075F"/>
    <w:rsid w:val="001A1D74"/>
    <w:rsid w:val="001E0861"/>
    <w:rsid w:val="00250C37"/>
    <w:rsid w:val="00261AB4"/>
    <w:rsid w:val="00390BAD"/>
    <w:rsid w:val="004879B7"/>
    <w:rsid w:val="005D1E43"/>
    <w:rsid w:val="006713C9"/>
    <w:rsid w:val="006B7275"/>
    <w:rsid w:val="00805B58"/>
    <w:rsid w:val="008F2216"/>
    <w:rsid w:val="00976AD7"/>
    <w:rsid w:val="00B44698"/>
    <w:rsid w:val="00B66163"/>
    <w:rsid w:val="00C27971"/>
    <w:rsid w:val="00D435E7"/>
    <w:rsid w:val="00F703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2DD222"/>
  <w15:chartTrackingRefBased/>
  <w15:docId w15:val="{20AEBB49-4638-4FD7-A127-5F2BD126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163"/>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66163"/>
    <w:pPr>
      <w:tabs>
        <w:tab w:val="center" w:pos="4536"/>
        <w:tab w:val="right" w:pos="9072"/>
      </w:tabs>
    </w:pPr>
  </w:style>
  <w:style w:type="character" w:customStyle="1" w:styleId="FooterChar">
    <w:name w:val="Footer Char"/>
    <w:basedOn w:val="DefaultParagraphFont"/>
    <w:link w:val="Footer"/>
    <w:uiPriority w:val="99"/>
    <w:rsid w:val="00B66163"/>
    <w:rPr>
      <w:rFonts w:eastAsia="Times New Roman"/>
      <w:lang w:eastAsia="ro-RO"/>
    </w:rPr>
  </w:style>
  <w:style w:type="character" w:customStyle="1" w:styleId="FontStyle37">
    <w:name w:val="Font Style37"/>
    <w:rsid w:val="00B66163"/>
    <w:rPr>
      <w:rFonts w:ascii="Cambria" w:hAnsi="Cambria" w:cs="Cambria" w:hint="default"/>
      <w:sz w:val="26"/>
      <w:szCs w:val="26"/>
    </w:rPr>
  </w:style>
  <w:style w:type="paragraph" w:styleId="Header">
    <w:name w:val="header"/>
    <w:basedOn w:val="Normal"/>
    <w:link w:val="HeaderChar"/>
    <w:uiPriority w:val="99"/>
    <w:unhideWhenUsed/>
    <w:rsid w:val="00B66163"/>
    <w:pPr>
      <w:tabs>
        <w:tab w:val="center" w:pos="4536"/>
        <w:tab w:val="right" w:pos="9072"/>
      </w:tabs>
    </w:pPr>
  </w:style>
  <w:style w:type="character" w:customStyle="1" w:styleId="HeaderChar">
    <w:name w:val="Header Char"/>
    <w:basedOn w:val="DefaultParagraphFont"/>
    <w:link w:val="Header"/>
    <w:uiPriority w:val="99"/>
    <w:rsid w:val="00B6616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8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2020-11-21T19:39:00Z</dcterms:created>
  <dcterms:modified xsi:type="dcterms:W3CDTF">2020-11-22T16:31:00Z</dcterms:modified>
</cp:coreProperties>
</file>