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0CE3F" w14:textId="688C05BE" w:rsidR="00B1665A" w:rsidRPr="002341E2" w:rsidRDefault="000E03DD" w:rsidP="00B1665A">
      <w:r>
        <w:t>HOR NR. 21</w:t>
      </w:r>
    </w:p>
    <w:p w14:paraId="6E352944" w14:textId="03F7318C" w:rsidR="00B1665A" w:rsidRDefault="00B1665A" w:rsidP="00B1665A">
      <w:pPr>
        <w:rPr>
          <w:b/>
        </w:rPr>
      </w:pPr>
      <w:r w:rsidRPr="002053B0">
        <w:rPr>
          <w:b/>
        </w:rPr>
        <w:t xml:space="preserve">Dosar nr. </w:t>
      </w:r>
      <w:r w:rsidR="000E03DD">
        <w:rPr>
          <w:b/>
        </w:rPr>
        <w:t>.......</w:t>
      </w:r>
    </w:p>
    <w:p w14:paraId="087D0281" w14:textId="77777777" w:rsidR="00B1665A" w:rsidRDefault="00B1665A" w:rsidP="00B1665A">
      <w:pPr>
        <w:jc w:val="center"/>
        <w:rPr>
          <w:b/>
        </w:rPr>
      </w:pPr>
    </w:p>
    <w:p w14:paraId="3ED5B873" w14:textId="77777777" w:rsidR="00B1665A" w:rsidRDefault="00B1665A" w:rsidP="00B1665A">
      <w:pPr>
        <w:jc w:val="center"/>
        <w:rPr>
          <w:b/>
        </w:rPr>
      </w:pPr>
      <w:r>
        <w:rPr>
          <w:b/>
        </w:rPr>
        <w:t>R O M Â N I A</w:t>
      </w:r>
    </w:p>
    <w:p w14:paraId="2811E65A" w14:textId="77777777" w:rsidR="00B1665A" w:rsidRDefault="00B1665A" w:rsidP="00B1665A">
      <w:pPr>
        <w:jc w:val="center"/>
      </w:pPr>
    </w:p>
    <w:p w14:paraId="51BEC49D" w14:textId="706E0F72" w:rsidR="00B1665A" w:rsidRDefault="000E03DD" w:rsidP="00B1665A">
      <w:pPr>
        <w:jc w:val="center"/>
      </w:pPr>
      <w:r>
        <w:t>......</w:t>
      </w:r>
    </w:p>
    <w:p w14:paraId="1E89A489" w14:textId="6309BDD7" w:rsidR="00B1665A" w:rsidRDefault="000E03DD" w:rsidP="00B1665A">
      <w:pPr>
        <w:jc w:val="center"/>
        <w:rPr>
          <w:lang w:val="en-US"/>
        </w:rPr>
      </w:pPr>
      <w:r>
        <w:t>.........</w:t>
      </w:r>
    </w:p>
    <w:p w14:paraId="2179EC05" w14:textId="77777777" w:rsidR="00B1665A" w:rsidRDefault="00B1665A" w:rsidP="00B1665A"/>
    <w:p w14:paraId="5D6043E5" w14:textId="4EAF9EE3" w:rsidR="00B1665A" w:rsidRDefault="00B1665A" w:rsidP="00B1665A">
      <w:pPr>
        <w:jc w:val="center"/>
        <w:rPr>
          <w:b/>
        </w:rPr>
      </w:pPr>
      <w:r>
        <w:rPr>
          <w:b/>
        </w:rPr>
        <w:t xml:space="preserve">DECIZIA Nr. </w:t>
      </w:r>
      <w:r w:rsidR="000E03DD">
        <w:rPr>
          <w:b/>
        </w:rPr>
        <w:t>......</w:t>
      </w:r>
    </w:p>
    <w:p w14:paraId="51199E5A" w14:textId="36127698" w:rsidR="00B1665A" w:rsidRDefault="00B1665A" w:rsidP="00B1665A">
      <w:pPr>
        <w:jc w:val="center"/>
      </w:pPr>
      <w:r>
        <w:t>Şedinţa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de la </w:t>
      </w:r>
      <w:r w:rsidR="000E03DD">
        <w:t>.......</w:t>
      </w:r>
      <w:r>
        <w:t xml:space="preserve"> </w:t>
      </w:r>
    </w:p>
    <w:p w14:paraId="5EDCCDB1" w14:textId="63A144F2" w:rsidR="00B1665A" w:rsidRDefault="000E03DD" w:rsidP="00B1665A">
      <w:pPr>
        <w:jc w:val="center"/>
      </w:pPr>
      <w:r>
        <w:t>......</w:t>
      </w:r>
    </w:p>
    <w:p w14:paraId="57CBE7D3" w14:textId="2B48BE1D" w:rsidR="00B1665A" w:rsidRDefault="000E03DD" w:rsidP="00B1665A">
      <w:pPr>
        <w:jc w:val="center"/>
      </w:pPr>
      <w:r>
        <w:t>.....A1022....</w:t>
      </w:r>
    </w:p>
    <w:p w14:paraId="44897267" w14:textId="37514A66" w:rsidR="00B1665A" w:rsidRDefault="000E03DD" w:rsidP="00B1665A">
      <w:pPr>
        <w:jc w:val="center"/>
      </w:pPr>
      <w:r>
        <w:t>....</w:t>
      </w:r>
    </w:p>
    <w:p w14:paraId="67F6B0B5" w14:textId="5DCF4460" w:rsidR="00B1665A" w:rsidRDefault="000E03DD" w:rsidP="00B1665A">
      <w:pPr>
        <w:jc w:val="center"/>
      </w:pPr>
      <w:r>
        <w:t>......</w:t>
      </w:r>
    </w:p>
    <w:p w14:paraId="7DE6010B" w14:textId="00E3E3D4" w:rsidR="00B1665A" w:rsidRDefault="00B1665A" w:rsidP="00B1665A">
      <w:pPr>
        <w:jc w:val="both"/>
        <w:rPr>
          <w:color w:val="000000"/>
        </w:rPr>
      </w:pPr>
      <w:r>
        <w:t xml:space="preserve">                                                </w:t>
      </w:r>
      <w:r w:rsidR="000E03DD">
        <w:t>..........</w:t>
      </w:r>
    </w:p>
    <w:p w14:paraId="7BC2F569" w14:textId="77777777" w:rsidR="00B1665A" w:rsidRDefault="00B1665A" w:rsidP="00B1665A"/>
    <w:p w14:paraId="014DA513" w14:textId="77777777" w:rsidR="00B1665A" w:rsidRDefault="00B1665A" w:rsidP="00B1665A"/>
    <w:p w14:paraId="1AC27AFC" w14:textId="0AF699AB" w:rsidR="00B1665A" w:rsidRDefault="00B1665A" w:rsidP="00B1665A">
      <w:pPr>
        <w:ind w:firstLine="708"/>
        <w:jc w:val="both"/>
      </w:pPr>
      <w:r>
        <w:t xml:space="preserve">S-a luat în examinare recursul declarat de </w:t>
      </w:r>
      <w:bookmarkStart w:id="0" w:name="_Hlk486334307"/>
      <w:r>
        <w:t xml:space="preserve">pârâta </w:t>
      </w:r>
      <w:bookmarkStart w:id="1" w:name="_Hlk486333737"/>
      <w:bookmarkStart w:id="2" w:name="_Hlk58521757"/>
      <w:r w:rsidR="000E03DD">
        <w:rPr>
          <w:b/>
        </w:rPr>
        <w:t>.....A....</w:t>
      </w:r>
      <w:r>
        <w:rPr>
          <w:b/>
        </w:rPr>
        <w:t xml:space="preserve"> </w:t>
      </w:r>
      <w:bookmarkStart w:id="3" w:name="_Hlk497292296"/>
      <w:bookmarkEnd w:id="1"/>
      <w:r w:rsidR="000E03DD">
        <w:rPr>
          <w:b/>
        </w:rPr>
        <w:t>.....O...</w:t>
      </w:r>
      <w:bookmarkEnd w:id="2"/>
      <w:r>
        <w:rPr>
          <w:b/>
        </w:rPr>
        <w:t xml:space="preserve"> în nume propriu, pentru </w:t>
      </w:r>
      <w:bookmarkStart w:id="4" w:name="_Hlk58521982"/>
      <w:r w:rsidR="000E03DD">
        <w:rPr>
          <w:b/>
        </w:rPr>
        <w:t>.....A1...</w:t>
      </w:r>
      <w:r>
        <w:rPr>
          <w:b/>
        </w:rPr>
        <w:t xml:space="preserve"> </w:t>
      </w:r>
      <w:r w:rsidR="000E03DD">
        <w:rPr>
          <w:b/>
        </w:rPr>
        <w:t>.....C...</w:t>
      </w:r>
      <w:r>
        <w:rPr>
          <w:b/>
        </w:rPr>
        <w:t xml:space="preserve"> </w:t>
      </w:r>
      <w:bookmarkEnd w:id="4"/>
      <w:r>
        <w:rPr>
          <w:b/>
        </w:rPr>
        <w:t xml:space="preserve">şi pentru </w:t>
      </w:r>
      <w:bookmarkEnd w:id="3"/>
      <w:r w:rsidR="000E03DD">
        <w:rPr>
          <w:b/>
        </w:rPr>
        <w:t>.....A2...</w:t>
      </w:r>
      <w:r>
        <w:t xml:space="preserve">, în contradictoriu cu </w:t>
      </w:r>
      <w:bookmarkStart w:id="5" w:name="_Hlk486495675"/>
      <w:r>
        <w:t xml:space="preserve">intimatul reclamant </w:t>
      </w:r>
      <w:bookmarkStart w:id="6" w:name="_Hlk486496076"/>
      <w:bookmarkStart w:id="7" w:name="_Hlk486494162"/>
      <w:bookmarkStart w:id="8" w:name="_Hlk58522136"/>
      <w:r w:rsidR="000E03DD">
        <w:rPr>
          <w:b/>
        </w:rPr>
        <w:t>.....B...</w:t>
      </w:r>
      <w:r>
        <w:t xml:space="preserve"> </w:t>
      </w:r>
      <w:bookmarkEnd w:id="8"/>
      <w:r>
        <w:t xml:space="preserve">şi intimata pârâtă </w:t>
      </w:r>
      <w:r w:rsidR="000E03DD">
        <w:rPr>
          <w:b/>
        </w:rPr>
        <w:t>.....A3...</w:t>
      </w:r>
      <w:r>
        <w:t xml:space="preserve">, împotriva </w:t>
      </w:r>
      <w:bookmarkStart w:id="9" w:name="_Hlk58522220"/>
      <w:r>
        <w:t xml:space="preserve">sentinţei nr. </w:t>
      </w:r>
      <w:bookmarkStart w:id="10" w:name="_Hlk486334214"/>
      <w:bookmarkStart w:id="11" w:name="_Hlk486495946"/>
      <w:r w:rsidR="000E03DD">
        <w:t>....a...</w:t>
      </w:r>
      <w:bookmarkEnd w:id="9"/>
      <w:r>
        <w:t xml:space="preserve">, pronunţată de Tribunalul </w:t>
      </w:r>
      <w:r w:rsidR="000E03DD">
        <w:t>.....O...</w:t>
      </w:r>
      <w:r>
        <w:t xml:space="preserve">, </w:t>
      </w:r>
      <w:r w:rsidR="000E03DD">
        <w:t>.......</w:t>
      </w:r>
      <w:r>
        <w:rPr>
          <w:bCs/>
        </w:rPr>
        <w:t>,</w:t>
      </w:r>
      <w:r>
        <w:t xml:space="preserve"> în dosarul nr. </w:t>
      </w:r>
      <w:bookmarkEnd w:id="10"/>
      <w:r w:rsidR="000E03DD">
        <w:t>.......</w:t>
      </w:r>
      <w:bookmarkEnd w:id="0"/>
      <w:bookmarkEnd w:id="5"/>
      <w:bookmarkEnd w:id="6"/>
      <w:bookmarkEnd w:id="7"/>
      <w:bookmarkEnd w:id="11"/>
      <w:r>
        <w:t>, având ca obiect „pretenţii”.</w:t>
      </w:r>
    </w:p>
    <w:p w14:paraId="31F4C80D" w14:textId="77777777" w:rsidR="00B1665A" w:rsidRDefault="00B1665A" w:rsidP="00B1665A">
      <w:pPr>
        <w:ind w:firstLine="708"/>
        <w:jc w:val="both"/>
      </w:pPr>
      <w:r>
        <w:t xml:space="preserve">La apelul nominal, făcut în şedinţa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părţile nu au răspuns.</w:t>
      </w:r>
    </w:p>
    <w:p w14:paraId="16AB6A09" w14:textId="77777777" w:rsidR="00B1665A" w:rsidRDefault="00B1665A" w:rsidP="00B1665A">
      <w:pPr>
        <w:ind w:firstLine="708"/>
        <w:rPr>
          <w:color w:val="000000"/>
        </w:rPr>
      </w:pPr>
      <w:r>
        <w:rPr>
          <w:color w:val="000000"/>
        </w:rPr>
        <w:t xml:space="preserve">Procedura de citare este </w:t>
      </w:r>
      <w:r>
        <w:rPr>
          <w:color w:val="000000"/>
        </w:rPr>
        <w:fldChar w:fldCharType="begin">
          <w:ffData>
            <w:name w:val="tip_procedura"/>
            <w:enabled/>
            <w:calcOnExit w:val="0"/>
            <w:textInput/>
          </w:ffData>
        </w:fldChar>
      </w:r>
      <w:r>
        <w:rPr>
          <w:color w:val="000000"/>
        </w:rPr>
        <w:instrText xml:space="preserve"> FORMTEXT </w:instrText>
      </w:r>
      <w:r>
        <w:rPr>
          <w:color w:val="000000"/>
        </w:rPr>
      </w:r>
      <w:r>
        <w:rPr>
          <w:color w:val="000000"/>
        </w:rPr>
        <w:fldChar w:fldCharType="separate"/>
      </w:r>
      <w:r>
        <w:rPr>
          <w:color w:val="000000"/>
        </w:rPr>
        <w:t>legal</w:t>
      </w:r>
      <w:r>
        <w:rPr>
          <w:color w:val="000000"/>
        </w:rPr>
        <w:fldChar w:fldCharType="end"/>
      </w:r>
      <w:r>
        <w:rPr>
          <w:color w:val="000000"/>
        </w:rPr>
        <w:t xml:space="preserve"> îndeplinită.</w:t>
      </w:r>
    </w:p>
    <w:p w14:paraId="490FAC28" w14:textId="77777777" w:rsidR="00B1665A" w:rsidRDefault="00B1665A" w:rsidP="00B1665A">
      <w:pPr>
        <w:ind w:firstLine="708"/>
        <w:jc w:val="both"/>
        <w:rPr>
          <w:bCs/>
        </w:rPr>
      </w:pPr>
      <w:r>
        <w:rPr>
          <w:color w:val="000000"/>
        </w:rPr>
        <w:t xml:space="preserve">S-a făcut </w:t>
      </w:r>
      <w:r>
        <w:rPr>
          <w:color w:val="000000"/>
        </w:rPr>
        <w:fldChar w:fldCharType="begin">
          <w:ffData>
            <w:name w:val="tip_doc_despre_cauza"/>
            <w:enabled/>
            <w:calcOnExit w:val="0"/>
            <w:textInput/>
          </w:ffData>
        </w:fldChar>
      </w:r>
      <w:r>
        <w:rPr>
          <w:color w:val="000000"/>
        </w:rPr>
        <w:instrText xml:space="preserve"> FORMTEXT </w:instrText>
      </w:r>
      <w:r>
        <w:rPr>
          <w:color w:val="000000"/>
        </w:rPr>
      </w:r>
      <w:r>
        <w:rPr>
          <w:color w:val="000000"/>
        </w:rPr>
        <w:fldChar w:fldCharType="separate"/>
      </w:r>
      <w:r>
        <w:rPr>
          <w:color w:val="000000"/>
        </w:rPr>
        <w:t>referatul</w:t>
      </w:r>
      <w:r>
        <w:rPr>
          <w:color w:val="000000"/>
        </w:rPr>
        <w:fldChar w:fldCharType="end"/>
      </w:r>
      <w:r>
        <w:rPr>
          <w:color w:val="000000"/>
        </w:rPr>
        <w:t xml:space="preserve"> cauzei de către </w:t>
      </w:r>
      <w:r>
        <w:rPr>
          <w:color w:val="000000"/>
        </w:rPr>
        <w:fldChar w:fldCharType="begin">
          <w:ffData>
            <w:name w:val="functia_celui_care_f"/>
            <w:enabled/>
            <w:calcOnExit w:val="0"/>
            <w:textInput/>
          </w:ffData>
        </w:fldChar>
      </w:r>
      <w:r>
        <w:rPr>
          <w:color w:val="000000"/>
        </w:rPr>
        <w:instrText xml:space="preserve"> FORMTEXT </w:instrText>
      </w:r>
      <w:r>
        <w:rPr>
          <w:color w:val="000000"/>
        </w:rPr>
      </w:r>
      <w:r>
        <w:rPr>
          <w:color w:val="000000"/>
        </w:rPr>
        <w:fldChar w:fldCharType="separate"/>
      </w:r>
      <w:r>
        <w:rPr>
          <w:color w:val="000000"/>
        </w:rPr>
        <w:t>grefier</w:t>
      </w:r>
      <w:r>
        <w:rPr>
          <w:color w:val="000000"/>
        </w:rPr>
        <w:fldChar w:fldCharType="end"/>
      </w:r>
      <w:r>
        <w:rPr>
          <w:color w:val="000000"/>
        </w:rPr>
        <w:t xml:space="preserve">ul de şedinţă </w:t>
      </w:r>
      <w:r>
        <w:rPr>
          <w:color w:val="000000"/>
        </w:rPr>
        <w:fldChar w:fldCharType="begin">
          <w:ffData>
            <w:name w:val="combo_invedereaza"/>
            <w:enabled/>
            <w:calcOnExit w:val="0"/>
            <w:textInput/>
          </w:ffData>
        </w:fldChar>
      </w:r>
      <w:r>
        <w:rPr>
          <w:color w:val="000000"/>
        </w:rPr>
        <w:instrText xml:space="preserve"> FORMTEXT </w:instrText>
      </w:r>
      <w:r>
        <w:rPr>
          <w:color w:val="000000"/>
        </w:rPr>
      </w:r>
      <w:r>
        <w:rPr>
          <w:color w:val="000000"/>
        </w:rPr>
        <w:fldChar w:fldCharType="separate"/>
      </w:r>
      <w:r>
        <w:rPr>
          <w:color w:val="000000"/>
        </w:rPr>
        <w:t>care învederează</w:t>
      </w:r>
      <w:r>
        <w:rPr>
          <w:color w:val="000000"/>
        </w:rPr>
        <w:fldChar w:fldCharType="end"/>
      </w:r>
      <w:r>
        <w:rPr>
          <w:color w:val="000000"/>
        </w:rPr>
        <w:t xml:space="preserve"> instanţei modalitatea de îndeplinire a procedurii de citare, faptul că recursul a fost declarat în termenul legal, intimaţii nu au formulat întâmpinare, iar recurenta a solicitat </w:t>
      </w:r>
      <w:r>
        <w:t xml:space="preserve">judecarea cauzei în lipsă, conform dispoziţiilor art. 411 alin. 1, pct. 2, teza finală noul Cod procedură civilă, </w:t>
      </w:r>
      <w:r>
        <w:rPr>
          <w:bCs/>
        </w:rPr>
        <w:t>după care:</w:t>
      </w:r>
    </w:p>
    <w:p w14:paraId="794C444C" w14:textId="77777777" w:rsidR="00B1665A" w:rsidRDefault="00B1665A" w:rsidP="00B1665A">
      <w:pPr>
        <w:ind w:firstLine="708"/>
        <w:jc w:val="both"/>
        <w:rPr>
          <w:color w:val="000000"/>
        </w:rPr>
      </w:pPr>
      <w:r>
        <w:rPr>
          <w:color w:val="000000"/>
        </w:rPr>
        <w:t>Curtea, luând act de cererea de judecare a cauzei în lipsă, formulată de către recurenta pârâtă şi constatând că părţile nu mai au cereri de formulat, excepţii de invocat şi probe de solicitat, apreciază cauza în stare de judecată şi o reţine spre soluţionare.</w:t>
      </w:r>
    </w:p>
    <w:p w14:paraId="7DE4FDF5" w14:textId="77777777" w:rsidR="00B1665A" w:rsidRDefault="00B1665A" w:rsidP="00B1665A">
      <w:pPr>
        <w:jc w:val="center"/>
        <w:rPr>
          <w:b/>
        </w:rPr>
      </w:pPr>
    </w:p>
    <w:p w14:paraId="54EFA500" w14:textId="77777777" w:rsidR="00B1665A" w:rsidRDefault="00B1665A" w:rsidP="00B1665A">
      <w:pPr>
        <w:jc w:val="center"/>
        <w:rPr>
          <w:b/>
        </w:rPr>
      </w:pPr>
      <w:r>
        <w:rPr>
          <w:b/>
        </w:rPr>
        <w:t>C U R T E A:</w:t>
      </w:r>
    </w:p>
    <w:p w14:paraId="0899DABA" w14:textId="77777777" w:rsidR="00B1665A" w:rsidRDefault="00B1665A" w:rsidP="00B1665A">
      <w:pPr>
        <w:jc w:val="center"/>
      </w:pPr>
    </w:p>
    <w:p w14:paraId="1168D05D" w14:textId="77777777" w:rsidR="00B1665A" w:rsidRDefault="00B1665A" w:rsidP="00B1665A">
      <w:pPr>
        <w:ind w:firstLine="708"/>
        <w:jc w:val="both"/>
      </w:pPr>
      <w:r>
        <w:t>Asupra recursului de faţă;</w:t>
      </w:r>
    </w:p>
    <w:p w14:paraId="7D0E3B80" w14:textId="6E4BFA69" w:rsidR="00B1665A" w:rsidRDefault="00B1665A" w:rsidP="00B1665A">
      <w:pPr>
        <w:ind w:firstLine="708"/>
        <w:jc w:val="both"/>
      </w:pPr>
      <w:r>
        <w:rPr>
          <w:b/>
        </w:rPr>
        <w:t xml:space="preserve">Prin sentinţa nr. </w:t>
      </w:r>
      <w:r w:rsidR="000E03DD">
        <w:rPr>
          <w:b/>
        </w:rPr>
        <w:t>....a...</w:t>
      </w:r>
      <w:r w:rsidRPr="00CC3FDA">
        <w:rPr>
          <w:b/>
        </w:rPr>
        <w:t xml:space="preserve">, pronunţată de Tribunalul </w:t>
      </w:r>
      <w:r w:rsidR="000E03DD">
        <w:rPr>
          <w:b/>
        </w:rPr>
        <w:t>.....O...</w:t>
      </w:r>
      <w:r w:rsidRPr="00CC3FDA">
        <w:rPr>
          <w:b/>
        </w:rPr>
        <w:t xml:space="preserve">, </w:t>
      </w:r>
      <w:r w:rsidR="000E03DD">
        <w:rPr>
          <w:b/>
        </w:rPr>
        <w:t>.......</w:t>
      </w:r>
      <w:r w:rsidRPr="00CC3FDA">
        <w:rPr>
          <w:b/>
          <w:bCs/>
        </w:rPr>
        <w:t>,</w:t>
      </w:r>
      <w:r w:rsidRPr="00CC3FDA">
        <w:rPr>
          <w:b/>
        </w:rPr>
        <w:t xml:space="preserve"> în dosarul nr. </w:t>
      </w:r>
      <w:r w:rsidR="000E03DD">
        <w:rPr>
          <w:b/>
        </w:rPr>
        <w:t>.......</w:t>
      </w:r>
      <w:r>
        <w:t xml:space="preserve"> s-a admis acţiunea formulată de reclamantul </w:t>
      </w:r>
      <w:r w:rsidR="000E03DD">
        <w:t>.....B...</w:t>
      </w:r>
      <w:r>
        <w:t xml:space="preserve">, în contradictoriu cu pârâtele </w:t>
      </w:r>
      <w:r w:rsidR="000E03DD">
        <w:t>.....A1...</w:t>
      </w:r>
      <w:r>
        <w:t xml:space="preserve"> </w:t>
      </w:r>
      <w:r w:rsidR="000E03DD">
        <w:t>.....C...</w:t>
      </w:r>
      <w:r>
        <w:t>-</w:t>
      </w:r>
      <w:r w:rsidR="000E03DD">
        <w:t>.....A....</w:t>
      </w:r>
      <w:r>
        <w:t xml:space="preserve"> </w:t>
      </w:r>
      <w:r w:rsidR="000E03DD">
        <w:t>.....O...</w:t>
      </w:r>
      <w:r>
        <w:t xml:space="preserve"> şi </w:t>
      </w:r>
      <w:r w:rsidR="000E03DD">
        <w:t>.....A3...</w:t>
      </w:r>
      <w:r>
        <w:t>.</w:t>
      </w:r>
    </w:p>
    <w:p w14:paraId="260D94CA" w14:textId="77777777" w:rsidR="00B1665A" w:rsidRDefault="00B1665A" w:rsidP="00B1665A">
      <w:pPr>
        <w:ind w:firstLine="708"/>
        <w:jc w:val="both"/>
      </w:pPr>
      <w:r>
        <w:t xml:space="preserve">Au fost obligate pârâtele să-i restituie reclamantului suma de 2025 lei timbru de mediu, cu  dobânda fiscală de la data plăţii 25.03.2015 şi până la data plăţii efective. </w:t>
      </w:r>
    </w:p>
    <w:p w14:paraId="7211C373" w14:textId="77777777" w:rsidR="00B1665A" w:rsidRPr="00CC3FDA" w:rsidRDefault="00B1665A" w:rsidP="00B1665A">
      <w:pPr>
        <w:ind w:firstLine="708"/>
        <w:jc w:val="both"/>
      </w:pPr>
      <w:r>
        <w:t>Au fost obligate pârâtele la plata sumei de 702 lei cu titlu de cheltuieli de judecată.</w:t>
      </w:r>
    </w:p>
    <w:p w14:paraId="2E840A37" w14:textId="6B78AE72" w:rsidR="00B1665A" w:rsidRDefault="00B1665A" w:rsidP="00B1665A">
      <w:pPr>
        <w:ind w:firstLine="708"/>
        <w:jc w:val="both"/>
      </w:pPr>
      <w:r w:rsidRPr="00CC3FDA">
        <w:rPr>
          <w:b/>
        </w:rPr>
        <w:t xml:space="preserve">Împotriva sentinţei nr. </w:t>
      </w:r>
      <w:r w:rsidR="000E03DD">
        <w:rPr>
          <w:b/>
        </w:rPr>
        <w:t>....a...</w:t>
      </w:r>
      <w:r w:rsidRPr="00CC3FDA">
        <w:rPr>
          <w:b/>
        </w:rPr>
        <w:t xml:space="preserve">, pronunţată de Tribunalul </w:t>
      </w:r>
      <w:r w:rsidR="000E03DD">
        <w:rPr>
          <w:b/>
        </w:rPr>
        <w:t>.....O...</w:t>
      </w:r>
      <w:r w:rsidRPr="00CC3FDA">
        <w:rPr>
          <w:b/>
        </w:rPr>
        <w:t xml:space="preserve">, </w:t>
      </w:r>
      <w:r w:rsidR="000E03DD">
        <w:rPr>
          <w:b/>
        </w:rPr>
        <w:t>.......</w:t>
      </w:r>
      <w:r w:rsidRPr="00CC3FDA">
        <w:rPr>
          <w:b/>
          <w:bCs/>
        </w:rPr>
        <w:t>,</w:t>
      </w:r>
      <w:r w:rsidRPr="00CC3FDA">
        <w:rPr>
          <w:b/>
        </w:rPr>
        <w:t xml:space="preserve"> în dosarul nr. </w:t>
      </w:r>
      <w:r w:rsidR="000E03DD">
        <w:rPr>
          <w:b/>
        </w:rPr>
        <w:t>.......</w:t>
      </w:r>
      <w:r>
        <w:rPr>
          <w:b/>
        </w:rPr>
        <w:t xml:space="preserve">, </w:t>
      </w:r>
      <w:r>
        <w:t xml:space="preserve">a declarat recurs pârâta </w:t>
      </w:r>
      <w:r w:rsidR="000E03DD">
        <w:t>.....A....</w:t>
      </w:r>
      <w:r>
        <w:t xml:space="preserve"> </w:t>
      </w:r>
      <w:r w:rsidR="000E03DD">
        <w:t>.....O...</w:t>
      </w:r>
      <w:r>
        <w:t xml:space="preserve">, </w:t>
      </w:r>
      <w:r>
        <w:rPr>
          <w:b/>
        </w:rPr>
        <w:t xml:space="preserve">în </w:t>
      </w:r>
      <w:r w:rsidRPr="00CC3FDA">
        <w:t xml:space="preserve">nume propriu, pentru </w:t>
      </w:r>
      <w:r w:rsidR="000E03DD">
        <w:t>.....A1...</w:t>
      </w:r>
      <w:r w:rsidRPr="00CC3FDA">
        <w:t xml:space="preserve"> </w:t>
      </w:r>
      <w:r w:rsidR="000E03DD">
        <w:t>.....C...</w:t>
      </w:r>
      <w:r w:rsidRPr="00CC3FDA">
        <w:t xml:space="preserve"> şi pentru </w:t>
      </w:r>
      <w:r w:rsidR="000E03DD">
        <w:t>.....A2...</w:t>
      </w:r>
      <w:r>
        <w:t>, criticând-o pentru netemeinicie.</w:t>
      </w:r>
    </w:p>
    <w:p w14:paraId="1A88A824" w14:textId="77777777" w:rsidR="00B1665A" w:rsidRDefault="00B1665A" w:rsidP="00B1665A">
      <w:pPr>
        <w:ind w:firstLine="708"/>
        <w:jc w:val="both"/>
        <w:rPr>
          <w:color w:val="000000"/>
        </w:rPr>
      </w:pPr>
      <w:r>
        <w:t xml:space="preserve">În motivarea recursului, </w:t>
      </w:r>
      <w:r w:rsidRPr="00CC3FDA">
        <w:t>recurenţii pârâţi</w:t>
      </w:r>
      <w:r>
        <w:rPr>
          <w:b/>
        </w:rPr>
        <w:t xml:space="preserve"> </w:t>
      </w:r>
      <w:r>
        <w:t xml:space="preserve">au susţinut </w:t>
      </w:r>
      <w:r>
        <w:rPr>
          <w:color w:val="000000"/>
        </w:rPr>
        <w:t>că hotărârea recurată a fost pronunţată cu încălcarea normelor de drept material (art. 488 pct. 8 Cod procedura civila).</w:t>
      </w:r>
    </w:p>
    <w:p w14:paraId="07A71D7C" w14:textId="77777777" w:rsidR="00B1665A" w:rsidRDefault="00B1665A" w:rsidP="00B1665A">
      <w:pPr>
        <w:ind w:firstLine="720"/>
        <w:jc w:val="both"/>
      </w:pPr>
      <w:r>
        <w:t xml:space="preserve">Potrivit art. 1-33 alin. 1 din Tratatul de aderare, ratificat prin Legea nr. 157/2005: „Legea cadru europeana este un act legislativ care obliga orice stat membru destinatar in ceea ce priveşte rezultatul care trebuie obţinut, lăsând in acelaşi timp autorităţilor naţionale competenta in ceea ce priveşte alegerea unei forme si a mijloacelor”; ca prin jurisprudenţa sa Curtea de Justiţie Europeana a statuat ca, tratatul nu este încălcat prin restituirea unei taxe de poluare in momentul primei înmatriculări a unui autovehicul pe teritoriul unui stat membru, iar prin caracterul ei fiscal, taxa intra in regimul intern de impozitare, domeniu rezervat prerogativelor suverane ale statelor membre. </w:t>
      </w:r>
    </w:p>
    <w:p w14:paraId="3122DE90" w14:textId="77777777" w:rsidR="00B1665A" w:rsidRDefault="00B1665A" w:rsidP="00B1665A">
      <w:pPr>
        <w:ind w:firstLine="720"/>
        <w:jc w:val="both"/>
      </w:pPr>
      <w:r>
        <w:lastRenderedPageBreak/>
        <w:t xml:space="preserve">Decizia Curţii Constituţionale nr. 209 din 12 aprilie 2016 privind excepţia de neconstituţionalitate a prevederilor Ordonanţei de urgenţă a Guvernului nr. 9/2013 privind timbrul de mediu pentru autovehicule, în ansamblul său, şi, în special, ale art. 4 şi art. 6 din aceeaşi ordonanţă de urgenţă a fost publicată în Monitorul Oficial, Partea I, nr. 464 din 22 iunie 2016, moment de la care actul normativ îşi şi produce efectele. </w:t>
      </w:r>
    </w:p>
    <w:p w14:paraId="21C0FCDA" w14:textId="77777777" w:rsidR="00B1665A" w:rsidRDefault="00B1665A" w:rsidP="00B1665A">
      <w:pPr>
        <w:ind w:firstLine="720"/>
        <w:jc w:val="both"/>
      </w:pPr>
      <w:r>
        <w:t xml:space="preserve">Potrivit documentului, cadrul legal care guvernează plata timbrului de mediu, respectiv OUG nr. 9/2013, este constituţional, autorităţile române fiind îndreptăţite să solicite şi să încaseze o taxa de primă înmatriculare. "Curtea a reţinut că plata timbrului de mediu cu ocazia transcrierii dreptului ele proprietate asupra autovehiculului rulat nu echivalează cu </w:t>
      </w:r>
    </w:p>
    <w:p w14:paraId="03B0F610" w14:textId="77777777" w:rsidR="00B1665A" w:rsidRDefault="00B1665A" w:rsidP="00B1665A">
      <w:pPr>
        <w:ind w:firstLine="720"/>
        <w:jc w:val="both"/>
      </w:pPr>
      <w:r>
        <w:t xml:space="preserve">În lumina acestor dispoziţii, soluţia instanţei de fond este nelegala, în mod greşit admite cererea reclamantului, dând eficienta disp. art. 90 din Tratatul Uniunii Europene si înlăturând de la aplicare prevederile art. 4 din OUG 9/2013, motivând ca ele contravin reglementarilor comunitare. </w:t>
      </w:r>
    </w:p>
    <w:p w14:paraId="36DC8680" w14:textId="77777777" w:rsidR="00B1665A" w:rsidRDefault="00B1665A" w:rsidP="00B1665A">
      <w:pPr>
        <w:ind w:firstLine="720"/>
        <w:jc w:val="both"/>
      </w:pPr>
      <w:r>
        <w:t xml:space="preserve">Prin urmare, timbrul de mediu se aplică tuturor autoturismelor second-hand înmatriculate în statul roman, indiferent dacă anterior respectivele vehicule fuseseră înmatriculate într-un stat membru al UE sau în statul român, nefiind încălcat principiul neutralităţii impozitării interne, în cazul competiţiei dintre produsele aflate pe piaţa internă şi produsele importate. </w:t>
      </w:r>
    </w:p>
    <w:p w14:paraId="4520A94D" w14:textId="77777777" w:rsidR="00B1665A" w:rsidRDefault="00B1665A" w:rsidP="00B1665A">
      <w:pPr>
        <w:ind w:firstLine="720"/>
        <w:jc w:val="both"/>
      </w:pPr>
      <w:r>
        <w:t xml:space="preserve">În privinţa hotărârii din 9 iunie 2016, data in cauza C-586/2016 (Vasile Budisan) CJUE declară, în fapt, că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w:t>
      </w:r>
    </w:p>
    <w:p w14:paraId="110BCFC8" w14:textId="77777777" w:rsidR="00B1665A" w:rsidRDefault="00B1665A" w:rsidP="00B1665A">
      <w:pPr>
        <w:ind w:firstLine="720"/>
        <w:jc w:val="both"/>
      </w:pPr>
      <w:r>
        <w:t xml:space="preserve">Curtea se opune ca statul membru respectiv să scutească de această taxă autovehiculele deja înmatriculate pentru care a fost plătită, dar nu a fost restituită o taxă în vigoare anterior declarată incompatibilă cu dreptul Uniunii. </w:t>
      </w:r>
    </w:p>
    <w:p w14:paraId="0D2EF936" w14:textId="77777777" w:rsidR="00B1665A" w:rsidRDefault="00B1665A" w:rsidP="00B1665A">
      <w:pPr>
        <w:ind w:firstLine="720"/>
        <w:jc w:val="both"/>
      </w:pPr>
      <w:r>
        <w:t>Concluzionând, CJUE nu obliga autorităţile romane sa modifice, respectiv sa anuleze dispoziţiile legale referitoare la timbru de mediu. Astfel ca, in mod corect, in baza Ordonanţei de urgenţă a Guvernului nr. 9/2013, organele fiscale au încasat timbrul de mediu de la reclamant.</w:t>
      </w:r>
    </w:p>
    <w:p w14:paraId="5E1B4004" w14:textId="0659744B" w:rsidR="00B1665A" w:rsidRDefault="00B1665A" w:rsidP="00B1665A">
      <w:pPr>
        <w:ind w:firstLine="720"/>
        <w:jc w:val="both"/>
      </w:pPr>
      <w:r>
        <w:t xml:space="preserve">Se poate observa că instanţa de fond în dispozitivul hotărârii obligă </w:t>
      </w:r>
      <w:r w:rsidR="000E03DD">
        <w:t>.....A....</w:t>
      </w:r>
      <w:r>
        <w:t xml:space="preserve"> </w:t>
      </w:r>
      <w:r w:rsidR="000E03DD">
        <w:t>.....O...</w:t>
      </w:r>
      <w:r>
        <w:t xml:space="preserve"> si </w:t>
      </w:r>
      <w:r w:rsidR="000E03DD">
        <w:t>.....A3...</w:t>
      </w:r>
      <w:r>
        <w:t xml:space="preserve">, in solidar, la plata sumei reprezentând timbrul de mediu, precum si dobânda fiscala calculata de la data achitarii taxei până la data plaţii efective.  </w:t>
      </w:r>
    </w:p>
    <w:p w14:paraId="5673CA85" w14:textId="465E17FB" w:rsidR="00B1665A" w:rsidRDefault="00B1665A" w:rsidP="00B1665A">
      <w:pPr>
        <w:ind w:firstLine="720"/>
        <w:jc w:val="both"/>
      </w:pPr>
      <w:r>
        <w:t xml:space="preserve">Dar potrivit dispoziţiilor art. 3 din H.G. nr. 88/2013 privind aprobarea normelor -metodologice de aplicare a O.U.G. nr. 9/2013, organul fiscal </w:t>
      </w:r>
      <w:r w:rsidR="000E03DD">
        <w:t>.....A....</w:t>
      </w:r>
      <w:r>
        <w:t xml:space="preserve"> </w:t>
      </w:r>
      <w:r w:rsidR="000E03DD">
        <w:t>.....O...</w:t>
      </w:r>
      <w:r>
        <w:t xml:space="preserve"> nu este beneficiarul sumei reprezentând timbru de mediu si nu poate fi obligat la restituirea acesteia, precum si la plata dobânzii fiscale.</w:t>
      </w:r>
    </w:p>
    <w:p w14:paraId="332D2DD4" w14:textId="77777777" w:rsidR="00B1665A" w:rsidRDefault="00B1665A" w:rsidP="00B1665A">
      <w:pPr>
        <w:ind w:firstLine="708"/>
        <w:jc w:val="both"/>
        <w:rPr>
          <w:color w:val="000000"/>
        </w:rPr>
      </w:pPr>
      <w:r>
        <w:rPr>
          <w:color w:val="000000"/>
        </w:rPr>
        <w:t>Pentru toate considerentele de fapt şi de drept expuse mai sus, recurenţii au solicitat admiterea recursului, casarea hotărârii recurate şi, în urma rejudecării cauzei, respingerea acţiunii ca neîntemeiate.</w:t>
      </w:r>
    </w:p>
    <w:p w14:paraId="6743EBDD" w14:textId="77777777" w:rsidR="00B1665A" w:rsidRDefault="00B1665A" w:rsidP="00B1665A">
      <w:pPr>
        <w:ind w:firstLine="708"/>
        <w:jc w:val="both"/>
        <w:rPr>
          <w:color w:val="000000"/>
        </w:rPr>
      </w:pPr>
      <w:r>
        <w:rPr>
          <w:color w:val="000000"/>
        </w:rPr>
        <w:t>În drept, recursul a fost întemeiat pe dispoziţiile art. 488 pct. 8 din noul Cod de Procedură Civilă.</w:t>
      </w:r>
    </w:p>
    <w:p w14:paraId="33BC72EC" w14:textId="77777777" w:rsidR="00B1665A" w:rsidRDefault="00B1665A" w:rsidP="00B1665A">
      <w:pPr>
        <w:ind w:firstLine="708"/>
        <w:jc w:val="both"/>
        <w:rPr>
          <w:color w:val="000000"/>
        </w:rPr>
      </w:pPr>
      <w:r>
        <w:rPr>
          <w:color w:val="000000"/>
        </w:rPr>
        <w:t xml:space="preserve">În temeiul art. 411 alin. 1 pct. 2 N.C.proc.civ., au solicitat judecarea cauzei în lipsă. </w:t>
      </w:r>
    </w:p>
    <w:p w14:paraId="5F91A851" w14:textId="77777777" w:rsidR="00B1665A" w:rsidRDefault="00B1665A" w:rsidP="00B1665A">
      <w:pPr>
        <w:ind w:firstLine="708"/>
        <w:jc w:val="both"/>
        <w:rPr>
          <w:color w:val="000000"/>
        </w:rPr>
      </w:pPr>
      <w:r>
        <w:rPr>
          <w:bCs/>
          <w:color w:val="000000"/>
        </w:rPr>
        <w:t>Intimatul reclamant şi intimata pârâtă nu au formulat întâmpinare în prezenta cauză.</w:t>
      </w:r>
    </w:p>
    <w:p w14:paraId="71F30A6F" w14:textId="77777777" w:rsidR="00B1665A" w:rsidRDefault="00B1665A" w:rsidP="00B1665A">
      <w:pPr>
        <w:ind w:firstLine="708"/>
        <w:jc w:val="both"/>
        <w:rPr>
          <w:b/>
          <w:color w:val="000000"/>
        </w:rPr>
      </w:pPr>
      <w:r>
        <w:rPr>
          <w:b/>
          <w:color w:val="000000"/>
        </w:rPr>
        <w:t>Examinând recursul prin prisma motivelor formulate şi dispoziţiilor legale incidente în cauză, Curtea constată următoarele:</w:t>
      </w:r>
    </w:p>
    <w:p w14:paraId="13E42A74" w14:textId="70BC5725" w:rsidR="00B1665A" w:rsidRDefault="00B1665A" w:rsidP="00B1665A">
      <w:pPr>
        <w:ind w:firstLine="708"/>
        <w:jc w:val="both"/>
      </w:pPr>
      <w:r>
        <w:t xml:space="preserve">Reclamantul a cumpărat un autoturism second-hand, iar pentru înmatricularea acestuia a achitat suma de 2.025 lei cu titlu de taxă timbru de mediu la data de 25.03.2015 (fila </w:t>
      </w:r>
      <w:r w:rsidR="000E03DD">
        <w:t>.....</w:t>
      </w:r>
      <w:r>
        <w:t>dosar fond), înmatricularea autoturismului făcându-se doar în condiţiile achitării acestei obligaţii. Reclamantul a solicitat recurentei pârâte restituirea integrală a taxei, iar aceasta i-a comunicat refuzul restituirii sumei solicitate.</w:t>
      </w:r>
    </w:p>
    <w:p w14:paraId="333D6DCC" w14:textId="77777777" w:rsidR="00B1665A" w:rsidRDefault="00B1665A" w:rsidP="00B1665A">
      <w:pPr>
        <w:ind w:firstLine="708"/>
        <w:jc w:val="both"/>
      </w:pPr>
      <w:r>
        <w:t xml:space="preserve">Cererea reclamantului vizează incompatibilitatea dispoziţiilor O.U.G. nr. 9/2013 cu cele ale Tratatului CE, cu consecinţa nelegalităţii timbrului de mediu. Timbrul de mediu este reglementat de O.U.G. nr. 9/2013 care a intrat în vigoare la data de 15.03.2013, aşa cum rezultă </w:t>
      </w:r>
      <w:r>
        <w:lastRenderedPageBreak/>
        <w:t>din art. 17 din acest act normativ şi care a abrogat Legea nr. 9/2012 privind taxa pentru emisiile poluante.</w:t>
      </w:r>
    </w:p>
    <w:p w14:paraId="56A9F3CA" w14:textId="77777777" w:rsidR="00B1665A" w:rsidRDefault="00B1665A" w:rsidP="00B1665A">
      <w:pPr>
        <w:autoSpaceDE w:val="0"/>
        <w:autoSpaceDN w:val="0"/>
        <w:adjustRightInd w:val="0"/>
        <w:ind w:firstLine="708"/>
        <w:jc w:val="both"/>
      </w:pPr>
      <w:r>
        <w:t>Potrivit art. 4 din O.U.G. nr. 9/2013, obligaţia de plată a timbrului intervine o singură dată, astfel: a) cu ocazia înscrierii în evidenţele autorităţii competente, potrivit legii, a dobândirii dreptului de proprietate asupra unui autovehicul de către primul proprietar din România şi atribuirea unui certificat de înmatriculare şi a numărului de înmatriculare; b) la reintroducerea în parcul auto naţional a unui autovehicul, în cazul în care, la momentul scoaterii sale din parcul auto naţional, i s-a restituit proprietarului valoarea reziduală a timbrului, în conformitate cu prevederile art. 7; c)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14:paraId="50FA6D90" w14:textId="77777777" w:rsidR="00B1665A" w:rsidRDefault="00B1665A" w:rsidP="00B1665A">
      <w:pPr>
        <w:ind w:firstLine="708"/>
        <w:jc w:val="both"/>
      </w:pPr>
      <w:r>
        <w:t>Reclamantul a solicitat restituirea unei taxe pretins percepută nelegal de către organul fiscal. Aşadar, se contestă de plano legalitatea taxei. În ceea ce priveşte procedura prealabilă, instanţa reţine că în jurisprudenţa Curţii se statuează că particularii au dreptul la rambursarea impozitelor naţionale aplicate cu încălcarea dreptului Uniunii Europene şi revine ordinii juridice din fiecare stat membru atribuţia de a desemna instanţele competente şi de a stabili modalităţile procedurale aplicabile în materie.</w:t>
      </w:r>
    </w:p>
    <w:p w14:paraId="324A1DB5" w14:textId="77777777" w:rsidR="00B1665A" w:rsidRDefault="00B1665A" w:rsidP="00B1665A">
      <w:pPr>
        <w:ind w:firstLine="708"/>
        <w:jc w:val="both"/>
      </w:pPr>
      <w:r>
        <w:t>Curtea reţine că instanţa de fond a analizat corect compatibilitatea O.U.G. nr. 9/2013 cu prevederile comunitare incidente, criticile recurentei pârâte pe aceste aspecte fiind nefondate. Conform jurisprudenţei Curţii Europene de Justiţie, noţiunea de taxă cu efect echivalent constă în orice taxă pecuniară impusă unilateral asupra mărfurilor în temeiul faptului că trec frontiera, oricare ar fi denumirea şi modul de aplicare al acesteia, iar un sistem de taxare care să fie considerat compatibil cu art. 110, fost 90, din Tratatul Comunităţii Europene, trebuie să excludă orice posibilitate ca produsele importate să fie supuse unor taxe mai mari decât produsele similare, naţionale şi să nu producă în nici un caz efecte discriminatorii.</w:t>
      </w:r>
    </w:p>
    <w:p w14:paraId="60626DE9" w14:textId="77777777" w:rsidR="00B1665A" w:rsidRDefault="00B1665A" w:rsidP="00B1665A">
      <w:pPr>
        <w:ind w:firstLine="708"/>
        <w:jc w:val="both"/>
        <w:rPr>
          <w:bCs/>
          <w:bdr w:val="none" w:sz="0" w:space="0" w:color="auto" w:frame="1"/>
        </w:rPr>
      </w:pPr>
      <w:r>
        <w:t>Î</w:t>
      </w:r>
      <w:r>
        <w:rPr>
          <w:bCs/>
          <w:kern w:val="36"/>
        </w:rPr>
        <w:t xml:space="preserve">n </w:t>
      </w:r>
      <w:r>
        <w:t xml:space="preserve">Hotărârea Curţii din 9 iunie 2016 în cauza Budişan, C-586/14 (trimiterea preliminară formulată de Curtea de Apel Cluj), </w:t>
      </w:r>
      <w:r>
        <w:rPr>
          <w:rStyle w:val="rvts21"/>
        </w:rPr>
        <w:t>Curtea de Justiţie a Uniunii Europene a reţinut că „a</w:t>
      </w:r>
      <w:r>
        <w:rPr>
          <w:bCs/>
          <w:bdr w:val="none" w:sz="0" w:space="0" w:color="auto" w:frame="1"/>
        </w:rPr>
        <w:t>rticolul 110 TFUE trebuie interpretat în sensul că: -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w:t>
      </w:r>
      <w:r>
        <w:t xml:space="preserve"> </w:t>
      </w:r>
      <w:r>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3B1F7696" w14:textId="77777777" w:rsidR="00B1665A" w:rsidRDefault="00B1665A" w:rsidP="00B1665A">
      <w:pPr>
        <w:ind w:firstLine="708"/>
        <w:jc w:val="both"/>
        <w:rPr>
          <w:rStyle w:val="Strong"/>
        </w:rPr>
      </w:pPr>
      <w:r>
        <w:rPr>
          <w:rStyle w:val="Strong"/>
          <w:b w:val="0"/>
          <w:bdr w:val="none" w:sz="0" w:space="0" w:color="auto" w:frame="1"/>
        </w:rPr>
        <w:t>Hotărârea dată în cauza Manea C-76/14 vizează compatibilitatea cu dreptul Uniunii Europene a taxei pe emisii poluante prevăzută de Legea nr. 9/2012, dar ulterior raţionamentul a fost reluat în Cauza Budişan C-586/14 în care CJUE a statuat cu privire la compatibilitatea cu dreptul Uniunii Europene a timbrului de mediu, astfel:</w:t>
      </w:r>
    </w:p>
    <w:p w14:paraId="41152465" w14:textId="77777777" w:rsidR="00B1665A" w:rsidRDefault="00B1665A" w:rsidP="00B1665A">
      <w:pPr>
        <w:ind w:firstLine="720"/>
        <w:jc w:val="both"/>
      </w:pPr>
      <w:r>
        <w:rPr>
          <w:rStyle w:val="Strong"/>
          <w:bdr w:val="none" w:sz="0" w:space="0" w:color="auto" w:frame="1"/>
        </w:rPr>
        <w:t>„</w:t>
      </w:r>
      <w:r>
        <w:t>36 Taxa specială trebuie considerată incompatibilă cu articolul 110 TFUE din moment ce prezenta caracteristici identice cu cele ale OUG nr. 50/2008, incompatibile cu acest articol (a se vedea în acest sens Hotărârea din 14 aprilie 2015, Manea, C</w:t>
      </w:r>
      <w:r>
        <w:noBreakHyphen/>
        <w:t>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anterior în România (a se vedea în acest sens Hotărârea din 14 aprilie 2015, Manea, C</w:t>
      </w:r>
      <w:r>
        <w:noBreakHyphen/>
        <w:t>76/14, EU:C:2015:216, punctele 47-50).</w:t>
      </w:r>
    </w:p>
    <w:p w14:paraId="6322109B" w14:textId="77777777" w:rsidR="00B1665A" w:rsidRDefault="00B1665A" w:rsidP="00B1665A">
      <w:pPr>
        <w:ind w:firstLine="720"/>
        <w:jc w:val="both"/>
      </w:pPr>
      <w:bookmarkStart w:id="12" w:name="point37"/>
      <w:bookmarkEnd w:id="12"/>
      <w:r>
        <w:lastRenderedPageBreak/>
        <w:t>37 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Manea, C</w:t>
      </w:r>
      <w:r>
        <w:noBreakHyphen/>
        <w:t>76/14, EU:C:2015:216, punctele 47-51).</w:t>
      </w:r>
    </w:p>
    <w:p w14:paraId="2CE3E2F3" w14:textId="77777777" w:rsidR="00B1665A" w:rsidRDefault="00B1665A" w:rsidP="00B1665A">
      <w:pPr>
        <w:ind w:firstLine="720"/>
        <w:jc w:val="both"/>
      </w:pPr>
      <w:bookmarkStart w:id="13" w:name="point38"/>
      <w:bookmarkEnd w:id="13"/>
      <w:r>
        <w:t>38 Astfel, potrivit unei jurisprudenţe constante a Curţii, valoarea taxei percepute cu ocazia înmatriculării unui autovehicul se încorporează în valoarea acestui autovehicul. Atunci când un autovehicul înmatriculat cu plata unei taxe într</w:t>
      </w:r>
      <w:r>
        <w:noBreakHyphen/>
        <w:t>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w:t>
      </w:r>
      <w:r>
        <w:noBreakHyphen/>
        <w:t>437/12, EU:C:2013:857, punctele 30 şi 31, precum şi jurisprudenţa citată).</w:t>
      </w:r>
    </w:p>
    <w:p w14:paraId="3D86598C" w14:textId="77777777" w:rsidR="00B1665A" w:rsidRDefault="00B1665A" w:rsidP="00B1665A">
      <w:pPr>
        <w:ind w:firstLine="708"/>
        <w:jc w:val="both"/>
      </w:pPr>
      <w:bookmarkStart w:id="14" w:name="point39"/>
      <w:bookmarkEnd w:id="14"/>
      <w:r>
        <w:t>În aceste condiţii, o taxă incompatibilă cu dreptul Uniunii, precum cele menţionate la punctul 35 din prezenta hotărâre, trebuie să fie restituită cu dobândă (a se vedea în acest sens Hotărârea din 18 aprilie 2013, Irimie, C</w:t>
      </w:r>
      <w:r>
        <w:noBreakHyphen/>
        <w:t>565/11, EU:C:2013:250, punctele 20 şi 21, precum şi Hotărârea din 15 octombrie 2014, Nicula, C</w:t>
      </w:r>
      <w:r>
        <w:noBreakHyphen/>
        <w:t>331/13, EU:C:2014:2285, punctele 27 şi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mediu, aplicată unui autovehicul rulat importat de acelaşi tip, având aceleaşi caracteristici şi aceeaşi uzură (a se vedea în acest sens Hotărârea din 14 aprilie 2015, Manea, C</w:t>
      </w:r>
      <w:r>
        <w:noBreakHyphen/>
        <w:t xml:space="preserve">76/14, EU:C:2015:216, punctul 50). </w:t>
      </w:r>
    </w:p>
    <w:p w14:paraId="66261E75" w14:textId="77777777" w:rsidR="00B1665A" w:rsidRDefault="00B1665A" w:rsidP="00B1665A">
      <w:pPr>
        <w:jc w:val="both"/>
      </w:pPr>
      <w:r>
        <w:t xml:space="preserve"> </w:t>
      </w:r>
      <w:r>
        <w:tab/>
      </w:r>
      <w:r>
        <w:rPr>
          <w:rStyle w:val="Strong"/>
          <w:b w:val="0"/>
          <w:bdr w:val="none" w:sz="0" w:space="0" w:color="auto" w:frame="1"/>
        </w:rPr>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14:paraId="5F6B5D19" w14:textId="77777777" w:rsidR="00B1665A" w:rsidRDefault="00B1665A" w:rsidP="00B1665A">
      <w:pPr>
        <w:ind w:firstLine="720"/>
        <w:jc w:val="both"/>
      </w:pPr>
      <w:bookmarkStart w:id="15" w:name="point41"/>
      <w:bookmarkEnd w:id="15"/>
      <w:r>
        <w:t xml:space="preserve">41 </w:t>
      </w:r>
      <w:r>
        <w:rPr>
          <w:rStyle w:val="Strong"/>
          <w:b w:val="0"/>
          <w:bdr w:val="none" w:sz="0" w:space="0" w:color="auto" w:frame="1"/>
        </w:rPr>
        <w:t>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14:paraId="34DF65D1" w14:textId="77777777" w:rsidR="00B1665A" w:rsidRDefault="00B1665A" w:rsidP="00B1665A">
      <w:pPr>
        <w:ind w:firstLine="720"/>
        <w:jc w:val="both"/>
      </w:pPr>
      <w:bookmarkStart w:id="16" w:name="point42"/>
      <w:bookmarkEnd w:id="16"/>
      <w:r>
        <w:rPr>
          <w:rStyle w:val="Strong"/>
          <w:b w:val="0"/>
          <w:bdr w:val="none" w:sz="0" w:space="0" w:color="auto" w:frame="1"/>
        </w:rPr>
        <w:t>42 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w:t>
      </w:r>
      <w:r>
        <w:rPr>
          <w:rStyle w:val="Strong"/>
          <w:b w:val="0"/>
          <w:bdr w:val="none" w:sz="0" w:space="0" w:color="auto" w:frame="1"/>
        </w:rPr>
        <w:noBreakHyphen/>
        <w:t>un alt stat membru vor fi invariabil supuse timbrului de mediu prevăzut de OUG nr. 9/2013 la înscrierea în România a dreptului de proprietate asupra acestor vehicule. Astfel, o scutire precum cea rezultată din această dispoziţie este de natură să ofere un avantaj concurenţial vehiculelor rulate prezente deja pe piaţa românească şi, în consecinţă, să descurajeze importul de vehicule similare din alte state membre.</w:t>
      </w:r>
      <w:bookmarkStart w:id="17" w:name="point43"/>
      <w:bookmarkEnd w:id="17"/>
      <w:r>
        <w:rPr>
          <w:rStyle w:val="Strong"/>
          <w:b w:val="0"/>
          <w:bdr w:val="none" w:sz="0" w:space="0" w:color="auto" w:frame="1"/>
        </w:rPr>
        <w:t>”</w:t>
      </w:r>
    </w:p>
    <w:p w14:paraId="7951E5AE" w14:textId="77777777" w:rsidR="00B1665A" w:rsidRDefault="00B1665A" w:rsidP="00B1665A">
      <w:pPr>
        <w:ind w:firstLine="708"/>
        <w:jc w:val="both"/>
        <w:rPr>
          <w:rStyle w:val="PageNumber"/>
        </w:rPr>
      </w:pPr>
      <w:r>
        <w:t xml:space="preserve">În raport de aceste considerente CJUE a statuat că articolul 110 TFUE trebuie interpretat în sensul că </w:t>
      </w:r>
      <w:r>
        <w:rPr>
          <w:rStyle w:val="Strong"/>
          <w:b w:val="0"/>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55E52D7C" w14:textId="77777777" w:rsidR="00B1665A" w:rsidRDefault="00B1665A" w:rsidP="00B1665A">
      <w:pPr>
        <w:ind w:firstLine="708"/>
        <w:jc w:val="both"/>
      </w:pPr>
      <w:r>
        <w:t xml:space="preserve">În contextul creat prin pronunţarea hotărârii Curţii de Justiţie a Uniunii Europene care a stabilit că taxa reprezentând timbru de mediu reglementată de O.U.G. nr. 9/2013 contravine prevederilor art. 110 din Tratatul privind funcţionarea Uniunii Europene, principiul supremaţiei dreptului european determină concluzia că aceste din urmă dispoziţii legale prevalează. </w:t>
      </w:r>
    </w:p>
    <w:p w14:paraId="540ECFD4" w14:textId="77777777" w:rsidR="00B1665A" w:rsidRDefault="00B1665A" w:rsidP="00B1665A">
      <w:pPr>
        <w:ind w:firstLine="708"/>
        <w:jc w:val="both"/>
      </w:pPr>
      <w:r>
        <w:t xml:space="preserve">După aderarea României </w:t>
      </w:r>
      <w:smartTag w:uri="urn:schemas-microsoft-com:office:smarttags" w:element="PersonName">
        <w:smartTagPr>
          <w:attr w:name="ProductID" w:val="la Uniunea Europeană"/>
        </w:smartTagPr>
        <w:r>
          <w:t>la Uniunea Europeană</w:t>
        </w:r>
      </w:smartTag>
      <w:r>
        <w:t xml:space="preserve">, orice prevedere din dreptul naţional trebuie să dea prioritate regulilor de drept european, iar autorităţile statale au obligaţia a respecta dreptul european. </w:t>
      </w:r>
    </w:p>
    <w:p w14:paraId="5747D36D" w14:textId="77777777" w:rsidR="00B1665A" w:rsidRDefault="00B1665A" w:rsidP="00B1665A">
      <w:pPr>
        <w:ind w:firstLine="708"/>
        <w:jc w:val="both"/>
      </w:pPr>
      <w:r>
        <w:lastRenderedPageBreak/>
        <w:t>Instanţa de recurs constată că instanţa de fond a dat o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w:t>
      </w:r>
    </w:p>
    <w:p w14:paraId="7986ED83" w14:textId="77777777" w:rsidR="00B1665A" w:rsidRDefault="00B1665A" w:rsidP="00B1665A">
      <w:pPr>
        <w:ind w:firstLine="708"/>
        <w:jc w:val="both"/>
      </w:pPr>
      <w:r>
        <w:t xml:space="preserve">Critica referitoare la greşita acordare a dobânzii legale este neîntemeiată, întrucât, în raport de Hotărârea CJUE pronunţată în cauza C-561/11, </w:t>
      </w:r>
      <w:r>
        <w:rPr>
          <w:iCs/>
        </w:rPr>
        <w:t xml:space="preserve">în mod corect instanţa de fond a apreciat că reclamantul are dreptul la plata dobânzii legale începând cu </w:t>
      </w:r>
      <w:r>
        <w:t>data plăţii şi până la data restituirii efective a taxei.</w:t>
      </w:r>
    </w:p>
    <w:p w14:paraId="4852B087" w14:textId="3D3C03AF" w:rsidR="00B1665A" w:rsidRDefault="00B1665A" w:rsidP="00B1665A">
      <w:pPr>
        <w:ind w:firstLine="708"/>
        <w:jc w:val="both"/>
      </w:pPr>
      <w:r>
        <w:t xml:space="preserve">Pentru aceste considerente, criticile formulate de recurenta pârâtă sunt nefondate, astfel că, în temeiul art. 496 alin. 1 N.C.proc.civ., recursul declarat de recurenta pârâtă </w:t>
      </w:r>
      <w:r w:rsidR="000E03DD">
        <w:t>.....A....</w:t>
      </w:r>
      <w:r w:rsidRPr="00EC642F">
        <w:t xml:space="preserve"> </w:t>
      </w:r>
      <w:r w:rsidR="000E03DD">
        <w:t>.....O...</w:t>
      </w:r>
      <w:r w:rsidRPr="00EC642F">
        <w:t xml:space="preserve"> în nume propriu, pentru </w:t>
      </w:r>
      <w:r w:rsidR="000E03DD">
        <w:t>.....A1...</w:t>
      </w:r>
      <w:r w:rsidRPr="00EC642F">
        <w:t xml:space="preserve"> </w:t>
      </w:r>
      <w:r w:rsidR="000E03DD">
        <w:t>.....C...</w:t>
      </w:r>
      <w:r w:rsidRPr="00EC642F">
        <w:t xml:space="preserve"> şi pentru </w:t>
      </w:r>
      <w:r w:rsidR="000E03DD">
        <w:t>.....A2...</w:t>
      </w:r>
      <w:r w:rsidRPr="00EC642F">
        <w:t>,</w:t>
      </w:r>
      <w:r>
        <w:t xml:space="preserve"> va fi respins ca nefondat.</w:t>
      </w:r>
    </w:p>
    <w:p w14:paraId="274B014A" w14:textId="77777777" w:rsidR="00B1665A" w:rsidRDefault="00B1665A" w:rsidP="00B1665A">
      <w:pPr>
        <w:jc w:val="center"/>
      </w:pPr>
    </w:p>
    <w:p w14:paraId="037D29FC" w14:textId="77777777" w:rsidR="00B1665A" w:rsidRPr="00EC642F" w:rsidRDefault="00B1665A" w:rsidP="00B1665A">
      <w:pPr>
        <w:jc w:val="center"/>
      </w:pPr>
      <w:r w:rsidRPr="00EC642F">
        <w:t>PENTRU ACESTE MOTIVE,</w:t>
      </w:r>
      <w:r w:rsidRPr="00EC642F">
        <w:br/>
        <w:t>ÎN NUMELE LEGII</w:t>
      </w:r>
    </w:p>
    <w:p w14:paraId="73C06191" w14:textId="77777777" w:rsidR="00B1665A" w:rsidRPr="00EC642F" w:rsidRDefault="00B1665A" w:rsidP="00B1665A">
      <w:pPr>
        <w:jc w:val="center"/>
      </w:pPr>
      <w:r w:rsidRPr="00EC642F">
        <w:t>DECIDE:</w:t>
      </w:r>
    </w:p>
    <w:p w14:paraId="366BDA48" w14:textId="77777777" w:rsidR="00B1665A" w:rsidRDefault="00B1665A" w:rsidP="00B1665A">
      <w:pPr>
        <w:jc w:val="both"/>
      </w:pPr>
    </w:p>
    <w:p w14:paraId="62A1D77E" w14:textId="34A6A957" w:rsidR="00B1665A" w:rsidRDefault="00B1665A" w:rsidP="00B1665A">
      <w:pPr>
        <w:ind w:firstLine="708"/>
        <w:jc w:val="both"/>
      </w:pPr>
      <w:r>
        <w:t xml:space="preserve">Respinge recursul declarat de recurenta pârâtă </w:t>
      </w:r>
      <w:r w:rsidR="000E03DD">
        <w:rPr>
          <w:b/>
        </w:rPr>
        <w:t>.....A....</w:t>
      </w:r>
      <w:r>
        <w:rPr>
          <w:b/>
        </w:rPr>
        <w:t xml:space="preserve"> </w:t>
      </w:r>
      <w:r w:rsidR="000E03DD">
        <w:rPr>
          <w:b/>
        </w:rPr>
        <w:t>.....O...</w:t>
      </w:r>
      <w:r w:rsidRPr="00CC3FDA">
        <w:rPr>
          <w:b/>
        </w:rPr>
        <w:t xml:space="preserve"> </w:t>
      </w:r>
      <w:r>
        <w:rPr>
          <w:b/>
        </w:rPr>
        <w:t xml:space="preserve">în nume propriu, pentru </w:t>
      </w:r>
      <w:r w:rsidR="000E03DD">
        <w:rPr>
          <w:b/>
        </w:rPr>
        <w:t>.....A1...</w:t>
      </w:r>
      <w:r>
        <w:rPr>
          <w:b/>
        </w:rPr>
        <w:t xml:space="preserve"> </w:t>
      </w:r>
      <w:r w:rsidR="000E03DD">
        <w:rPr>
          <w:b/>
        </w:rPr>
        <w:t>.....C...</w:t>
      </w:r>
      <w:r>
        <w:rPr>
          <w:b/>
        </w:rPr>
        <w:t xml:space="preserve"> şi pentru </w:t>
      </w:r>
      <w:r w:rsidR="000E03DD">
        <w:rPr>
          <w:b/>
        </w:rPr>
        <w:t>.....A2...</w:t>
      </w:r>
      <w:r>
        <w:t xml:space="preserve">, în contradictoriu cu intimatul reclamant </w:t>
      </w:r>
      <w:r w:rsidR="000E03DD">
        <w:rPr>
          <w:b/>
        </w:rPr>
        <w:t>.....B...</w:t>
      </w:r>
      <w:r>
        <w:rPr>
          <w:b/>
        </w:rPr>
        <w:t xml:space="preserve"> </w:t>
      </w:r>
      <w:r>
        <w:t xml:space="preserve">şi intimata pârâtă </w:t>
      </w:r>
      <w:r w:rsidR="000E03DD">
        <w:rPr>
          <w:b/>
        </w:rPr>
        <w:t>.....A3...</w:t>
      </w:r>
      <w:r>
        <w:t xml:space="preserve"> împotriva sentinţei nr. </w:t>
      </w:r>
      <w:r w:rsidR="000E03DD">
        <w:t>....a...</w:t>
      </w:r>
      <w:r>
        <w:t xml:space="preserve">, pronunţată de Tribunalul </w:t>
      </w:r>
      <w:r w:rsidR="000E03DD">
        <w:t>.....O...</w:t>
      </w:r>
      <w:r>
        <w:t xml:space="preserve">, </w:t>
      </w:r>
      <w:r w:rsidR="000E03DD">
        <w:t>.......</w:t>
      </w:r>
      <w:r>
        <w:rPr>
          <w:bCs/>
        </w:rPr>
        <w:t>,</w:t>
      </w:r>
      <w:r>
        <w:t xml:space="preserve"> în dosarul nr. </w:t>
      </w:r>
      <w:r w:rsidR="000E03DD">
        <w:t>.......</w:t>
      </w:r>
      <w:r>
        <w:t>, având ca obiect „pretenţii”.</w:t>
      </w:r>
    </w:p>
    <w:p w14:paraId="75D4E6B8" w14:textId="77777777" w:rsidR="00B1665A" w:rsidRDefault="00B1665A" w:rsidP="00B1665A">
      <w:pPr>
        <w:ind w:firstLine="708"/>
        <w:jc w:val="both"/>
      </w:pPr>
      <w:r>
        <w:t>Definitivă.</w:t>
      </w:r>
    </w:p>
    <w:p w14:paraId="03A41AE8" w14:textId="41E8D09A" w:rsidR="00B1665A" w:rsidRDefault="00B1665A" w:rsidP="00B1665A">
      <w:pPr>
        <w:ind w:firstLine="708"/>
        <w:jc w:val="both"/>
      </w:pPr>
      <w:r>
        <w:t xml:space="preserve">Pronunţată în şedinţa </w:t>
      </w:r>
      <w:r>
        <w:fldChar w:fldCharType="begin">
          <w:ffData>
            <w:name w:val="tip_sedinta_copie_2"/>
            <w:enabled/>
            <w:calcOnExit w:val="0"/>
            <w:textInput/>
          </w:ffData>
        </w:fldChar>
      </w:r>
      <w:r>
        <w:instrText xml:space="preserve"> FORMTEXT </w:instrText>
      </w:r>
      <w:r>
        <w:fldChar w:fldCharType="separate"/>
      </w:r>
      <w:r>
        <w:t>publică</w:t>
      </w:r>
      <w:r>
        <w:fldChar w:fldCharType="end"/>
      </w:r>
      <w:r>
        <w:t xml:space="preserve"> de la </w:t>
      </w:r>
      <w:r w:rsidR="000E03DD">
        <w:t>.....</w:t>
      </w:r>
      <w:r>
        <w:t>.</w:t>
      </w:r>
    </w:p>
    <w:p w14:paraId="3169C253" w14:textId="12ABB81F" w:rsidR="00B1665A" w:rsidRDefault="000E03DD" w:rsidP="00B1665A">
      <w:pPr>
        <w:jc w:val="center"/>
      </w:pPr>
      <w:r>
        <w:t>.....A1022....</w:t>
      </w:r>
    </w:p>
    <w:p w14:paraId="4150BF1F" w14:textId="77777777" w:rsidR="00B1665A" w:rsidRDefault="00B1665A" w:rsidP="00B1665A">
      <w:pPr>
        <w:jc w:val="center"/>
      </w:pPr>
    </w:p>
    <w:p w14:paraId="51C0E15A" w14:textId="77777777" w:rsidR="00B1665A" w:rsidRDefault="00B1665A" w:rsidP="00B1665A">
      <w:pPr>
        <w:jc w:val="both"/>
        <w:rPr>
          <w:color w:val="000000"/>
          <w:sz w:val="20"/>
          <w:szCs w:val="20"/>
        </w:rPr>
      </w:pPr>
    </w:p>
    <w:p w14:paraId="6F921268" w14:textId="77777777" w:rsidR="00B1665A" w:rsidRDefault="00B1665A" w:rsidP="00B1665A">
      <w:pPr>
        <w:jc w:val="both"/>
        <w:rPr>
          <w:color w:val="000000"/>
          <w:sz w:val="20"/>
          <w:szCs w:val="20"/>
        </w:rPr>
      </w:pPr>
    </w:p>
    <w:p w14:paraId="51D92261" w14:textId="77777777" w:rsidR="00B1665A" w:rsidRDefault="00B1665A" w:rsidP="00B1665A">
      <w:pPr>
        <w:jc w:val="both"/>
        <w:rPr>
          <w:color w:val="000000"/>
          <w:sz w:val="20"/>
          <w:szCs w:val="20"/>
        </w:rPr>
      </w:pPr>
    </w:p>
    <w:p w14:paraId="1208D429" w14:textId="77777777" w:rsidR="00B1665A" w:rsidRDefault="00B1665A" w:rsidP="00B1665A">
      <w:pPr>
        <w:jc w:val="both"/>
        <w:rPr>
          <w:color w:val="000000"/>
          <w:sz w:val="20"/>
          <w:szCs w:val="20"/>
        </w:rPr>
      </w:pPr>
    </w:p>
    <w:p w14:paraId="435D0B85" w14:textId="2A3DB2A5" w:rsidR="00B1665A" w:rsidRDefault="000E03DD" w:rsidP="00B1665A">
      <w:r>
        <w:rPr>
          <w:color w:val="000000"/>
          <w:sz w:val="20"/>
          <w:szCs w:val="20"/>
        </w:rPr>
        <w:t>......</w:t>
      </w:r>
      <w:bookmarkStart w:id="18" w:name="_GoBack"/>
      <w:bookmarkEnd w:id="18"/>
    </w:p>
    <w:p w14:paraId="638FB58C" w14:textId="77777777" w:rsidR="00B1665A" w:rsidRDefault="00B1665A" w:rsidP="00B1665A"/>
    <w:p w14:paraId="1F55F967" w14:textId="77777777" w:rsidR="00041DB3" w:rsidRDefault="00041DB3"/>
    <w:sectPr w:rsidR="00041DB3" w:rsidSect="00EB452C">
      <w:footerReference w:type="default" r:id="rId6"/>
      <w:pgSz w:w="11906" w:h="16838"/>
      <w:pgMar w:top="737" w:right="1304" w:bottom="737"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268FB" w14:textId="77777777" w:rsidR="00D352BC" w:rsidRDefault="00D352BC">
      <w:r>
        <w:separator/>
      </w:r>
    </w:p>
  </w:endnote>
  <w:endnote w:type="continuationSeparator" w:id="0">
    <w:p w14:paraId="426795DE" w14:textId="77777777" w:rsidR="00D352BC" w:rsidRDefault="00D3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49999" w14:textId="77777777" w:rsidR="00AA298A" w:rsidRDefault="00B1665A">
    <w:pPr>
      <w:pStyle w:val="Footer"/>
      <w:jc w:val="center"/>
    </w:pPr>
    <w:r>
      <w:fldChar w:fldCharType="begin"/>
    </w:r>
    <w:r>
      <w:instrText>PAGE   \* MERGEFORMAT</w:instrText>
    </w:r>
    <w:r>
      <w:fldChar w:fldCharType="separate"/>
    </w:r>
    <w:r>
      <w:rPr>
        <w:noProof/>
      </w:rPr>
      <w:t>1</w:t>
    </w:r>
    <w:r>
      <w:fldChar w:fldCharType="end"/>
    </w:r>
  </w:p>
  <w:p w14:paraId="4BF53EF9" w14:textId="77777777" w:rsidR="00AA298A" w:rsidRDefault="00D35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A7A89" w14:textId="77777777" w:rsidR="00D352BC" w:rsidRDefault="00D352BC">
      <w:r>
        <w:separator/>
      </w:r>
    </w:p>
  </w:footnote>
  <w:footnote w:type="continuationSeparator" w:id="0">
    <w:p w14:paraId="01741C53" w14:textId="77777777" w:rsidR="00D352BC" w:rsidRDefault="00D35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0CD"/>
    <w:rsid w:val="00041DB3"/>
    <w:rsid w:val="000E03DD"/>
    <w:rsid w:val="00223495"/>
    <w:rsid w:val="004D00CD"/>
    <w:rsid w:val="00B1665A"/>
    <w:rsid w:val="00D352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A1E3023"/>
  <w15:chartTrackingRefBased/>
  <w15:docId w15:val="{67917144-092A-4931-AB5A-145856257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65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21">
    <w:name w:val="rvts21"/>
    <w:rsid w:val="00B1665A"/>
  </w:style>
  <w:style w:type="character" w:styleId="Strong">
    <w:name w:val="Strong"/>
    <w:qFormat/>
    <w:rsid w:val="00B1665A"/>
    <w:rPr>
      <w:b/>
      <w:bCs/>
    </w:rPr>
  </w:style>
  <w:style w:type="character" w:styleId="PageNumber">
    <w:name w:val="page number"/>
    <w:unhideWhenUsed/>
    <w:rsid w:val="00B1665A"/>
  </w:style>
  <w:style w:type="paragraph" w:styleId="Footer">
    <w:name w:val="footer"/>
    <w:basedOn w:val="Normal"/>
    <w:link w:val="FooterChar"/>
    <w:uiPriority w:val="99"/>
    <w:rsid w:val="00B1665A"/>
    <w:pPr>
      <w:tabs>
        <w:tab w:val="center" w:pos="4536"/>
        <w:tab w:val="right" w:pos="9072"/>
      </w:tabs>
    </w:pPr>
  </w:style>
  <w:style w:type="character" w:customStyle="1" w:styleId="FooterChar">
    <w:name w:val="Footer Char"/>
    <w:basedOn w:val="DefaultParagraphFont"/>
    <w:link w:val="Footer"/>
    <w:uiPriority w:val="99"/>
    <w:rsid w:val="00B1665A"/>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2636</Words>
  <Characters>15289</Characters>
  <Application>Microsoft Office Word</Application>
  <DocSecurity>0</DocSecurity>
  <Lines>127</Lines>
  <Paragraphs>35</Paragraphs>
  <ScaleCrop>false</ScaleCrop>
  <Company/>
  <LinksUpToDate>false</LinksUpToDate>
  <CharactersWithSpaces>17890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Alexandru-Andrei Bosinta</cp:lastModifiedBy>
  <cp:revision>3</cp:revision>
  <dcterms:created xsi:type="dcterms:W3CDTF">2020-12-10T12:21:00Z</dcterms:created>
  <dcterms:modified xsi:type="dcterms:W3CDTF">2020-12-10T19:53:00Z</dcterms:modified>
</cp:coreProperties>
</file>