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A18EF" w14:textId="3BD1BC59" w:rsidR="0064391E" w:rsidRPr="002341E2" w:rsidRDefault="00415B17" w:rsidP="0064391E">
      <w:r>
        <w:t xml:space="preserve">HOT. NR. </w:t>
      </w:r>
      <w:r w:rsidR="00FA713F">
        <w:t>20</w:t>
      </w:r>
    </w:p>
    <w:p w14:paraId="3F0B63DD" w14:textId="11FCD143" w:rsidR="0064391E" w:rsidRPr="002341E2" w:rsidRDefault="0064391E" w:rsidP="0064391E">
      <w:r w:rsidRPr="002341E2">
        <w:t xml:space="preserve">Dosar nr. </w:t>
      </w:r>
      <w:r w:rsidR="00415B17">
        <w:t>.....</w:t>
      </w:r>
    </w:p>
    <w:p w14:paraId="3302E35D" w14:textId="77777777" w:rsidR="0064391E" w:rsidRPr="002341E2" w:rsidRDefault="0064391E" w:rsidP="0064391E">
      <w:pPr>
        <w:jc w:val="center"/>
      </w:pPr>
      <w:r w:rsidRPr="002341E2">
        <w:t>R O M Â N I A</w:t>
      </w:r>
    </w:p>
    <w:p w14:paraId="10D9249B" w14:textId="77777777" w:rsidR="0064391E" w:rsidRPr="002341E2" w:rsidRDefault="0064391E" w:rsidP="0064391E">
      <w:pPr>
        <w:jc w:val="center"/>
      </w:pPr>
    </w:p>
    <w:p w14:paraId="755DFC29" w14:textId="15173584" w:rsidR="0064391E" w:rsidRPr="002341E2" w:rsidRDefault="00415B17" w:rsidP="0064391E">
      <w:pPr>
        <w:jc w:val="center"/>
      </w:pPr>
      <w:r>
        <w:t>......</w:t>
      </w:r>
    </w:p>
    <w:p w14:paraId="319FB764" w14:textId="002D5FE0" w:rsidR="0064391E" w:rsidRPr="002341E2" w:rsidRDefault="00415B17" w:rsidP="0064391E">
      <w:pPr>
        <w:jc w:val="center"/>
        <w:rPr>
          <w:lang w:val="en-US"/>
        </w:rPr>
      </w:pPr>
      <w:r>
        <w:t>.........</w:t>
      </w:r>
    </w:p>
    <w:p w14:paraId="574B52F7" w14:textId="77777777" w:rsidR="0064391E" w:rsidRPr="002341E2" w:rsidRDefault="0064391E" w:rsidP="0064391E"/>
    <w:p w14:paraId="7FBAAD30" w14:textId="07DBFA56" w:rsidR="0064391E" w:rsidRPr="002341E2" w:rsidRDefault="0064391E" w:rsidP="0064391E">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w:t>
      </w:r>
      <w:r w:rsidR="00415B17">
        <w:t>......</w:t>
      </w:r>
    </w:p>
    <w:p w14:paraId="3792F403" w14:textId="01AD552A" w:rsidR="0064391E" w:rsidRPr="002341E2" w:rsidRDefault="0064391E" w:rsidP="0064391E">
      <w:pPr>
        <w:jc w:val="center"/>
      </w:pPr>
      <w:r w:rsidRPr="002341E2">
        <w:t>Şedinţa </w:t>
      </w:r>
      <w:r w:rsidRPr="002341E2">
        <w:fldChar w:fldCharType="begin">
          <w:ffData>
            <w:name w:val="tip_sedinta"/>
            <w:enabled/>
            <w:calcOnExit w:val="0"/>
            <w:textInput/>
          </w:ffData>
        </w:fldChar>
      </w:r>
      <w:bookmarkStart w:id="1" w:name="tip_sedinta"/>
      <w:r w:rsidRPr="002341E2">
        <w:instrText xml:space="preserve"> FORMTEXT </w:instrText>
      </w:r>
      <w:r w:rsidRPr="002341E2">
        <w:fldChar w:fldCharType="separate"/>
      </w:r>
      <w:r>
        <w:t>publică</w:t>
      </w:r>
      <w:r w:rsidRPr="002341E2">
        <w:fldChar w:fldCharType="end"/>
      </w:r>
      <w:bookmarkEnd w:id="1"/>
      <w:r w:rsidRPr="002341E2">
        <w:t xml:space="preserve"> de la </w:t>
      </w:r>
      <w:r w:rsidR="00415B17">
        <w:t>.......</w:t>
      </w:r>
      <w:r w:rsidRPr="002341E2">
        <w:t xml:space="preserve"> </w:t>
      </w:r>
    </w:p>
    <w:p w14:paraId="1BA7EE62" w14:textId="598C1E32" w:rsidR="0064391E" w:rsidRPr="002341E2" w:rsidRDefault="00415B17" w:rsidP="0064391E">
      <w:pPr>
        <w:jc w:val="center"/>
      </w:pPr>
      <w:r>
        <w:t>.....</w:t>
      </w:r>
    </w:p>
    <w:p w14:paraId="1470F088" w14:textId="53ED925E" w:rsidR="0064391E" w:rsidRPr="002341E2" w:rsidRDefault="00415B17" w:rsidP="0064391E">
      <w:pPr>
        <w:jc w:val="center"/>
      </w:pPr>
      <w:r>
        <w:t>.....A1022....</w:t>
      </w:r>
    </w:p>
    <w:p w14:paraId="4BC85D75" w14:textId="64249D3E" w:rsidR="0064391E" w:rsidRDefault="00415B17" w:rsidP="0064391E">
      <w:pPr>
        <w:jc w:val="center"/>
      </w:pPr>
      <w:r>
        <w:t>.......</w:t>
      </w:r>
    </w:p>
    <w:p w14:paraId="60B6395A" w14:textId="2034C604" w:rsidR="0064391E" w:rsidRDefault="00415B17" w:rsidP="0064391E">
      <w:pPr>
        <w:jc w:val="center"/>
      </w:pPr>
      <w:r>
        <w:t>......</w:t>
      </w:r>
    </w:p>
    <w:p w14:paraId="49C32875" w14:textId="30BBED5A" w:rsidR="0064391E" w:rsidRPr="002341E2" w:rsidRDefault="00415B17" w:rsidP="0064391E">
      <w:pPr>
        <w:jc w:val="center"/>
      </w:pPr>
      <w:r>
        <w:t>......</w:t>
      </w:r>
      <w:bookmarkStart w:id="2" w:name="_GoBack"/>
      <w:bookmarkEnd w:id="2"/>
    </w:p>
    <w:p w14:paraId="5EF3E685" w14:textId="77777777" w:rsidR="0064391E" w:rsidRPr="002341E2" w:rsidRDefault="0064391E" w:rsidP="0064391E">
      <w:pPr>
        <w:jc w:val="center"/>
      </w:pPr>
    </w:p>
    <w:p w14:paraId="4DDF6A3C" w14:textId="77777777" w:rsidR="0064391E" w:rsidRPr="002341E2" w:rsidRDefault="0064391E" w:rsidP="0064391E">
      <w:pPr>
        <w:jc w:val="center"/>
      </w:pPr>
      <w:r w:rsidRPr="002341E2">
        <w:fldChar w:fldCharType="begin">
          <w:ffData>
            <w:name w:val="nume_procuror"/>
            <w:enabled/>
            <w:calcOnExit w:val="0"/>
            <w:textInput/>
          </w:ffData>
        </w:fldChar>
      </w:r>
      <w:bookmarkStart w:id="3"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3"/>
    </w:p>
    <w:p w14:paraId="0EFB6B8C" w14:textId="77777777" w:rsidR="0064391E" w:rsidRPr="002341E2" w:rsidRDefault="0064391E" w:rsidP="0064391E">
      <w:pPr>
        <w:jc w:val="center"/>
      </w:pPr>
    </w:p>
    <w:p w14:paraId="5E5994FA" w14:textId="77777777" w:rsidR="0064391E" w:rsidRPr="002341E2" w:rsidRDefault="0064391E" w:rsidP="0064391E">
      <w:pPr>
        <w:jc w:val="center"/>
      </w:pPr>
    </w:p>
    <w:p w14:paraId="2DB520B9" w14:textId="1E4E3E43" w:rsidR="0064391E" w:rsidRPr="00EF5D26" w:rsidRDefault="0064391E" w:rsidP="0064391E">
      <w:pPr>
        <w:ind w:firstLine="708"/>
        <w:jc w:val="both"/>
      </w:pPr>
      <w:r>
        <w:t xml:space="preserve">S-a luat în examinare recursul declarat de </w:t>
      </w:r>
      <w:bookmarkStart w:id="4" w:name="_Hlk58520702"/>
      <w:r w:rsidR="00415B17">
        <w:rPr>
          <w:lang w:val="en-US"/>
        </w:rPr>
        <w:t>...A....</w:t>
      </w:r>
      <w:r>
        <w:rPr>
          <w:lang w:val="en-US"/>
        </w:rPr>
        <w:t xml:space="preserve"> </w:t>
      </w:r>
      <w:r w:rsidR="00415B17">
        <w:rPr>
          <w:lang w:val="en-US"/>
        </w:rPr>
        <w:t>...D...</w:t>
      </w:r>
      <w:r w:rsidRPr="00EF5D26">
        <w:t>,</w:t>
      </w:r>
      <w:bookmarkEnd w:id="4"/>
      <w:r w:rsidRPr="00EF5D26">
        <w:t xml:space="preserve"> împ</w:t>
      </w:r>
      <w:r>
        <w:t xml:space="preserve">otriva </w:t>
      </w:r>
      <w:bookmarkStart w:id="5" w:name="_Hlk58520876"/>
      <w:r>
        <w:t xml:space="preserve">sentinţei nr. </w:t>
      </w:r>
      <w:r w:rsidR="00415B17">
        <w:t>...a...</w:t>
      </w:r>
      <w:bookmarkEnd w:id="5"/>
      <w:r w:rsidRPr="00EF5D26">
        <w:t xml:space="preserve">, pronunţată de Tribunalul </w:t>
      </w:r>
      <w:r w:rsidR="00415B17">
        <w:t>...D...</w:t>
      </w:r>
      <w:r w:rsidRPr="00EF5D26">
        <w:t xml:space="preserve">, </w:t>
      </w:r>
      <w:r>
        <w:t xml:space="preserve">în dosarul nr. </w:t>
      </w:r>
      <w:r w:rsidR="00415B17">
        <w:t>.....</w:t>
      </w:r>
      <w:r>
        <w:t>, în contradictoriu cu intimata</w:t>
      </w:r>
      <w:r w:rsidRPr="00EF5D26">
        <w:t xml:space="preserve"> reclamant </w:t>
      </w:r>
      <w:bookmarkStart w:id="6" w:name="_Hlk58521224"/>
      <w:r w:rsidR="00415B17">
        <w:t>..B...</w:t>
      </w:r>
      <w:r>
        <w:t xml:space="preserve"> </w:t>
      </w:r>
      <w:bookmarkEnd w:id="6"/>
      <w:r w:rsidRPr="00EF5D26">
        <w:t xml:space="preserve">şi intimata pârâtă </w:t>
      </w:r>
      <w:r w:rsidR="00415B17">
        <w:t>..A..</w:t>
      </w:r>
      <w:r w:rsidRPr="00EF5D26">
        <w:t>, având ca obiect pretenţii.</w:t>
      </w:r>
    </w:p>
    <w:p w14:paraId="18B5343F" w14:textId="77777777" w:rsidR="0064391E" w:rsidRPr="00EF5D26" w:rsidRDefault="0064391E" w:rsidP="0064391E">
      <w:pPr>
        <w:jc w:val="both"/>
      </w:pPr>
      <w:r w:rsidRPr="00EF5D26">
        <w:tab/>
        <w:t xml:space="preserve">La apelul nominal făcut în şedinţa </w:t>
      </w:r>
      <w:r w:rsidRPr="00EF5D26">
        <w:fldChar w:fldCharType="begin">
          <w:ffData>
            <w:name w:val="tip_sedinta_copie_1"/>
            <w:enabled/>
            <w:calcOnExit w:val="0"/>
            <w:textInput/>
          </w:ffData>
        </w:fldChar>
      </w:r>
      <w:r w:rsidRPr="00EF5D26">
        <w:instrText xml:space="preserve"> FORMTEXT </w:instrText>
      </w:r>
      <w:r w:rsidRPr="00EF5D26">
        <w:fldChar w:fldCharType="separate"/>
      </w:r>
      <w:r w:rsidRPr="00EF5D26">
        <w:t>publică</w:t>
      </w:r>
      <w:r w:rsidRPr="00EF5D26">
        <w:fldChar w:fldCharType="end"/>
      </w:r>
      <w:r w:rsidRPr="00EF5D26">
        <w:t xml:space="preserve"> au lipsit părţile.</w:t>
      </w:r>
    </w:p>
    <w:p w14:paraId="7AA222F5" w14:textId="77777777" w:rsidR="0064391E" w:rsidRPr="00EF5D26" w:rsidRDefault="0064391E" w:rsidP="0064391E">
      <w:pPr>
        <w:jc w:val="both"/>
      </w:pPr>
      <w:r w:rsidRPr="00EF5D26">
        <w:fldChar w:fldCharType="begin">
          <w:ffData>
            <w:name w:val="prezenti"/>
            <w:enabled/>
            <w:calcOnExit w:val="0"/>
            <w:textInput/>
          </w:ffData>
        </w:fldChar>
      </w:r>
      <w:r w:rsidRPr="00EF5D26">
        <w:instrText xml:space="preserve"> FORMTEXT </w:instrText>
      </w:r>
      <w:r w:rsidRPr="00EF5D26">
        <w:fldChar w:fldCharType="separate"/>
      </w:r>
      <w:r w:rsidRPr="00EF5D26">
        <w:rPr>
          <w:noProof/>
        </w:rPr>
        <w:t> </w:t>
      </w:r>
      <w:r w:rsidRPr="00EF5D26">
        <w:rPr>
          <w:noProof/>
        </w:rPr>
        <w:t> </w:t>
      </w:r>
      <w:r w:rsidRPr="00EF5D26">
        <w:rPr>
          <w:noProof/>
        </w:rPr>
        <w:t> </w:t>
      </w:r>
      <w:r w:rsidRPr="00EF5D26">
        <w:rPr>
          <w:noProof/>
        </w:rPr>
        <w:t> </w:t>
      </w:r>
      <w:r w:rsidRPr="00EF5D26">
        <w:rPr>
          <w:noProof/>
        </w:rPr>
        <w:t> </w:t>
      </w:r>
      <w:r w:rsidRPr="00EF5D26">
        <w:fldChar w:fldCharType="end"/>
      </w:r>
      <w:r w:rsidRPr="00EF5D26">
        <w:t xml:space="preserve">  Procedura </w:t>
      </w:r>
      <w:r w:rsidRPr="00EF5D26">
        <w:fldChar w:fldCharType="begin">
          <w:ffData>
            <w:name w:val="tip_procedura"/>
            <w:enabled/>
            <w:calcOnExit w:val="0"/>
            <w:textInput/>
          </w:ffData>
        </w:fldChar>
      </w:r>
      <w:r w:rsidRPr="00EF5D26">
        <w:instrText xml:space="preserve"> FORMTEXT </w:instrText>
      </w:r>
      <w:r w:rsidRPr="00EF5D26">
        <w:fldChar w:fldCharType="separate"/>
      </w:r>
      <w:r w:rsidRPr="00EF5D26">
        <w:t>legal</w:t>
      </w:r>
      <w:r w:rsidRPr="00EF5D26">
        <w:fldChar w:fldCharType="end"/>
      </w:r>
      <w:r w:rsidRPr="00EF5D26">
        <w:t xml:space="preserve"> îndeplinită.</w:t>
      </w:r>
    </w:p>
    <w:p w14:paraId="39241B8C" w14:textId="77777777" w:rsidR="0064391E" w:rsidRPr="00EF5D26" w:rsidRDefault="0064391E" w:rsidP="0064391E">
      <w:pPr>
        <w:jc w:val="both"/>
      </w:pPr>
      <w:r w:rsidRPr="00EF5D26">
        <w:tab/>
        <w:t xml:space="preserve">S-a făcut </w:t>
      </w:r>
      <w:r w:rsidRPr="00EF5D26">
        <w:fldChar w:fldCharType="begin">
          <w:ffData>
            <w:name w:val="tip_doc_despre_cauza"/>
            <w:enabled/>
            <w:calcOnExit w:val="0"/>
            <w:textInput/>
          </w:ffData>
        </w:fldChar>
      </w:r>
      <w:r w:rsidRPr="00EF5D26">
        <w:instrText xml:space="preserve"> FORMTEXT </w:instrText>
      </w:r>
      <w:r w:rsidRPr="00EF5D26">
        <w:fldChar w:fldCharType="separate"/>
      </w:r>
      <w:r w:rsidRPr="00EF5D26">
        <w:t>referatul</w:t>
      </w:r>
      <w:r w:rsidRPr="00EF5D26">
        <w:fldChar w:fldCharType="end"/>
      </w:r>
      <w:r w:rsidRPr="00EF5D26">
        <w:t xml:space="preserve"> cauzei de către </w:t>
      </w:r>
      <w:r w:rsidRPr="00EF5D26">
        <w:fldChar w:fldCharType="begin">
          <w:ffData>
            <w:name w:val="functia_celui_care_f"/>
            <w:enabled/>
            <w:calcOnExit w:val="0"/>
            <w:textInput/>
          </w:ffData>
        </w:fldChar>
      </w:r>
      <w:r w:rsidRPr="00EF5D26">
        <w:instrText xml:space="preserve"> FORMTEXT </w:instrText>
      </w:r>
      <w:r w:rsidRPr="00EF5D26">
        <w:fldChar w:fldCharType="separate"/>
      </w:r>
      <w:r w:rsidRPr="00EF5D26">
        <w:t>grefier</w:t>
      </w:r>
      <w:r w:rsidRPr="00EF5D26">
        <w:fldChar w:fldCharType="end"/>
      </w:r>
      <w:r w:rsidRPr="00EF5D26">
        <w:t xml:space="preserve"> </w:t>
      </w:r>
      <w:r w:rsidRPr="00EF5D26">
        <w:fldChar w:fldCharType="begin">
          <w:ffData>
            <w:name w:val="combo_invedereaza"/>
            <w:enabled/>
            <w:calcOnExit w:val="0"/>
            <w:textInput/>
          </w:ffData>
        </w:fldChar>
      </w:r>
      <w:r w:rsidRPr="00EF5D26">
        <w:instrText xml:space="preserve"> FORMTEXT </w:instrText>
      </w:r>
      <w:r w:rsidRPr="00EF5D26">
        <w:fldChar w:fldCharType="separate"/>
      </w:r>
      <w:r w:rsidRPr="00EF5D26">
        <w:t>care învederează</w:t>
      </w:r>
      <w:r w:rsidRPr="00EF5D26">
        <w:fldChar w:fldCharType="end"/>
      </w:r>
      <w:r w:rsidRPr="00EF5D26">
        <w:t xml:space="preserve"> </w:t>
      </w:r>
      <w:r>
        <w:t xml:space="preserve">modalitatea de îndeplinire a procedurii de citare, faptul că recursul a fost declarat şi motivat în termenul legal, faptul că </w:t>
      </w:r>
      <w:r w:rsidRPr="00EF5D26">
        <w:t>s-a solicitat judecarea cauzei în lipsă;</w:t>
      </w:r>
    </w:p>
    <w:p w14:paraId="39419E28" w14:textId="77777777" w:rsidR="0064391E" w:rsidRPr="00EF5D26" w:rsidRDefault="0064391E" w:rsidP="0064391E">
      <w:pPr>
        <w:jc w:val="both"/>
      </w:pPr>
      <w:r w:rsidRPr="00EF5D26">
        <w:tab/>
        <w:t xml:space="preserve">Curtea, constatând că părţile nu mai au cereri de formulat, apreciază cauza în stare de judecată şi o reţine spre soluţionare.  </w:t>
      </w:r>
    </w:p>
    <w:p w14:paraId="255D2545" w14:textId="77777777" w:rsidR="0064391E" w:rsidRPr="00EF5D26" w:rsidRDefault="0064391E" w:rsidP="0064391E">
      <w:pPr>
        <w:jc w:val="both"/>
      </w:pPr>
    </w:p>
    <w:p w14:paraId="016B9F83" w14:textId="77777777" w:rsidR="0064391E" w:rsidRPr="00EF5D26" w:rsidRDefault="0064391E" w:rsidP="0064391E">
      <w:pPr>
        <w:jc w:val="both"/>
      </w:pPr>
      <w:r w:rsidRPr="00EF5D26">
        <w:fldChar w:fldCharType="begin">
          <w:ffData>
            <w:name w:val="ce_se_invedereaza"/>
            <w:enabled/>
            <w:calcOnExit w:val="0"/>
            <w:textInput/>
          </w:ffData>
        </w:fldChar>
      </w:r>
      <w:r w:rsidRPr="00EF5D26">
        <w:instrText xml:space="preserve"> FORMTEXT </w:instrText>
      </w:r>
      <w:r w:rsidRPr="00EF5D26">
        <w:fldChar w:fldCharType="separate"/>
      </w:r>
      <w:r w:rsidRPr="00EF5D26">
        <w:rPr>
          <w:noProof/>
        </w:rPr>
        <w:t> </w:t>
      </w:r>
      <w:r w:rsidRPr="00EF5D26">
        <w:rPr>
          <w:noProof/>
        </w:rPr>
        <w:t> </w:t>
      </w:r>
      <w:r w:rsidRPr="00EF5D26">
        <w:rPr>
          <w:noProof/>
        </w:rPr>
        <w:t> </w:t>
      </w:r>
      <w:r w:rsidRPr="00EF5D26">
        <w:rPr>
          <w:noProof/>
        </w:rPr>
        <w:t> </w:t>
      </w:r>
      <w:r w:rsidRPr="00EF5D26">
        <w:rPr>
          <w:noProof/>
        </w:rPr>
        <w:t> </w:t>
      </w:r>
      <w:r w:rsidRPr="00EF5D26">
        <w:fldChar w:fldCharType="end"/>
      </w:r>
    </w:p>
    <w:p w14:paraId="18D31718" w14:textId="77777777" w:rsidR="0064391E" w:rsidRPr="00EF5D26" w:rsidRDefault="0064391E" w:rsidP="0064391E">
      <w:pPr>
        <w:jc w:val="center"/>
      </w:pPr>
      <w:r w:rsidRPr="00EF5D26">
        <w:t>CURTEA</w:t>
      </w:r>
    </w:p>
    <w:p w14:paraId="7529B787" w14:textId="77777777" w:rsidR="0064391E" w:rsidRPr="00EF5D26" w:rsidRDefault="0064391E" w:rsidP="0064391E">
      <w:pPr>
        <w:ind w:firstLine="720"/>
      </w:pPr>
      <w:r w:rsidRPr="00EF5D26">
        <w:rPr>
          <w:color w:val="000000"/>
        </w:rPr>
        <w:t>Asupra recursului de faţă:</w:t>
      </w:r>
    </w:p>
    <w:p w14:paraId="5C72AA25" w14:textId="17507394" w:rsidR="0064391E" w:rsidRPr="006D3C80" w:rsidRDefault="0064391E" w:rsidP="0064391E">
      <w:pPr>
        <w:spacing w:line="252" w:lineRule="auto"/>
        <w:ind w:firstLine="708"/>
        <w:jc w:val="both"/>
      </w:pPr>
      <w:r w:rsidRPr="00EF5D26">
        <w:rPr>
          <w:color w:val="000000"/>
        </w:rPr>
        <w:t>Prin sentinţa civilă nr.</w:t>
      </w:r>
      <w:r w:rsidRPr="00EF5D26">
        <w:t xml:space="preserve"> </w:t>
      </w:r>
      <w:r w:rsidR="00415B17">
        <w:t>...a...</w:t>
      </w:r>
      <w:r w:rsidRPr="00EF5D26">
        <w:t xml:space="preserve">, pronunţată de Tribunalul </w:t>
      </w:r>
      <w:r w:rsidR="00415B17">
        <w:t>...D...</w:t>
      </w:r>
      <w:r w:rsidRPr="00EF5D26">
        <w:t xml:space="preserve">, </w:t>
      </w:r>
      <w:r>
        <w:t xml:space="preserve">în dosarul nr. </w:t>
      </w:r>
      <w:r w:rsidR="00415B17">
        <w:t>.....</w:t>
      </w:r>
      <w:r w:rsidRPr="006D3C80">
        <w:t xml:space="preserve"> </w:t>
      </w:r>
      <w:r>
        <w:t xml:space="preserve">s-a admis </w:t>
      </w:r>
      <w:r w:rsidRPr="006D3C80">
        <w:t>acţiunea formulată de reclamanta</w:t>
      </w:r>
      <w:r>
        <w:t xml:space="preserve"> </w:t>
      </w:r>
      <w:r w:rsidR="00415B17">
        <w:t>..B...</w:t>
      </w:r>
      <w:r>
        <w:t xml:space="preserve">, </w:t>
      </w:r>
      <w:r w:rsidR="00415B17">
        <w:t>..C..</w:t>
      </w:r>
      <w:r>
        <w:t xml:space="preserve"> </w:t>
      </w:r>
      <w:r w:rsidRPr="006D3C80">
        <w:t xml:space="preserve">în contradictoriu cu pârâţii </w:t>
      </w:r>
      <w:r w:rsidR="00415B17">
        <w:t>..A..</w:t>
      </w:r>
      <w:r w:rsidRPr="006D3C80">
        <w:t xml:space="preserve"> </w:t>
      </w:r>
      <w:r w:rsidR="00415B17">
        <w:t>...D...</w:t>
      </w:r>
      <w:r>
        <w:t xml:space="preserve"> </w:t>
      </w:r>
      <w:r w:rsidRPr="006D3C80">
        <w:t xml:space="preserve">şi  </w:t>
      </w:r>
      <w:r w:rsidR="00415B17">
        <w:t>..A..</w:t>
      </w:r>
      <w:r w:rsidRPr="006D3C80">
        <w:t>.</w:t>
      </w:r>
      <w:r>
        <w:t xml:space="preserve"> Au fost obligate</w:t>
      </w:r>
      <w:r w:rsidRPr="006D3C80">
        <w:t xml:space="preserve"> pârâtele, în solidar, la plata către reclamant a sumei de 1983 lei reprezentând timbrul de mediu sumă la care se va adăuga dobânda de la data achitării sumei - 20.01.2014 până la data plăţii efective.</w:t>
      </w:r>
      <w:r>
        <w:t>Au fost obligate</w:t>
      </w:r>
      <w:r w:rsidRPr="006D3C80">
        <w:t xml:space="preserve"> pârâtele la plata în solidar către reclamant a sumei de 448,3 lei reprezentând cheltuieli de judecată.</w:t>
      </w:r>
    </w:p>
    <w:p w14:paraId="35F6257C" w14:textId="77777777" w:rsidR="0064391E" w:rsidRPr="00EF5D26" w:rsidRDefault="0064391E" w:rsidP="0064391E">
      <w:pPr>
        <w:ind w:firstLine="709"/>
        <w:jc w:val="both"/>
      </w:pPr>
    </w:p>
    <w:p w14:paraId="3F08C9EF" w14:textId="288052ED" w:rsidR="0064391E" w:rsidRPr="00EF5D26" w:rsidRDefault="0064391E" w:rsidP="0064391E">
      <w:pPr>
        <w:spacing w:line="254" w:lineRule="auto"/>
        <w:ind w:firstLine="708"/>
        <w:jc w:val="both"/>
      </w:pPr>
      <w:r w:rsidRPr="00EF5D26">
        <w:t>Împotriva sentinţei a formulat recurs</w:t>
      </w:r>
      <w:r w:rsidRPr="00EF5D26">
        <w:rPr>
          <w:b/>
        </w:rPr>
        <w:t xml:space="preserve"> </w:t>
      </w:r>
      <w:r w:rsidR="00415B17">
        <w:t>..A..</w:t>
      </w:r>
      <w:r w:rsidRPr="00EF5D26">
        <w:t xml:space="preserve"> </w:t>
      </w:r>
      <w:r w:rsidR="00415B17">
        <w:t>...D...</w:t>
      </w:r>
      <w:r w:rsidRPr="00EF5D26">
        <w:t>.</w:t>
      </w:r>
    </w:p>
    <w:p w14:paraId="4F379F07" w14:textId="77777777" w:rsidR="0064391E" w:rsidRPr="00EF5D26" w:rsidRDefault="0064391E" w:rsidP="0064391E">
      <w:pPr>
        <w:ind w:firstLine="708"/>
        <w:jc w:val="both"/>
        <w:rPr>
          <w:rFonts w:eastAsia="Arial Unicode MS"/>
        </w:rPr>
      </w:pPr>
      <w:r w:rsidRPr="00EF5D26">
        <w:t xml:space="preserve">În motivarea recursului, recurenta pârâtă a susţinut că potrivit art. 4 din OUG nr. 9/2013 </w:t>
      </w:r>
      <w:r w:rsidRPr="00EF5D26">
        <w:rPr>
          <w:rFonts w:eastAsia="Arial Unicode MS"/>
        </w:rPr>
        <w:t xml:space="preserve">obligaţia de plată a timbrului intervine o singură dată, cu ocazia înscrierii în evidenţele autorităţii competente, potrivit legii, a dobândirii dreptului de proprietate asupra unui autovehicul de către primul proprietar din România;   la reintroducerea în parcul auto naţional a unui autovehicul, în cazul în care, la momentul scoaterii sale din parcul auto naţional, i s-a restituit proprietarului valoarea reziduală a timbrului, în conformitate cu prevederile </w:t>
      </w:r>
      <w:r w:rsidRPr="00EF5D26">
        <w:t xml:space="preserve">art. </w:t>
      </w:r>
      <w:r w:rsidRPr="00EF5D26">
        <w:rPr>
          <w:rFonts w:eastAsia="Arial Unicode MS"/>
        </w:rPr>
        <w:t xml:space="preserve">7;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cu ocazia transcrierii dreptului de proprietate asupra autovehiculului rulat în situaţia  autovehiculelor pentru care s-a dispus de către instanţe restituirea sau înmatricularea fără plata </w:t>
      </w:r>
      <w:r w:rsidRPr="00EF5D26">
        <w:rPr>
          <w:rFonts w:eastAsia="Arial Unicode MS"/>
        </w:rPr>
        <w:lastRenderedPageBreak/>
        <w:t>taxei speciale pentru autoturisme şi autovehicule, taxei pe poluare pentru autovehicule sau taxei pentru emisiile poluante provenite de la autovehicule.</w:t>
      </w:r>
    </w:p>
    <w:p w14:paraId="23DCBB24" w14:textId="77777777" w:rsidR="0064391E" w:rsidRPr="00EF5D26" w:rsidRDefault="0064391E" w:rsidP="0064391E">
      <w:pPr>
        <w:ind w:firstLine="708"/>
        <w:jc w:val="both"/>
        <w:rPr>
          <w:rFonts w:eastAsia="Arial Unicode MS"/>
        </w:rPr>
      </w:pPr>
      <w:r w:rsidRPr="00EF5D26">
        <w:rPr>
          <w:rFonts w:eastAsia="Arial Unicode MS"/>
        </w:rPr>
        <w:t xml:space="preserve">Recurenta a arătat că în cuprinsul expunerii de motive la Legea nr.37/2014 pentru aprobarea OUG nr.9/2013 se precizează că actul normativ vizează „aplicarea unui timbru de mediu autovehiculelor, în raport cu gradul de poluare" şi "dând eficienţă deplină principiului poluatorul plăteşte, timbrul de mediu pentru autovehicule va fi plătit o singură dată de către toţi cei care achiziţionează autovehicule şi le înmatriculează, dar şi de cei care au achiziţionat şi care nu au achitat taxa sub diferitele ei forme începând cu luna ianuarie </w:t>
      </w:r>
      <w:smartTag w:uri="urn:schemas-microsoft-com:office:smarttags" w:element="metricconverter">
        <w:smartTagPr>
          <w:attr w:name="ProductID" w:val="2007”"/>
        </w:smartTagPr>
        <w:r w:rsidRPr="00EF5D26">
          <w:rPr>
            <w:rFonts w:eastAsia="Arial Unicode MS"/>
          </w:rPr>
          <w:t>2007”</w:t>
        </w:r>
      </w:smartTag>
      <w:r w:rsidRPr="00EF5D26">
        <w:rPr>
          <w:rFonts w:eastAsia="Arial Unicode MS"/>
        </w:rPr>
        <w:t>.</w:t>
      </w:r>
    </w:p>
    <w:p w14:paraId="6604279F" w14:textId="77777777" w:rsidR="0064391E" w:rsidRPr="00EF5D26" w:rsidRDefault="0064391E" w:rsidP="0064391E">
      <w:pPr>
        <w:ind w:firstLine="708"/>
        <w:jc w:val="both"/>
        <w:rPr>
          <w:rFonts w:eastAsia="Arial Unicode MS"/>
        </w:rPr>
      </w:pPr>
      <w:r w:rsidRPr="00EF5D26">
        <w:rPr>
          <w:rFonts w:eastAsia="Arial Unicode MS"/>
        </w:rPr>
        <w:t>În acest sens, a invocat şi Decizia nr. 13/20.10.2014 a ÎCCJ, dată în dezlegarea unei chestiuni de drept, prin care Înalta Curte de Casaţie si Justiţie decide ca dispoziţiile art. 4 din Ordonanţa de urgenţă a Guvernului nr. 9/2013 şi ale art. 1 alin. (2) din Normele metodologice de aplicare a Ordonanţei de urgenţă a Guvernului nr. 9/2013, aprobate prin Hotărârea Guvernului nr. 88/2013, se interpretează în sensul că timbrul de mediu se datorează şi în situaţia transcrierii dreptului de proprietate asupra unui autovehicul rulat provenit de pe piaţa internă a cărui primă înmatriculare a fost anterioară datei de 1 ianuarie 2007.</w:t>
      </w:r>
    </w:p>
    <w:p w14:paraId="4870ECE8" w14:textId="77777777" w:rsidR="0064391E" w:rsidRPr="00EF5D26" w:rsidRDefault="0064391E" w:rsidP="0064391E">
      <w:pPr>
        <w:ind w:firstLine="708"/>
        <w:jc w:val="both"/>
        <w:rPr>
          <w:rFonts w:eastAsia="Arial Unicode MS"/>
        </w:rPr>
      </w:pPr>
      <w:r w:rsidRPr="00EF5D26">
        <w:rPr>
          <w:rFonts w:eastAsia="Arial Unicode MS"/>
        </w:rPr>
        <w:t xml:space="preserve">A susţinut că organul fiscal nu este beneficiarul sumei de </w:t>
      </w:r>
      <w:r>
        <w:t>1983</w:t>
      </w:r>
      <w:r w:rsidRPr="00EF5D26">
        <w:rPr>
          <w:rFonts w:eastAsia="Arial Unicode MS"/>
        </w:rPr>
        <w:t xml:space="preserve"> lei, reprezentând timbru de mediu şi nu poate fi obligat la restituirea acesteia, precum şi la plata dobânzii fiscale.</w:t>
      </w:r>
    </w:p>
    <w:p w14:paraId="2F3D5A92" w14:textId="77777777" w:rsidR="0064391E" w:rsidRPr="00EF5D26" w:rsidRDefault="0064391E" w:rsidP="0064391E">
      <w:pPr>
        <w:ind w:firstLine="708"/>
        <w:jc w:val="both"/>
        <w:rPr>
          <w:rFonts w:eastAsia="Arial Unicode MS"/>
        </w:rPr>
      </w:pPr>
      <w:r w:rsidRPr="00EF5D26">
        <w:rPr>
          <w:rFonts w:eastAsia="Arial Unicode MS"/>
        </w:rPr>
        <w:t>Cu privire la plata cheltuielilor de judecată, recurenta a susţinut că, în cauză, nu au fost administrate probe, fiind depuse numai înscrisurile avute în vedere la soluţionarea cererii de restituire formulată în procedura prealabilă, neimpunându-se administrarea altor probe a căror administrare să fi presupus un efort material suplimentar.</w:t>
      </w:r>
    </w:p>
    <w:p w14:paraId="5FC86828" w14:textId="77777777" w:rsidR="0064391E" w:rsidRPr="00EF5D26" w:rsidRDefault="0064391E" w:rsidP="0064391E">
      <w:pPr>
        <w:ind w:firstLine="708"/>
        <w:jc w:val="both"/>
        <w:rPr>
          <w:rFonts w:eastAsia="Arial Unicode MS"/>
        </w:rPr>
      </w:pPr>
      <w:r w:rsidRPr="00EF5D26">
        <w:rPr>
          <w:rFonts w:eastAsia="Arial Unicode MS"/>
        </w:rPr>
        <w:t>Astfel, obligarea recurentei la plata onorariului de avocat este nejustificată, motiv pentru care, raportat la dispoziţiile art. 451 alin.2 din NCPC, a solicitat micşorarea acestuia, potrivit cu cele prevăzute în tabloul onorariilor minimale.</w:t>
      </w:r>
    </w:p>
    <w:p w14:paraId="2650AD8F" w14:textId="77777777" w:rsidR="0064391E" w:rsidRPr="00EF5D26" w:rsidRDefault="0064391E" w:rsidP="0064391E">
      <w:pPr>
        <w:jc w:val="both"/>
        <w:rPr>
          <w:rFonts w:eastAsia="Arial Unicode MS"/>
        </w:rPr>
      </w:pPr>
      <w:r w:rsidRPr="00EF5D26">
        <w:rPr>
          <w:rFonts w:eastAsia="Arial Unicode MS"/>
          <w:color w:val="FF0000"/>
        </w:rPr>
        <w:t xml:space="preserve"> </w:t>
      </w:r>
      <w:r w:rsidRPr="00EF5D26">
        <w:rPr>
          <w:rFonts w:eastAsia="Arial Unicode MS"/>
          <w:color w:val="FF0000"/>
        </w:rPr>
        <w:tab/>
      </w:r>
      <w:r w:rsidRPr="00EF5D26">
        <w:rPr>
          <w:rFonts w:eastAsia="Arial Unicode MS"/>
        </w:rPr>
        <w:t>Pentru aceste motive, recurenta pârâtă a solicitat admiterea recursului şi modificarea sentinţei instanţei de fond, în sensul respingerii acţiunii</w:t>
      </w:r>
    </w:p>
    <w:p w14:paraId="001F176D" w14:textId="77777777" w:rsidR="0064391E" w:rsidRPr="00EF5D26" w:rsidRDefault="0064391E" w:rsidP="0064391E">
      <w:pPr>
        <w:ind w:firstLine="708"/>
        <w:jc w:val="both"/>
        <w:rPr>
          <w:rFonts w:eastAsia="Arial Unicode MS"/>
        </w:rPr>
      </w:pPr>
      <w:r w:rsidRPr="00EF5D26">
        <w:rPr>
          <w:rFonts w:eastAsia="Arial Unicode MS"/>
        </w:rPr>
        <w:t xml:space="preserve">În drept, recursul a fost întemeiat pe dispoziţiile art. 488, pct. 8 Cod proc.civ. </w:t>
      </w:r>
    </w:p>
    <w:p w14:paraId="43D26738" w14:textId="77777777" w:rsidR="0064391E" w:rsidRPr="00EF5D26" w:rsidRDefault="0064391E" w:rsidP="0064391E">
      <w:pPr>
        <w:ind w:firstLine="708"/>
        <w:jc w:val="both"/>
        <w:rPr>
          <w:rFonts w:eastAsia="Arial Unicode MS"/>
        </w:rPr>
      </w:pPr>
      <w:r w:rsidRPr="00EF5D26">
        <w:rPr>
          <w:rFonts w:eastAsia="Arial Unicode MS"/>
        </w:rPr>
        <w:t>Recurenta a solicitat judecarea cauzei şi în condiţiile art. 223 alin. 2 Cod procedură civilă.</w:t>
      </w:r>
    </w:p>
    <w:p w14:paraId="79CEB924" w14:textId="77777777" w:rsidR="0064391E" w:rsidRPr="00EF5D26" w:rsidRDefault="0064391E" w:rsidP="0064391E">
      <w:pPr>
        <w:ind w:firstLine="708"/>
        <w:jc w:val="both"/>
      </w:pPr>
      <w:r w:rsidRPr="00EF5D26">
        <w:t>I</w:t>
      </w:r>
      <w:r>
        <w:t>ntimata</w:t>
      </w:r>
      <w:r w:rsidRPr="00EF5D26">
        <w:t xml:space="preserve"> reclamant</w:t>
      </w:r>
      <w:r>
        <w:t>ă</w:t>
      </w:r>
      <w:r w:rsidRPr="00EF5D26">
        <w:t xml:space="preserve"> nu a formulat întâmpinare in cauza.</w:t>
      </w:r>
    </w:p>
    <w:p w14:paraId="0AA19497" w14:textId="77777777" w:rsidR="0064391E" w:rsidRPr="00EF5D26" w:rsidRDefault="0064391E" w:rsidP="0064391E">
      <w:pPr>
        <w:ind w:firstLine="708"/>
        <w:jc w:val="both"/>
      </w:pPr>
      <w:r w:rsidRPr="00EF5D26">
        <w:t xml:space="preserve"> Examinând recursul prin prisma motivelor formulate şi dispoziţiilor legale incidente în cauză, Curtea constată următoarele:</w:t>
      </w:r>
    </w:p>
    <w:p w14:paraId="73CE17BB" w14:textId="5766E464" w:rsidR="0064391E" w:rsidRPr="00EF5D26" w:rsidRDefault="0064391E" w:rsidP="0064391E">
      <w:pPr>
        <w:jc w:val="both"/>
      </w:pPr>
      <w:r w:rsidRPr="00EF5D26">
        <w:t xml:space="preserve"> </w:t>
      </w:r>
      <w:r w:rsidRPr="00EF5D26">
        <w:tab/>
      </w:r>
      <w:r>
        <w:t>Reclamanta</w:t>
      </w:r>
      <w:r w:rsidRPr="00EF5D26">
        <w:t xml:space="preserve"> a cumpărat un autoturism second-hand, iar pentru înmatricularea</w:t>
      </w:r>
      <w:r>
        <w:t xml:space="preserve"> acestuia a achitat suma de 1983</w:t>
      </w:r>
      <w:r w:rsidRPr="00EF5D26">
        <w:t xml:space="preserve"> lei cu titlu de </w:t>
      </w:r>
      <w:r>
        <w:t xml:space="preserve">timbru de mediu </w:t>
      </w:r>
      <w:r w:rsidRPr="00EF5D26">
        <w:t xml:space="preserve">la data de </w:t>
      </w:r>
      <w:r>
        <w:t xml:space="preserve">29.06.2016(fila </w:t>
      </w:r>
      <w:r w:rsidR="00415B17">
        <w:t>....</w:t>
      </w:r>
      <w:r>
        <w:t xml:space="preserve"> </w:t>
      </w:r>
      <w:r w:rsidRPr="00EF5D26">
        <w:t>dosar fond),  înmatricularea autoturismului făcându-se doar în condiţiile achitării acestei obligaţii.</w:t>
      </w:r>
    </w:p>
    <w:p w14:paraId="44714796" w14:textId="77777777" w:rsidR="0064391E" w:rsidRPr="00EF5D26" w:rsidRDefault="0064391E" w:rsidP="0064391E">
      <w:pPr>
        <w:jc w:val="both"/>
      </w:pPr>
      <w:r w:rsidRPr="00EF5D26">
        <w:rPr>
          <w:b/>
        </w:rPr>
        <w:t xml:space="preserve"> </w:t>
      </w:r>
      <w:r w:rsidRPr="00EF5D26">
        <w:rPr>
          <w:b/>
        </w:rPr>
        <w:tab/>
      </w:r>
      <w:r>
        <w:t>Reclamanta</w:t>
      </w:r>
      <w:r w:rsidRPr="00EF5D26">
        <w:t xml:space="preserve"> a solicitat recurentei pârâte restituirea integrală a taxei, cu dobânda legală, iar aceasta i-a comunicat refuzul restituirii sumei solicitate.</w:t>
      </w:r>
    </w:p>
    <w:p w14:paraId="48D419A3" w14:textId="77777777" w:rsidR="0064391E" w:rsidRPr="008E5EC0" w:rsidRDefault="0064391E" w:rsidP="0064391E">
      <w:pPr>
        <w:ind w:firstLine="708"/>
        <w:jc w:val="both"/>
      </w:pPr>
      <w:r>
        <w:t>Cererea reclamantulu</w:t>
      </w:r>
      <w:r w:rsidRPr="008E5EC0">
        <w:t>i vizează incompatibilitatea dispoziţiilor O.U.G. nr. 9/2013 cu cele ale Tratatului CE, cu consecinţa nelegalităţii taxei pe poluare.</w:t>
      </w:r>
    </w:p>
    <w:p w14:paraId="0BE85B62" w14:textId="77777777" w:rsidR="0064391E" w:rsidRPr="008E5EC0" w:rsidRDefault="0064391E" w:rsidP="0064391E">
      <w:pPr>
        <w:jc w:val="both"/>
      </w:pPr>
      <w:r w:rsidRPr="008E5EC0">
        <w:tab/>
        <w:t>Timbrul de mediu este reglementat de O.U.G. nr. 9/2013 care a intrat în vigoare la data de 15.03.2013, aşa cum rezultă din art. 17 din acest act normativ şi care a abrogat Legea nr. 9/2012 privind taxa pentru emisiile poluante.</w:t>
      </w:r>
    </w:p>
    <w:p w14:paraId="6C0677EB" w14:textId="77777777" w:rsidR="0064391E" w:rsidRPr="008E5EC0" w:rsidRDefault="0064391E" w:rsidP="0064391E">
      <w:pPr>
        <w:jc w:val="both"/>
      </w:pPr>
      <w:r w:rsidRPr="008E5EC0">
        <w:tab/>
        <w:t xml:space="preserve">Potrivit art. 4 din O.U.G. nr. 9/2013,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art. 7; 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w:t>
      </w:r>
      <w:r w:rsidRPr="008E5EC0">
        <w:lastRenderedPageBreak/>
        <w:t>taxei pe poluare pentru autovehicule sau taxei pentru emisiile poluante provenite de la autovehicule.</w:t>
      </w:r>
    </w:p>
    <w:p w14:paraId="4F3370D9" w14:textId="77777777" w:rsidR="0064391E" w:rsidRPr="008E5EC0" w:rsidRDefault="0064391E" w:rsidP="0064391E">
      <w:pPr>
        <w:jc w:val="both"/>
      </w:pPr>
      <w:r>
        <w:tab/>
        <w:t>Reclamanta</w:t>
      </w:r>
      <w:r w:rsidRPr="008E5EC0">
        <w:t xml:space="preserve"> a solicitat restituirea unei taxe pretins percepută nelegal de către organul fiscal. Aşadar, se contestă de plano legalitatea taxei.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14:paraId="037D260D" w14:textId="77777777" w:rsidR="0064391E" w:rsidRPr="008E5EC0" w:rsidRDefault="0064391E" w:rsidP="0064391E">
      <w:pPr>
        <w:jc w:val="both"/>
      </w:pPr>
      <w:r w:rsidRPr="008E5EC0">
        <w:tab/>
        <w:t>Curtea reţine că instanţa de fond a analizat corect compatibilitatea O.U.G. nr. 9/2013 cu prevederile comunitare incidente, criticile recurentei pârâte pe aceste aspecte fiind nefondate.</w:t>
      </w:r>
    </w:p>
    <w:p w14:paraId="732985CE" w14:textId="77777777" w:rsidR="0064391E" w:rsidRPr="008E5EC0" w:rsidRDefault="0064391E" w:rsidP="0064391E">
      <w:pPr>
        <w:jc w:val="both"/>
      </w:pPr>
      <w:r w:rsidRPr="008E5EC0">
        <w:tab/>
        <w:t>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110, fost 90, din Tratatul Comunităţii Europene, trebuie să excludă orice posibilitate ca produsele importate să fie supuse unor taxe mai mari decât produsele similare, naţionale şi să nu producă în nici un caz efecte discriminatorii.</w:t>
      </w:r>
    </w:p>
    <w:p w14:paraId="1AFF1BCF" w14:textId="77777777" w:rsidR="0064391E" w:rsidRPr="008E5EC0" w:rsidRDefault="0064391E" w:rsidP="0064391E">
      <w:pPr>
        <w:jc w:val="both"/>
        <w:rPr>
          <w:bCs/>
          <w:bdr w:val="none" w:sz="0" w:space="0" w:color="auto" w:frame="1"/>
        </w:rPr>
      </w:pPr>
      <w:r w:rsidRPr="008E5EC0">
        <w:tab/>
        <w:t>Î</w:t>
      </w:r>
      <w:r w:rsidRPr="008E5EC0">
        <w:rPr>
          <w:bCs/>
          <w:kern w:val="36"/>
        </w:rPr>
        <w:t xml:space="preserve">n </w:t>
      </w:r>
      <w:r w:rsidRPr="008E5EC0">
        <w:t>Hotărârea Curţii din 9 iunie 2016 în cauza Budişan, C-586/14 (trimiterea preliminară formulată de Curtea de Apel Cluj), Curtea de Justiţie a Uniunii Europene a reţinut că „a</w:t>
      </w:r>
      <w:r w:rsidRPr="008E5EC0">
        <w:rPr>
          <w:bCs/>
          <w:bdr w:val="none" w:sz="0" w:space="0" w:color="auto" w:frame="1"/>
        </w:rPr>
        <w:t>rticolul 110 TFUE trebuie interpretat în sensul că: - nu se opune ca un stat membru să instituie o taxă pe autovehicule care se aplică autovehiculelor rulate importate cu ocazia primei lor înmatriculări în acest stat membru </w:t>
      </w:r>
      <w:r w:rsidRPr="008E5EC0">
        <w:rPr>
          <w:rFonts w:ascii="Tahoma" w:hAnsi="Tahoma" w:cs="Tahoma"/>
          <w:bCs/>
          <w:bdr w:val="none" w:sz="0" w:space="0" w:color="auto" w:frame="1"/>
        </w:rPr>
        <w:t>ș</w:t>
      </w:r>
      <w:r w:rsidRPr="008E5EC0">
        <w:rPr>
          <w:bCs/>
          <w:bdr w:val="none" w:sz="0" w:space="0" w:color="auto" w:frame="1"/>
        </w:rPr>
        <w:t>i autovehiculelor deja înmatriculate în statul membru respectiv cu ocazia primei transcrieri în acela</w:t>
      </w:r>
      <w:r w:rsidRPr="008E5EC0">
        <w:rPr>
          <w:rFonts w:ascii="Tahoma" w:hAnsi="Tahoma" w:cs="Tahoma"/>
          <w:bCs/>
          <w:bdr w:val="none" w:sz="0" w:space="0" w:color="auto" w:frame="1"/>
        </w:rPr>
        <w:t>ș</w:t>
      </w:r>
      <w:r w:rsidRPr="008E5EC0">
        <w:rPr>
          <w:bCs/>
          <w:bdr w:val="none" w:sz="0" w:space="0" w:color="auto" w:frame="1"/>
        </w:rPr>
        <w:t>i stat a dreptului de proprietate asupra acestora din urmă; -</w:t>
      </w:r>
      <w:r w:rsidRPr="008E5EC0">
        <w:t>  </w:t>
      </w:r>
      <w:r w:rsidRPr="008E5EC0">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47DAA44C" w14:textId="77777777" w:rsidR="0064391E" w:rsidRPr="008E5EC0" w:rsidRDefault="0064391E" w:rsidP="0064391E">
      <w:pPr>
        <w:jc w:val="both"/>
        <w:rPr>
          <w:b/>
          <w:bCs/>
          <w:bdr w:val="none" w:sz="0" w:space="0" w:color="auto" w:frame="1"/>
        </w:rPr>
      </w:pPr>
      <w:r w:rsidRPr="008E5EC0">
        <w:rPr>
          <w:bCs/>
          <w:bdr w:val="none" w:sz="0" w:space="0" w:color="auto" w:frame="1"/>
        </w:rPr>
        <w:tab/>
        <w:t>Hotărârea dată în cauza Manea C-76/14 vizează compatibilitatea cu dreptul Uniunii Europene a taxei pe emisii poluante prevăzută de Legea nr. 9/2012, dar ulterior raţionamentul a fost reluat în Cauza Budişan C-586/14 în care CJUE a statuat cu privire la compatibilitatea cu dreptul Uniunii Europene a timbrului de mediu, astfel:</w:t>
      </w:r>
      <w:r w:rsidRPr="008E5EC0">
        <w:rPr>
          <w:b/>
          <w:bCs/>
          <w:bdr w:val="none" w:sz="0" w:space="0" w:color="auto" w:frame="1"/>
        </w:rPr>
        <w:t xml:space="preserve"> </w:t>
      </w:r>
    </w:p>
    <w:p w14:paraId="29DDD81E" w14:textId="77777777" w:rsidR="0064391E" w:rsidRPr="008E5EC0" w:rsidRDefault="0064391E" w:rsidP="0064391E">
      <w:pPr>
        <w:jc w:val="both"/>
      </w:pPr>
      <w:r w:rsidRPr="008E5EC0">
        <w:rPr>
          <w:b/>
          <w:bCs/>
          <w:bdr w:val="none" w:sz="0" w:space="0" w:color="auto" w:frame="1"/>
        </w:rPr>
        <w:t xml:space="preserve">      </w:t>
      </w:r>
      <w:r w:rsidRPr="008E5EC0">
        <w:t>    Taxa specială trebuie considerată incompatibilă cu articolul 110 TFUE din moment ce prezenta caracteristici identice cu cele ale OUG nr. 50/2008, incompatibile cu acest articol (a se vedea în acest sens Hotărârea din 14 aprilie 2015, Manea, C</w:t>
      </w:r>
      <w:r w:rsidRPr="008E5EC0">
        <w:noBreakHyphen/>
        <w:t>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Manea, C</w:t>
      </w:r>
      <w:r w:rsidRPr="008E5EC0">
        <w:noBreakHyphen/>
        <w:t>76/14, EU:C:2015:216, punctele 47-50).</w:t>
      </w:r>
    </w:p>
    <w:p w14:paraId="3EB8CEF1" w14:textId="77777777" w:rsidR="0064391E" w:rsidRPr="008E5EC0" w:rsidRDefault="0064391E" w:rsidP="0064391E">
      <w:pPr>
        <w:jc w:val="both"/>
      </w:pPr>
      <w:r w:rsidRPr="008E5EC0">
        <w:t xml:space="preserve">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rsidRPr="008E5EC0">
        <w:noBreakHyphen/>
        <w:t>76/14, EU:C:2015:216, punctele 47-51).</w:t>
      </w:r>
    </w:p>
    <w:p w14:paraId="52E7B76F" w14:textId="77777777" w:rsidR="0064391E" w:rsidRPr="008E5EC0" w:rsidRDefault="0064391E" w:rsidP="0064391E">
      <w:pPr>
        <w:jc w:val="both"/>
      </w:pPr>
      <w:r w:rsidRPr="008E5EC0">
        <w:t xml:space="preserve">              Astfel, potrivit unei jurisprudenţe constante a Curţii, valoarea taxei percepute cu ocazia înmatriculării unui autovehicul se încorporează în valoarea acestui autovehicul. Atunci când un autovehicul înmatriculat cu plata unei taxe într</w:t>
      </w:r>
      <w:r w:rsidRPr="008E5EC0">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rsidRPr="008E5EC0">
        <w:noBreakHyphen/>
        <w:t>437/12, EU:C:2013:857, punctele 30 şi 31, precum şi jurisprudenţa citată).</w:t>
      </w:r>
    </w:p>
    <w:p w14:paraId="1E750CE5" w14:textId="77777777" w:rsidR="0064391E" w:rsidRPr="008E5EC0" w:rsidRDefault="0064391E" w:rsidP="0064391E">
      <w:pPr>
        <w:jc w:val="both"/>
      </w:pPr>
      <w:r w:rsidRPr="008E5EC0">
        <w:tab/>
        <w:t>În aceste condiţii, o taxă incompatibilă cu dreptul Uniunii, precum cele menţionate la punctul 35 din prezenta hotărâre, trebuie să fie restituită cu dobândă (a se vedea în acest sens Hotărârea din 18 aprilie 2013, Irimie, C</w:t>
      </w:r>
      <w:r w:rsidRPr="008E5EC0">
        <w:noBreakHyphen/>
        <w:t xml:space="preserve">565/11, EU:C:2013:250, punctele 20 şi 21, precum şi </w:t>
      </w:r>
      <w:r w:rsidRPr="008E5EC0">
        <w:lastRenderedPageBreak/>
        <w:t>Hotărârea din 15 octombrie 2014, Nicula, C</w:t>
      </w:r>
      <w:r w:rsidRPr="008E5EC0">
        <w:noBreakHyphen/>
        <w:t>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Manea, C</w:t>
      </w:r>
      <w:r w:rsidRPr="008E5EC0">
        <w:noBreakHyphen/>
        <w:t xml:space="preserve">76/14, EU:C:2015:216, punctul 50). </w:t>
      </w:r>
    </w:p>
    <w:p w14:paraId="0B7C726E" w14:textId="77777777" w:rsidR="0064391E" w:rsidRPr="008E5EC0" w:rsidRDefault="0064391E" w:rsidP="0064391E">
      <w:pPr>
        <w:jc w:val="both"/>
      </w:pPr>
      <w:r w:rsidRPr="008E5EC0">
        <w:t>   </w:t>
      </w:r>
      <w:r w:rsidRPr="008E5EC0">
        <w:tab/>
        <w:t> </w:t>
      </w:r>
      <w:r w:rsidRPr="008E5EC0">
        <w:rPr>
          <w:bCs/>
          <w:bdr w:val="none" w:sz="0" w:space="0" w:color="auto" w:frame="1"/>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14:paraId="403E9325" w14:textId="77777777" w:rsidR="0064391E" w:rsidRPr="008E5EC0" w:rsidRDefault="0064391E" w:rsidP="0064391E">
      <w:pPr>
        <w:jc w:val="both"/>
      </w:pPr>
      <w:r w:rsidRPr="008E5EC0">
        <w:t xml:space="preserve">           </w:t>
      </w:r>
      <w:r w:rsidRPr="008E5EC0">
        <w:rPr>
          <w:bCs/>
          <w:bdr w:val="none" w:sz="0" w:space="0" w:color="auto" w:frame="1"/>
        </w:rPr>
        <w:t> 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14:paraId="3B9FBA39" w14:textId="77777777" w:rsidR="0064391E" w:rsidRPr="008E5EC0" w:rsidRDefault="0064391E" w:rsidP="0064391E">
      <w:pPr>
        <w:jc w:val="both"/>
      </w:pPr>
      <w:r w:rsidRPr="008E5EC0">
        <w:rPr>
          <w:bCs/>
          <w:bdr w:val="none" w:sz="0" w:space="0" w:color="auto" w:frame="1"/>
        </w:rPr>
        <w:t xml:space="preserve">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sidRPr="008E5EC0">
        <w:rPr>
          <w:bCs/>
          <w:bdr w:val="none" w:sz="0" w:space="0" w:color="auto" w:frame="1"/>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p>
    <w:p w14:paraId="79B7F6FE" w14:textId="77777777" w:rsidR="0064391E" w:rsidRPr="008E5EC0" w:rsidRDefault="0064391E" w:rsidP="0064391E">
      <w:pPr>
        <w:jc w:val="both"/>
      </w:pPr>
      <w:r w:rsidRPr="008E5EC0">
        <w:tab/>
        <w:t xml:space="preserve">În raport de aceste considerente CJUE a statuat că articolul 110 TFUE trebuie interpretat în sensul că </w:t>
      </w:r>
      <w:r w:rsidRPr="008E5EC0">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218B69C2" w14:textId="77777777" w:rsidR="0064391E" w:rsidRPr="008E5EC0" w:rsidRDefault="0064391E" w:rsidP="0064391E">
      <w:pPr>
        <w:jc w:val="both"/>
      </w:pPr>
      <w:r w:rsidRPr="008E5EC0">
        <w:tab/>
        <w:t xml:space="preserve">În contextul creat prin pronunţarea hotărârii Curţii de Justiţie a Uniunii Europene care a stabilit că taxa reprezentând timbru de mediu reglementată de O.U.G. nr. 9/2013 contravine prevederilor art. 110 din Tratatul privind funcţionarea Uniunii Europene, principiul supremaţiei dreptului european determină concluzia că aceste din urmă dispoziţii legale prevalează. </w:t>
      </w:r>
    </w:p>
    <w:p w14:paraId="7C64F823" w14:textId="77777777" w:rsidR="0064391E" w:rsidRPr="008E5EC0" w:rsidRDefault="0064391E" w:rsidP="0064391E">
      <w:pPr>
        <w:jc w:val="both"/>
      </w:pPr>
      <w:r w:rsidRPr="008E5EC0">
        <w:tab/>
        <w:t xml:space="preserve">După aderarea României la Uniunea Europeană, orice prevedere din dreptul naţional trebuie să dea prioritate regulilor de drept european, iar autorităţile statale au obligaţia a respecta dreptul european. </w:t>
      </w:r>
    </w:p>
    <w:p w14:paraId="48904D8D" w14:textId="77777777" w:rsidR="0064391E" w:rsidRPr="008E5EC0" w:rsidRDefault="0064391E" w:rsidP="0064391E">
      <w:pPr>
        <w:jc w:val="both"/>
      </w:pPr>
      <w:r w:rsidRPr="008E5EC0">
        <w:tab/>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14:paraId="62FBF75B" w14:textId="77777777" w:rsidR="0064391E" w:rsidRPr="008E5EC0" w:rsidRDefault="0064391E" w:rsidP="0064391E">
      <w:pPr>
        <w:jc w:val="both"/>
      </w:pPr>
      <w:r w:rsidRPr="008E5EC0">
        <w:tab/>
        <w:t xml:space="preserve">În raport de Hotărârea CJUE pronunţată în cauza C-561/11, </w:t>
      </w:r>
      <w:r w:rsidRPr="008E5EC0">
        <w:rPr>
          <w:iCs/>
        </w:rPr>
        <w:t xml:space="preserve">în mod corect instanţa de fond a apreciat că reclamantul are dreptul la plata dobânzii fiscale începând cu </w:t>
      </w:r>
      <w:r w:rsidRPr="008E5EC0">
        <w:t>data plăţii şi până la data restituirii efective a taxei.</w:t>
      </w:r>
    </w:p>
    <w:p w14:paraId="774D55CA" w14:textId="77777777" w:rsidR="0064391E" w:rsidRPr="008E5EC0" w:rsidRDefault="0064391E" w:rsidP="0064391E">
      <w:pPr>
        <w:ind w:firstLine="708"/>
        <w:jc w:val="both"/>
      </w:pPr>
      <w:r w:rsidRPr="008E5EC0">
        <w:t>Nu este întemeiată nici critica referitoare la nelegalitatea modului în care au fost aco</w:t>
      </w:r>
      <w:r>
        <w:t xml:space="preserve">rdate cheltuielile de judecată. </w:t>
      </w:r>
      <w:r w:rsidRPr="008E5EC0">
        <w:t>Din prevederile art. 453 alin. 1 N.C.proc.civ., rezultă că fundamentul răspunderii pentru plata cheltuielilor de judecată îl constituie culpa procesuală a părţii care a pierdut procesul, astfel că pârâtele se află în culpă procesuală şi în mod corect instanţa de fond a dispus obligarea la plata cheltuieli</w:t>
      </w:r>
      <w:r>
        <w:t>lor de judecată către reclamantă</w:t>
      </w:r>
      <w:r w:rsidRPr="008E5EC0">
        <w:t>.</w:t>
      </w:r>
    </w:p>
    <w:p w14:paraId="6CE130A0" w14:textId="5B745210" w:rsidR="0064391E" w:rsidRPr="008E5EC0" w:rsidRDefault="0064391E" w:rsidP="0064391E">
      <w:pPr>
        <w:ind w:firstLine="708"/>
        <w:jc w:val="both"/>
      </w:pPr>
      <w:r w:rsidRPr="008E5EC0">
        <w:t xml:space="preserve">Pentru aceste considerente, criticile formulate de recurenta pârâtă sunt nefondate, astfel că, în temeiul art. 496 alin. 1 N.C.proc.civ., recursul declarat de </w:t>
      </w:r>
      <w:r w:rsidR="00415B17">
        <w:t>..A..</w:t>
      </w:r>
      <w:r w:rsidRPr="008E5EC0">
        <w:t xml:space="preserve"> </w:t>
      </w:r>
      <w:r w:rsidR="00415B17">
        <w:t>...D...</w:t>
      </w:r>
      <w:r w:rsidRPr="008E5EC0">
        <w:t xml:space="preserve"> va fi respins ca nefondat.</w:t>
      </w:r>
    </w:p>
    <w:p w14:paraId="161348EA" w14:textId="77777777" w:rsidR="0064391E" w:rsidRPr="008E5EC0" w:rsidRDefault="0064391E" w:rsidP="0064391E"/>
    <w:p w14:paraId="7CE0E3F0" w14:textId="77777777" w:rsidR="0064391E" w:rsidRPr="008E5EC0" w:rsidRDefault="0064391E" w:rsidP="0064391E"/>
    <w:p w14:paraId="5A957176" w14:textId="77777777" w:rsidR="0064391E" w:rsidRPr="008E5EC0" w:rsidRDefault="0064391E" w:rsidP="0064391E">
      <w:pPr>
        <w:jc w:val="center"/>
      </w:pPr>
      <w:r w:rsidRPr="008E5EC0">
        <w:lastRenderedPageBreak/>
        <w:t>PENTRU ACESTE MOTIVE,</w:t>
      </w:r>
      <w:r w:rsidRPr="008E5EC0">
        <w:br/>
        <w:t>ÎN NUMELE LEGII</w:t>
      </w:r>
    </w:p>
    <w:p w14:paraId="322E9EB3" w14:textId="77777777" w:rsidR="0064391E" w:rsidRPr="008E5EC0" w:rsidRDefault="0064391E" w:rsidP="0064391E">
      <w:pPr>
        <w:jc w:val="center"/>
      </w:pPr>
      <w:r w:rsidRPr="008E5EC0">
        <w:t>DECIDE</w:t>
      </w:r>
    </w:p>
    <w:p w14:paraId="418B02E8" w14:textId="77777777" w:rsidR="0064391E" w:rsidRPr="002341E2" w:rsidRDefault="0064391E" w:rsidP="0064391E">
      <w:pPr>
        <w:jc w:val="center"/>
      </w:pPr>
    </w:p>
    <w:p w14:paraId="0CFB5BDF" w14:textId="0B56C218" w:rsidR="0064391E" w:rsidRPr="00EF5D26" w:rsidRDefault="0064391E" w:rsidP="0064391E">
      <w:pPr>
        <w:ind w:firstLine="708"/>
        <w:jc w:val="both"/>
      </w:pPr>
      <w:r w:rsidRPr="00466A57">
        <w:t xml:space="preserve">Respinge recursul </w:t>
      </w:r>
      <w:r>
        <w:t xml:space="preserve">declarat de </w:t>
      </w:r>
      <w:r w:rsidR="00415B17">
        <w:rPr>
          <w:lang w:val="en-US"/>
        </w:rPr>
        <w:t>...A....</w:t>
      </w:r>
      <w:r>
        <w:rPr>
          <w:lang w:val="en-US"/>
        </w:rPr>
        <w:t xml:space="preserve"> </w:t>
      </w:r>
      <w:r w:rsidR="00415B17">
        <w:rPr>
          <w:lang w:val="en-US"/>
        </w:rPr>
        <w:t>...D...</w:t>
      </w:r>
      <w:r w:rsidRPr="00EF5D26">
        <w:t>, împ</w:t>
      </w:r>
      <w:r>
        <w:t xml:space="preserve">otriva sentinţei nr. </w:t>
      </w:r>
      <w:r w:rsidR="00415B17">
        <w:t>...a...</w:t>
      </w:r>
      <w:r w:rsidRPr="00EF5D26">
        <w:t xml:space="preserve">, pronunţată de Tribunalul </w:t>
      </w:r>
      <w:r w:rsidR="00415B17">
        <w:t>...D...</w:t>
      </w:r>
      <w:r w:rsidRPr="00EF5D26">
        <w:t xml:space="preserve">, </w:t>
      </w:r>
      <w:r>
        <w:t xml:space="preserve">în dosarul nr. </w:t>
      </w:r>
      <w:r w:rsidR="00415B17">
        <w:t>.....</w:t>
      </w:r>
      <w:r>
        <w:t>, în contradictoriu cu intimata</w:t>
      </w:r>
      <w:r w:rsidRPr="00EF5D26">
        <w:t xml:space="preserve"> reclamant </w:t>
      </w:r>
      <w:r w:rsidR="00415B17">
        <w:t>..B...</w:t>
      </w:r>
      <w:r>
        <w:t xml:space="preserve"> </w:t>
      </w:r>
      <w:r w:rsidRPr="00EF5D26">
        <w:t xml:space="preserve">şi intimata pârâtă </w:t>
      </w:r>
      <w:r w:rsidR="00415B17">
        <w:t>..A..</w:t>
      </w:r>
      <w:r w:rsidRPr="00EF5D26">
        <w:t>, având ca obiect pretenţii.</w:t>
      </w:r>
    </w:p>
    <w:p w14:paraId="22002878" w14:textId="77777777" w:rsidR="0064391E" w:rsidRPr="002341E2" w:rsidRDefault="0064391E" w:rsidP="0064391E">
      <w:pPr>
        <w:ind w:firstLine="708"/>
      </w:pPr>
      <w:r w:rsidRPr="00466A57">
        <w:t>Definitivă</w:t>
      </w:r>
    </w:p>
    <w:p w14:paraId="7B1D4EBE" w14:textId="5220402E" w:rsidR="0064391E" w:rsidRPr="002341E2" w:rsidRDefault="0064391E" w:rsidP="0064391E">
      <w:pPr>
        <w:ind w:firstLine="708"/>
      </w:pPr>
      <w:r w:rsidRPr="002341E2">
        <w:t xml:space="preserve">Pronunţată în şedinţa </w:t>
      </w:r>
      <w:r w:rsidRPr="002341E2">
        <w:fldChar w:fldCharType="begin">
          <w:ffData>
            <w:name w:val="tip_sedinta_copie_2"/>
            <w:enabled/>
            <w:calcOnExit w:val="0"/>
            <w:textInput/>
          </w:ffData>
        </w:fldChar>
      </w:r>
      <w:bookmarkStart w:id="7" w:name="tip_sedinta_copie_2"/>
      <w:r w:rsidRPr="002341E2">
        <w:instrText xml:space="preserve"> FORMTEXT </w:instrText>
      </w:r>
      <w:r w:rsidRPr="002341E2">
        <w:fldChar w:fldCharType="separate"/>
      </w:r>
      <w:r>
        <w:t>publică</w:t>
      </w:r>
      <w:r w:rsidRPr="002341E2">
        <w:fldChar w:fldCharType="end"/>
      </w:r>
      <w:bookmarkEnd w:id="7"/>
      <w:r w:rsidRPr="002341E2">
        <w:t xml:space="preserve"> de la </w:t>
      </w:r>
      <w:r w:rsidR="00415B17">
        <w:t>........</w:t>
      </w:r>
    </w:p>
    <w:p w14:paraId="05C391A5" w14:textId="73441E4A" w:rsidR="0064391E" w:rsidRPr="002341E2" w:rsidRDefault="00415B17" w:rsidP="0064391E">
      <w:pPr>
        <w:jc w:val="center"/>
      </w:pPr>
      <w:r>
        <w:t>.....A1022....</w:t>
      </w:r>
    </w:p>
    <w:p w14:paraId="3B9550DB" w14:textId="27D683CC" w:rsidR="0064391E" w:rsidRPr="00466A57" w:rsidRDefault="00415B17" w:rsidP="0064391E">
      <w:pPr>
        <w:rPr>
          <w:sz w:val="16"/>
          <w:szCs w:val="16"/>
        </w:rPr>
      </w:pPr>
      <w:r>
        <w:rPr>
          <w:sz w:val="16"/>
          <w:szCs w:val="16"/>
        </w:rPr>
        <w:t>.........</w:t>
      </w:r>
    </w:p>
    <w:p w14:paraId="6A4BC104" w14:textId="77777777" w:rsidR="0064391E" w:rsidRPr="00466A57" w:rsidRDefault="0064391E" w:rsidP="0064391E">
      <w:pPr>
        <w:rPr>
          <w:sz w:val="16"/>
          <w:szCs w:val="16"/>
        </w:rPr>
      </w:pPr>
    </w:p>
    <w:p w14:paraId="2D019CB8" w14:textId="77777777" w:rsidR="00041DB3" w:rsidRDefault="00041DB3"/>
    <w:sectPr w:rsidR="00041DB3" w:rsidSect="002341E2">
      <w:footerReference w:type="default" r:id="rId6"/>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DA3E8" w14:textId="77777777" w:rsidR="003542EE" w:rsidRDefault="003542EE">
      <w:r>
        <w:separator/>
      </w:r>
    </w:p>
  </w:endnote>
  <w:endnote w:type="continuationSeparator" w:id="0">
    <w:p w14:paraId="6A44AB63" w14:textId="77777777" w:rsidR="003542EE" w:rsidRDefault="0035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8A006" w14:textId="77777777" w:rsidR="00466A57" w:rsidRDefault="0064391E">
    <w:pPr>
      <w:pStyle w:val="Footer"/>
      <w:jc w:val="center"/>
    </w:pPr>
    <w:r>
      <w:fldChar w:fldCharType="begin"/>
    </w:r>
    <w:r>
      <w:instrText>PAGE   \* MERGEFORMAT</w:instrText>
    </w:r>
    <w:r>
      <w:fldChar w:fldCharType="separate"/>
    </w:r>
    <w:r>
      <w:rPr>
        <w:noProof/>
      </w:rPr>
      <w:t>1</w:t>
    </w:r>
    <w:r>
      <w:fldChar w:fldCharType="end"/>
    </w:r>
  </w:p>
  <w:p w14:paraId="526003C2" w14:textId="77777777" w:rsidR="00466A57" w:rsidRDefault="00354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2F6ED" w14:textId="77777777" w:rsidR="003542EE" w:rsidRDefault="003542EE">
      <w:r>
        <w:separator/>
      </w:r>
    </w:p>
  </w:footnote>
  <w:footnote w:type="continuationSeparator" w:id="0">
    <w:p w14:paraId="3956832C" w14:textId="77777777" w:rsidR="003542EE" w:rsidRDefault="00354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0C6"/>
    <w:rsid w:val="00041DB3"/>
    <w:rsid w:val="00223495"/>
    <w:rsid w:val="003542EE"/>
    <w:rsid w:val="00415B17"/>
    <w:rsid w:val="0064391E"/>
    <w:rsid w:val="00A314C9"/>
    <w:rsid w:val="00E560C6"/>
    <w:rsid w:val="00FA71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EFB320"/>
  <w15:chartTrackingRefBased/>
  <w15:docId w15:val="{3C2E2038-63B2-4FA4-88E6-AD9ACF03F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91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391E"/>
    <w:pPr>
      <w:tabs>
        <w:tab w:val="center" w:pos="4513"/>
        <w:tab w:val="right" w:pos="9026"/>
      </w:tabs>
    </w:pPr>
  </w:style>
  <w:style w:type="character" w:customStyle="1" w:styleId="FooterChar">
    <w:name w:val="Footer Char"/>
    <w:basedOn w:val="DefaultParagraphFont"/>
    <w:link w:val="Footer"/>
    <w:uiPriority w:val="99"/>
    <w:rsid w:val="0064391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2478</Words>
  <Characters>14377</Characters>
  <Application>Microsoft Office Word</Application>
  <DocSecurity>0</DocSecurity>
  <Lines>119</Lines>
  <Paragraphs>33</Paragraphs>
  <ScaleCrop>false</ScaleCrop>
  <Company/>
  <LinksUpToDate>false</LinksUpToDate>
  <CharactersWithSpaces>16822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4</cp:revision>
  <dcterms:created xsi:type="dcterms:W3CDTF">2020-12-10T12:21:00Z</dcterms:created>
  <dcterms:modified xsi:type="dcterms:W3CDTF">2020-12-11T04:58:00Z</dcterms:modified>
</cp:coreProperties>
</file>