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7C4" w:rsidRDefault="00AA37C4" w:rsidP="00AA37C4">
      <w:pPr>
        <w:rPr>
          <w:b/>
        </w:rPr>
      </w:pPr>
      <w:r>
        <w:rPr>
          <w:b/>
        </w:rPr>
        <w:t>Dosar nr.2</w:t>
      </w:r>
      <w:bookmarkStart w:id="0" w:name="_GoBack"/>
      <w:bookmarkEnd w:id="0"/>
      <w:r>
        <w:rPr>
          <w:b/>
        </w:rPr>
        <w:t>2                                                                                                             COD A1024</w:t>
      </w:r>
    </w:p>
    <w:p w:rsidR="00064EC0" w:rsidRDefault="003B171C">
      <w:pPr>
        <w:jc w:val="center"/>
        <w:rPr>
          <w:b/>
        </w:rPr>
      </w:pPr>
      <w:r>
        <w:rPr>
          <w:b/>
        </w:rPr>
        <w:t>R O M Â N I A</w:t>
      </w:r>
    </w:p>
    <w:p w:rsidR="00064EC0" w:rsidRDefault="00064EC0">
      <w:pPr>
        <w:jc w:val="center"/>
        <w:rPr>
          <w:b/>
        </w:rPr>
      </w:pPr>
    </w:p>
    <w:p w:rsidR="00064EC0" w:rsidRDefault="003B171C">
      <w:pPr>
        <w:jc w:val="center"/>
        <w:rPr>
          <w:b/>
        </w:rPr>
      </w:pPr>
      <w:r>
        <w:rPr>
          <w:b/>
        </w:rPr>
        <w:t xml:space="preserve">CURTEA DE APEL </w:t>
      </w:r>
      <w:r w:rsidR="00E5690D">
        <w:rPr>
          <w:b/>
        </w:rPr>
        <w:t>.........</w:t>
      </w:r>
    </w:p>
    <w:p w:rsidR="00064EC0" w:rsidRPr="00E5690D" w:rsidRDefault="003B171C">
      <w:pPr>
        <w:jc w:val="center"/>
        <w:rPr>
          <w:b/>
          <w:lang w:val="fr-FR"/>
        </w:rPr>
      </w:pPr>
      <w:r>
        <w:rPr>
          <w:b/>
        </w:rPr>
        <w:t>SECTIA PENALĂ ŞI PENTRU CAUZE PENALE CU MINORI ŞI DE FAMILIE</w:t>
      </w:r>
    </w:p>
    <w:p w:rsidR="00AA37C4" w:rsidRDefault="00AA37C4">
      <w:pPr>
        <w:keepNext/>
        <w:jc w:val="center"/>
        <w:outlineLvl w:val="1"/>
        <w:rPr>
          <w:b/>
        </w:rPr>
      </w:pPr>
    </w:p>
    <w:p w:rsidR="00064EC0" w:rsidRDefault="003B171C">
      <w:pPr>
        <w:keepNext/>
        <w:jc w:val="center"/>
        <w:outlineLvl w:val="1"/>
        <w:rPr>
          <w:b/>
          <w:bCs/>
          <w:u w:val="single"/>
        </w:rPr>
      </w:pPr>
      <w:r>
        <w:rPr>
          <w:b/>
          <w:bCs/>
          <w:u w:val="single"/>
        </w:rPr>
        <w:t>ÎNCHEIERE</w:t>
      </w:r>
    </w:p>
    <w:p w:rsidR="00064EC0" w:rsidRDefault="003B171C">
      <w:pPr>
        <w:jc w:val="center"/>
        <w:rPr>
          <w:b/>
        </w:rPr>
      </w:pPr>
      <w:r>
        <w:rPr>
          <w:b/>
        </w:rPr>
        <w:t>Şedinţa </w:t>
      </w:r>
      <w:r>
        <w:rPr>
          <w:b/>
        </w:rPr>
        <w:fldChar w:fldCharType="begin">
          <w:ffData>
            <w:name w:val="tip_sedinta"/>
            <w:enabled/>
            <w:calcOnExit w:val="0"/>
            <w:textInput/>
          </w:ffData>
        </w:fldChar>
      </w:r>
      <w:r>
        <w:rPr>
          <w:b/>
        </w:rPr>
        <w:instrText xml:space="preserve"> FORMTEXT </w:instrText>
      </w:r>
      <w:r>
        <w:rPr>
          <w:b/>
        </w:rPr>
      </w:r>
      <w:r>
        <w:rPr>
          <w:b/>
        </w:rPr>
        <w:fldChar w:fldCharType="separate"/>
      </w:r>
      <w:r>
        <w:rPr>
          <w:b/>
        </w:rPr>
        <w:t>publică</w:t>
      </w:r>
      <w:r>
        <w:rPr>
          <w:b/>
        </w:rPr>
        <w:fldChar w:fldCharType="end"/>
      </w:r>
      <w:r>
        <w:rPr>
          <w:b/>
        </w:rPr>
        <w:t xml:space="preserve"> de la </w:t>
      </w:r>
      <w:r w:rsidR="00E5690D">
        <w:rPr>
          <w:b/>
        </w:rPr>
        <w:t>.......</w:t>
      </w:r>
      <w:r>
        <w:rPr>
          <w:b/>
        </w:rPr>
        <w:t xml:space="preserve"> </w:t>
      </w:r>
    </w:p>
    <w:p w:rsidR="00064EC0" w:rsidRDefault="003B171C">
      <w:pPr>
        <w:jc w:val="center"/>
        <w:rPr>
          <w:b/>
        </w:rPr>
      </w:pPr>
      <w:r>
        <w:rPr>
          <w:b/>
        </w:rPr>
        <w:t>Completul compus din:</w:t>
      </w:r>
    </w:p>
    <w:p w:rsidR="00064EC0" w:rsidRDefault="003B171C">
      <w:pPr>
        <w:ind w:right="-284"/>
        <w:jc w:val="center"/>
        <w:rPr>
          <w:b/>
        </w:rPr>
      </w:pPr>
      <w:r>
        <w:rPr>
          <w:b/>
        </w:rPr>
        <w:t xml:space="preserve">PREŞEDINTE - </w:t>
      </w:r>
      <w:r w:rsidR="00E5690D">
        <w:rPr>
          <w:b/>
        </w:rPr>
        <w:t>......</w:t>
      </w:r>
      <w:r>
        <w:rPr>
          <w:b/>
        </w:rPr>
        <w:t xml:space="preserve"> </w:t>
      </w:r>
    </w:p>
    <w:p w:rsidR="00064EC0" w:rsidRDefault="003B171C">
      <w:pPr>
        <w:ind w:right="-284"/>
        <w:jc w:val="center"/>
        <w:rPr>
          <w:b/>
        </w:rPr>
      </w:pPr>
      <w:r>
        <w:rPr>
          <w:b/>
        </w:rPr>
        <w:t xml:space="preserve">JUDECĂTOR – </w:t>
      </w:r>
      <w:r w:rsidR="00E5690D">
        <w:rPr>
          <w:b/>
        </w:rPr>
        <w:t>COD A1024</w:t>
      </w:r>
      <w:r>
        <w:rPr>
          <w:b/>
        </w:rPr>
        <w:t xml:space="preserve"> </w:t>
      </w:r>
    </w:p>
    <w:p w:rsidR="00064EC0" w:rsidRDefault="00064EC0">
      <w:pPr>
        <w:ind w:right="-284"/>
        <w:rPr>
          <w:b/>
        </w:rPr>
      </w:pPr>
    </w:p>
    <w:p w:rsidR="00064EC0" w:rsidRDefault="003B171C">
      <w:pPr>
        <w:ind w:right="-284"/>
        <w:rPr>
          <w:b/>
        </w:rPr>
      </w:pPr>
      <w:r>
        <w:rPr>
          <w:b/>
        </w:rPr>
        <w:t xml:space="preserve">Cu participare: </w:t>
      </w:r>
    </w:p>
    <w:p w:rsidR="00064EC0" w:rsidRDefault="003B171C">
      <w:pPr>
        <w:ind w:right="-284"/>
        <w:rPr>
          <w:b/>
        </w:rPr>
      </w:pPr>
      <w:r>
        <w:rPr>
          <w:b/>
        </w:rPr>
        <w:t xml:space="preserve">Grefier - </w:t>
      </w:r>
      <w:r w:rsidR="00E5690D">
        <w:rPr>
          <w:b/>
        </w:rPr>
        <w:t>......</w:t>
      </w:r>
      <w:r>
        <w:rPr>
          <w:b/>
        </w:rPr>
        <w:t xml:space="preserve"> </w:t>
      </w:r>
    </w:p>
    <w:p w:rsidR="00064EC0" w:rsidRDefault="003B171C">
      <w:pPr>
        <w:ind w:right="-284"/>
        <w:jc w:val="both"/>
        <w:rPr>
          <w:b/>
          <w:color w:val="000000"/>
        </w:rPr>
      </w:pPr>
      <w:r>
        <w:rPr>
          <w:b/>
        </w:rPr>
        <w:t xml:space="preserve">Procuror – </w:t>
      </w:r>
      <w:r w:rsidR="00E5690D">
        <w:rPr>
          <w:b/>
          <w:color w:val="000000"/>
        </w:rPr>
        <w:t>......</w:t>
      </w:r>
      <w:r>
        <w:rPr>
          <w:b/>
          <w:color w:val="000000"/>
        </w:rPr>
        <w:t xml:space="preserve"> din cadrul Parchetului de pe lângă </w:t>
      </w:r>
      <w:r w:rsidR="00E5690D">
        <w:rPr>
          <w:b/>
          <w:color w:val="000000"/>
        </w:rPr>
        <w:t>Curtea de Apel .........</w:t>
      </w:r>
    </w:p>
    <w:p w:rsidR="00064EC0" w:rsidRDefault="003B171C">
      <w:pPr>
        <w:ind w:firstLine="709"/>
        <w:jc w:val="both"/>
      </w:pPr>
      <w:r>
        <w:t xml:space="preserve">S-a luat în examinare apelul penal declarat condamnatul </w:t>
      </w:r>
      <w:bookmarkStart w:id="1" w:name="_Hlk39490794"/>
      <w:bookmarkStart w:id="2" w:name="_Hlk39502677"/>
      <w:r w:rsidR="00E5690D">
        <w:rPr>
          <w:b/>
          <w:bCs/>
          <w:u w:val="single"/>
        </w:rPr>
        <w:t>A.</w:t>
      </w:r>
      <w:r>
        <w:rPr>
          <w:bCs/>
        </w:rPr>
        <w:t xml:space="preserve"> -</w:t>
      </w:r>
      <w:r>
        <w:rPr>
          <w:iCs/>
        </w:rPr>
        <w:t xml:space="preserve"> </w:t>
      </w:r>
      <w:bookmarkEnd w:id="1"/>
      <w:bookmarkEnd w:id="2"/>
      <w:r w:rsidR="00E5690D">
        <w:rPr>
          <w:iCs/>
        </w:rPr>
        <w:t>fiul lui ........ şi ....., născut la ......, în prezent deţinut în Penitenciarul P.</w:t>
      </w:r>
      <w:r>
        <w:rPr>
          <w:iCs/>
        </w:rPr>
        <w:t xml:space="preserve">, împotriva sentinţei penale </w:t>
      </w:r>
      <w:r w:rsidR="00E5690D">
        <w:rPr>
          <w:iCs/>
        </w:rPr>
        <w:t>nr.... din data de ........</w:t>
      </w:r>
      <w:r>
        <w:rPr>
          <w:iCs/>
        </w:rPr>
        <w:t xml:space="preserve">, pronunţată de Tribunalul </w:t>
      </w:r>
      <w:r w:rsidR="00E5690D">
        <w:rPr>
          <w:iCs/>
        </w:rPr>
        <w:t>.......</w:t>
      </w:r>
      <w:r>
        <w:rPr>
          <w:iCs/>
        </w:rPr>
        <w:t>, în dosarul penal nr.</w:t>
      </w:r>
      <w:r w:rsidR="00E5690D">
        <w:rPr>
          <w:iCs/>
        </w:rPr>
        <w:t>......</w:t>
      </w:r>
      <w:r>
        <w:rPr>
          <w:iCs/>
        </w:rPr>
        <w:t>, având ca obiect</w:t>
      </w:r>
      <w:r>
        <w:t xml:space="preserve"> cerere de redeschidere a procesului penal în cazul judecării în lipsă a persoanei condamnate.</w:t>
      </w:r>
    </w:p>
    <w:p w:rsidR="00064EC0" w:rsidRDefault="003B171C">
      <w:pPr>
        <w:tabs>
          <w:tab w:val="left" w:pos="709"/>
        </w:tabs>
        <w:jc w:val="both"/>
      </w:pPr>
      <w:r>
        <w:tab/>
        <w:t xml:space="preserve">La apelul nominal făcut în şedinţă publică a răspuns apelantul condamnat </w:t>
      </w:r>
      <w:r w:rsidR="00E5690D">
        <w:t>A.</w:t>
      </w:r>
      <w:r>
        <w:t>,</w:t>
      </w:r>
      <w:r>
        <w:rPr>
          <w:color w:val="000000"/>
        </w:rPr>
        <w:t xml:space="preserve"> </w:t>
      </w:r>
      <w:r>
        <w:t xml:space="preserve">în stare de arest, </w:t>
      </w:r>
      <w:r>
        <w:rPr>
          <w:color w:val="000000"/>
        </w:rPr>
        <w:t>prezent prin videoconferinţă conform disp.art.364 alin.1 Cod procedură penală</w:t>
      </w:r>
      <w:r>
        <w:t xml:space="preserve">, asistat de avocat din oficiu </w:t>
      </w:r>
      <w:r w:rsidR="00E5690D">
        <w:t>.......</w:t>
      </w:r>
      <w:r>
        <w:t>, în baza delegaţiei pentru asistenţă judiciară obligatorie nr.</w:t>
      </w:r>
      <w:r w:rsidR="00E5690D">
        <w:t>.......</w:t>
      </w:r>
      <w:r>
        <w:t>, depusă la dosar.</w:t>
      </w:r>
    </w:p>
    <w:p w:rsidR="00064EC0" w:rsidRDefault="003B171C">
      <w:pPr>
        <w:ind w:firstLine="708"/>
        <w:jc w:val="both"/>
      </w:pPr>
      <w:r>
        <w:t>Procedura este legal îndeplinită, părţile fiind citate cu respectarea dispoziţiilor art.258-262 Cod procedură penală.</w:t>
      </w:r>
    </w:p>
    <w:p w:rsidR="00064EC0" w:rsidRDefault="003B171C">
      <w:pPr>
        <w:ind w:firstLine="708"/>
        <w:jc w:val="both"/>
      </w:pPr>
      <w:r>
        <w:t>S-a făcut referatul cauzei de către grefierul de şedinţă după care:</w:t>
      </w:r>
    </w:p>
    <w:p w:rsidR="00064EC0" w:rsidRDefault="003B171C">
      <w:pPr>
        <w:ind w:firstLine="708"/>
        <w:jc w:val="both"/>
      </w:pPr>
      <w:r>
        <w:t>După ce s-au adus la cunoştinţa condamnatului dispoziţiile prevăzute de art.83 al.(1) Cod procedură penală, în sensul că are dreptul de a nu da nici o declaraţie în faţa instanţei de apel şi i se pune în vedere că ceea ce declară poate fi folosit şi împotrivă, acesta declară că nu doreşte să fie ascultat.</w:t>
      </w:r>
    </w:p>
    <w:p w:rsidR="00064EC0" w:rsidRDefault="003B171C">
      <w:pPr>
        <w:ind w:firstLine="708"/>
        <w:jc w:val="both"/>
      </w:pPr>
      <w:r>
        <w:t xml:space="preserve">Nefiind cereri prealabile de formulat şi excepţii de invocat, </w:t>
      </w:r>
      <w:r>
        <w:rPr>
          <w:b/>
        </w:rPr>
        <w:t xml:space="preserve">Curtea </w:t>
      </w:r>
      <w:r>
        <w:t>constată cauza în stare de judecată şi acordă cuvântul părţilor şi participanţilor la procesul penal, în dezbateri pe fondul apelului.</w:t>
      </w:r>
    </w:p>
    <w:p w:rsidR="00064EC0" w:rsidRDefault="003B171C">
      <w:pPr>
        <w:ind w:firstLine="708"/>
        <w:jc w:val="both"/>
        <w:rPr>
          <w:color w:val="000000"/>
        </w:rPr>
      </w:pPr>
      <w:r>
        <w:rPr>
          <w:b/>
        </w:rPr>
        <w:t xml:space="preserve">Având cuvântul, pentru apelantul condamnat </w:t>
      </w:r>
      <w:r w:rsidR="00E5690D">
        <w:rPr>
          <w:b/>
        </w:rPr>
        <w:t>A.</w:t>
      </w:r>
      <w:r>
        <w:rPr>
          <w:b/>
        </w:rPr>
        <w:t xml:space="preserve">, avocat </w:t>
      </w:r>
      <w:r w:rsidR="00E5690D">
        <w:rPr>
          <w:b/>
          <w:color w:val="000000"/>
        </w:rPr>
        <w:t>.......</w:t>
      </w:r>
      <w:r>
        <w:rPr>
          <w:b/>
          <w:color w:val="000000"/>
        </w:rPr>
        <w:t xml:space="preserve"> </w:t>
      </w:r>
      <w:r>
        <w:rPr>
          <w:color w:val="000000"/>
        </w:rPr>
        <w:t>solicită admiterea apelului, desfiinţarea sentinţei şi, rejudecând, să se admită cererea de redeschidere a procesului penal.</w:t>
      </w:r>
    </w:p>
    <w:p w:rsidR="00064EC0" w:rsidRDefault="003B171C">
      <w:pPr>
        <w:ind w:firstLine="708"/>
        <w:jc w:val="both"/>
        <w:rPr>
          <w:color w:val="000000"/>
        </w:rPr>
      </w:pPr>
      <w:r>
        <w:rPr>
          <w:color w:val="000000"/>
        </w:rPr>
        <w:t>Arată că în cererea de redeschidere a procesului penal au fost invocate două aspecte: lipsa de cunoştinţă asupra acestui dosar şi faptul că în intervalul 2014-2018 a locuit în I</w:t>
      </w:r>
      <w:r w:rsidR="00E5690D">
        <w:rPr>
          <w:color w:val="000000"/>
        </w:rPr>
        <w:t>.</w:t>
      </w:r>
      <w:r>
        <w:rPr>
          <w:color w:val="000000"/>
        </w:rPr>
        <w:t xml:space="preserve"> şi în G</w:t>
      </w:r>
      <w:r w:rsidR="00E5690D">
        <w:rPr>
          <w:color w:val="000000"/>
        </w:rPr>
        <w:t>.</w:t>
      </w:r>
      <w:r>
        <w:rPr>
          <w:color w:val="000000"/>
        </w:rPr>
        <w:t>, iar soţia, de care este despărţit, nu i-a comunicat citaţiile.</w:t>
      </w:r>
    </w:p>
    <w:p w:rsidR="00064EC0" w:rsidRDefault="003B171C">
      <w:pPr>
        <w:ind w:firstLine="708"/>
        <w:jc w:val="both"/>
      </w:pPr>
      <w:r>
        <w:rPr>
          <w:color w:val="000000"/>
        </w:rPr>
        <w:t>Condamnatul consideră că sunt îndeplinite dispoziţiile prevăzute de art.466 alin.1 Cod procedură penală şi solicită redeschiderea procesului penal. Solicită reanalizarea aspectelor invocate de apelant.</w:t>
      </w:r>
    </w:p>
    <w:p w:rsidR="00064EC0" w:rsidRDefault="003B171C">
      <w:pPr>
        <w:ind w:firstLine="708"/>
        <w:jc w:val="both"/>
      </w:pPr>
      <w:r>
        <w:rPr>
          <w:b/>
        </w:rPr>
        <w:t xml:space="preserve">Având cuvântul, reprezentantul Ministerului Public – procuror </w:t>
      </w:r>
      <w:r w:rsidR="00E5690D">
        <w:rPr>
          <w:b/>
        </w:rPr>
        <w:t>......</w:t>
      </w:r>
      <w:r>
        <w:rPr>
          <w:b/>
        </w:rPr>
        <w:t xml:space="preserve"> </w:t>
      </w:r>
      <w:r>
        <w:t xml:space="preserve">formulează concluzii de respingere a apelului declarat de condamnatul </w:t>
      </w:r>
      <w:r w:rsidR="00E5690D">
        <w:t>A.</w:t>
      </w:r>
      <w:r>
        <w:t>, ca nefundat.</w:t>
      </w:r>
    </w:p>
    <w:p w:rsidR="00064EC0" w:rsidRDefault="003B171C">
      <w:pPr>
        <w:ind w:firstLine="708"/>
        <w:jc w:val="both"/>
      </w:pPr>
      <w:r>
        <w:t>Consideră legală şi temeinică hotărârea instanţei de fond care a constatat din înscrisurile aflate la dosarul nr.</w:t>
      </w:r>
      <w:r w:rsidR="00E5690D">
        <w:t>........../</w:t>
      </w:r>
      <w:r>
        <w:t>2014 că apelantul a avut cunoştinţă despre desfăşurarea unui proces împotriva sa. În cursul urmăririi penale acesta fiind audiat şi în calitate de învinuit potrivit vechiului Cod de procedură penală şi de inculpat dar, în anul 2014 când instanţa a fost învestită cu rechizitoriul nu s-a mai prezentat în continuare la proces părăsind ţara.</w:t>
      </w:r>
    </w:p>
    <w:p w:rsidR="00064EC0" w:rsidRDefault="003B171C">
      <w:pPr>
        <w:ind w:firstLine="708"/>
        <w:jc w:val="both"/>
      </w:pPr>
      <w:r>
        <w:lastRenderedPageBreak/>
        <w:t xml:space="preserve">Instanţa de fond a mai adus un argument în sensul că a identificat în </w:t>
      </w:r>
      <w:r w:rsidR="00E5690D">
        <w:t>dosarul Curţii de Apel ......</w:t>
      </w:r>
      <w:r>
        <w:t xml:space="preserve">, cu numărul menţionat anterior, în calea de atac, un plic conţinând o citaţie care poartă menţiunea că a fost înmânată destinatarului </w:t>
      </w:r>
      <w:r w:rsidR="00E5690D">
        <w:t>A.</w:t>
      </w:r>
      <w:r>
        <w:t>, astfel încât nu se poate susţine de către condamnat că nu a avut cunoştinţă despre derularea unui proces penal împotriva sa.</w:t>
      </w:r>
    </w:p>
    <w:p w:rsidR="00064EC0" w:rsidRDefault="003B171C">
      <w:pPr>
        <w:ind w:firstLine="708"/>
        <w:jc w:val="both"/>
      </w:pPr>
      <w:r>
        <w:rPr>
          <w:b/>
        </w:rPr>
        <w:t xml:space="preserve">Având ultimul cuvânt, apelantul condamnat </w:t>
      </w:r>
      <w:r w:rsidR="00E5690D">
        <w:rPr>
          <w:b/>
        </w:rPr>
        <w:t>A.</w:t>
      </w:r>
      <w:r>
        <w:rPr>
          <w:b/>
        </w:rPr>
        <w:t xml:space="preserve"> </w:t>
      </w:r>
      <w:r>
        <w:t>arată că în evidenţele  de la penitenciar este menţionat că a părăsit localitatea deşi avea interdicţia de a nu părăsi localitatea. Arată că în momentul în care se afla în arest la domiciliu a fost sunat de către soţia aflată în I</w:t>
      </w:r>
      <w:r w:rsidR="00E5690D">
        <w:t>.</w:t>
      </w:r>
      <w:r>
        <w:t xml:space="preserve"> care i-a comunicat că l-a părăsit şi i-a lăsat cei doi copii. Faţă de această împrejurarea s-a prezentat la Poliţe  şi le-a spus poliţiştilor că trebuie să-şi întreţină familia şi ce să facă. Aceştia i-au spus să meargă şi să se angajeze. S-a angajat la o firmă de pază şi a anunţat Poliţia cu privire la acest aspect. Solicită să i se facă dreptate, menţionând că s-a dispus arestarea sa fără să ştie de ce.</w:t>
      </w:r>
    </w:p>
    <w:p w:rsidR="00064EC0" w:rsidRDefault="00064EC0">
      <w:pPr>
        <w:jc w:val="both"/>
      </w:pPr>
    </w:p>
    <w:p w:rsidR="00064EC0" w:rsidRDefault="003B171C">
      <w:pPr>
        <w:numPr>
          <w:ilvl w:val="0"/>
          <w:numId w:val="1"/>
        </w:numPr>
        <w:ind w:left="0" w:firstLine="708"/>
        <w:jc w:val="center"/>
        <w:rPr>
          <w:b/>
        </w:rPr>
      </w:pPr>
      <w:r>
        <w:rPr>
          <w:b/>
        </w:rPr>
        <w:t>C U R T E A –</w:t>
      </w:r>
    </w:p>
    <w:p w:rsidR="00064EC0" w:rsidRDefault="00064EC0">
      <w:pPr>
        <w:ind w:firstLine="708"/>
        <w:jc w:val="both"/>
      </w:pPr>
    </w:p>
    <w:p w:rsidR="00064EC0" w:rsidRDefault="003B171C">
      <w:pPr>
        <w:ind w:firstLine="708"/>
        <w:jc w:val="both"/>
      </w:pPr>
      <w:r>
        <w:t xml:space="preserve">În conformitate cu dispoziţiile art.391 alin.1 Cod procedură penală, având nevoie de timp pentru a delibera, </w:t>
      </w:r>
    </w:p>
    <w:p w:rsidR="00064EC0" w:rsidRDefault="00064EC0">
      <w:pPr>
        <w:ind w:firstLine="708"/>
        <w:jc w:val="both"/>
      </w:pPr>
    </w:p>
    <w:p w:rsidR="00064EC0" w:rsidRDefault="003B171C">
      <w:pPr>
        <w:ind w:firstLine="708"/>
        <w:jc w:val="center"/>
        <w:rPr>
          <w:b/>
        </w:rPr>
      </w:pPr>
      <w:r>
        <w:rPr>
          <w:b/>
        </w:rPr>
        <w:t>PENTRU ACESTE MOTIVE</w:t>
      </w:r>
    </w:p>
    <w:p w:rsidR="00064EC0" w:rsidRDefault="003B171C">
      <w:pPr>
        <w:ind w:firstLine="708"/>
        <w:jc w:val="center"/>
        <w:rPr>
          <w:b/>
        </w:rPr>
      </w:pPr>
      <w:r>
        <w:rPr>
          <w:b/>
        </w:rPr>
        <w:t>ÎN NUMELE LEGII</w:t>
      </w:r>
    </w:p>
    <w:p w:rsidR="00064EC0" w:rsidRDefault="003B171C">
      <w:pPr>
        <w:ind w:firstLine="708"/>
        <w:jc w:val="center"/>
        <w:rPr>
          <w:b/>
        </w:rPr>
      </w:pPr>
      <w:r>
        <w:rPr>
          <w:b/>
        </w:rPr>
        <w:t>D I S P U N E :</w:t>
      </w:r>
    </w:p>
    <w:p w:rsidR="00064EC0" w:rsidRDefault="00064EC0">
      <w:pPr>
        <w:ind w:firstLine="708"/>
        <w:jc w:val="center"/>
      </w:pPr>
    </w:p>
    <w:p w:rsidR="00064EC0" w:rsidRDefault="003B171C">
      <w:pPr>
        <w:ind w:firstLine="708"/>
      </w:pPr>
      <w:r>
        <w:t xml:space="preserve">Stabileşte pronunţarea la data de </w:t>
      </w:r>
      <w:r w:rsidR="00E5690D">
        <w:t>........</w:t>
      </w:r>
      <w:r>
        <w:t>.</w:t>
      </w:r>
    </w:p>
    <w:p w:rsidR="00064EC0" w:rsidRDefault="003B171C">
      <w:pPr>
        <w:ind w:firstLine="708"/>
        <w:rPr>
          <w:b/>
        </w:rPr>
      </w:pPr>
      <w:r>
        <w:t xml:space="preserve">Pronunţată în şedinţă publică, azi </w:t>
      </w:r>
      <w:r w:rsidR="00E5690D">
        <w:t>.........</w:t>
      </w:r>
      <w:r>
        <w:t xml:space="preserve">. </w:t>
      </w:r>
    </w:p>
    <w:p w:rsidR="00064EC0" w:rsidRDefault="00064EC0">
      <w:pPr>
        <w:ind w:firstLine="708"/>
        <w:jc w:val="both"/>
        <w:rPr>
          <w:b/>
        </w:rPr>
      </w:pPr>
    </w:p>
    <w:p w:rsidR="00064EC0" w:rsidRDefault="003B171C">
      <w:pPr>
        <w:ind w:right="250"/>
        <w:rPr>
          <w:b/>
        </w:rPr>
      </w:pPr>
      <w:r>
        <w:rPr>
          <w:b/>
        </w:rPr>
        <w:t xml:space="preserve">                     Preşedinte de complet,</w:t>
      </w:r>
      <w:r>
        <w:rPr>
          <w:b/>
        </w:rPr>
        <w:tab/>
      </w:r>
      <w:r>
        <w:rPr>
          <w:b/>
        </w:rPr>
        <w:tab/>
      </w:r>
      <w:r>
        <w:rPr>
          <w:b/>
        </w:rPr>
        <w:tab/>
      </w:r>
      <w:r>
        <w:rPr>
          <w:b/>
        </w:rPr>
        <w:tab/>
      </w:r>
      <w:r>
        <w:rPr>
          <w:b/>
        </w:rPr>
        <w:tab/>
        <w:t xml:space="preserve">    Grefier,</w:t>
      </w:r>
    </w:p>
    <w:p w:rsidR="00064EC0" w:rsidRDefault="003B171C">
      <w:pPr>
        <w:ind w:right="250"/>
        <w:rPr>
          <w:b/>
        </w:rPr>
      </w:pPr>
      <w:r>
        <w:rPr>
          <w:b/>
        </w:rPr>
        <w:t xml:space="preserve">                             </w:t>
      </w:r>
      <w:r w:rsidR="00E5690D">
        <w:rPr>
          <w:b/>
        </w:rPr>
        <w:t>......</w:t>
      </w:r>
      <w:r>
        <w:rPr>
          <w:b/>
        </w:rPr>
        <w:tab/>
        <w:t xml:space="preserve">                  </w:t>
      </w:r>
      <w:r>
        <w:rPr>
          <w:b/>
        </w:rPr>
        <w:tab/>
        <w:t xml:space="preserve">                         </w:t>
      </w:r>
      <w:r w:rsidR="00E5690D">
        <w:rPr>
          <w:b/>
        </w:rPr>
        <w:t xml:space="preserve">                                       </w:t>
      </w:r>
      <w:r>
        <w:rPr>
          <w:b/>
        </w:rPr>
        <w:t xml:space="preserve">   </w:t>
      </w:r>
      <w:r w:rsidR="00E5690D">
        <w:rPr>
          <w:b/>
        </w:rPr>
        <w:t>......</w:t>
      </w:r>
    </w:p>
    <w:p w:rsidR="00064EC0" w:rsidRDefault="00064EC0">
      <w:pPr>
        <w:ind w:right="-284" w:firstLine="708"/>
        <w:jc w:val="both"/>
        <w:rPr>
          <w:b/>
        </w:rPr>
      </w:pPr>
    </w:p>
    <w:p w:rsidR="00064EC0" w:rsidRDefault="00064EC0">
      <w:pPr>
        <w:ind w:left="-567"/>
        <w:jc w:val="both"/>
      </w:pPr>
    </w:p>
    <w:p w:rsidR="00064EC0" w:rsidRDefault="00064EC0">
      <w:pPr>
        <w:ind w:left="720"/>
        <w:contextualSpacing/>
        <w:rPr>
          <w:rFonts w:eastAsia="Calibri"/>
          <w:lang w:eastAsia="en-US"/>
        </w:rPr>
      </w:pPr>
    </w:p>
    <w:p w:rsidR="00064EC0" w:rsidRDefault="00064EC0">
      <w:pPr>
        <w:ind w:left="720"/>
        <w:contextualSpacing/>
        <w:rPr>
          <w:rFonts w:eastAsia="Calibri"/>
          <w:lang w:eastAsia="en-US"/>
        </w:rPr>
      </w:pPr>
    </w:p>
    <w:p w:rsidR="00064EC0" w:rsidRDefault="00064EC0">
      <w:pPr>
        <w:ind w:left="720"/>
        <w:contextualSpacing/>
        <w:rPr>
          <w:rFonts w:eastAsia="Calibri"/>
          <w:lang w:eastAsia="en-US"/>
        </w:rPr>
      </w:pPr>
    </w:p>
    <w:p w:rsidR="00064EC0" w:rsidRDefault="00064EC0">
      <w:pPr>
        <w:ind w:left="720"/>
        <w:contextualSpacing/>
        <w:rPr>
          <w:rFonts w:eastAsia="Calibri"/>
          <w:lang w:eastAsia="en-US"/>
        </w:rPr>
      </w:pPr>
    </w:p>
    <w:p w:rsidR="00064EC0" w:rsidRDefault="00064EC0">
      <w:pPr>
        <w:jc w:val="both"/>
      </w:pPr>
    </w:p>
    <w:p w:rsidR="00064EC0" w:rsidRDefault="00064EC0">
      <w:pPr>
        <w:ind w:left="-567" w:firstLine="567"/>
        <w:jc w:val="both"/>
        <w:rPr>
          <w:color w:val="000000"/>
        </w:rPr>
      </w:pPr>
    </w:p>
    <w:p w:rsidR="00064EC0" w:rsidRDefault="00064EC0">
      <w:pPr>
        <w:ind w:firstLine="709"/>
        <w:jc w:val="both"/>
      </w:pPr>
    </w:p>
    <w:p w:rsidR="00064EC0" w:rsidRDefault="00064EC0">
      <w:pPr>
        <w:ind w:left="720"/>
        <w:contextualSpacing/>
        <w:rPr>
          <w:rFonts w:eastAsia="Calibri"/>
          <w:lang w:eastAsia="en-US"/>
        </w:rPr>
      </w:pPr>
    </w:p>
    <w:p w:rsidR="00064EC0" w:rsidRDefault="00064EC0"/>
    <w:p w:rsidR="00064EC0" w:rsidRDefault="00064EC0"/>
    <w:p w:rsidR="00064EC0" w:rsidRDefault="00064EC0"/>
    <w:p w:rsidR="00064EC0" w:rsidRDefault="00064EC0"/>
    <w:p w:rsidR="00064EC0" w:rsidRDefault="00064EC0"/>
    <w:p w:rsidR="00064EC0" w:rsidRDefault="00064EC0"/>
    <w:p w:rsidR="00064EC0" w:rsidRDefault="00064EC0"/>
    <w:p w:rsidR="00064EC0" w:rsidRDefault="00064EC0"/>
    <w:p w:rsidR="00064EC0" w:rsidRDefault="00064EC0"/>
    <w:p w:rsidR="00064EC0" w:rsidRDefault="00064EC0"/>
    <w:p w:rsidR="00E5690D" w:rsidRDefault="00E5690D">
      <w:pPr>
        <w:jc w:val="center"/>
      </w:pPr>
    </w:p>
    <w:p w:rsidR="00E5690D" w:rsidRDefault="00E5690D">
      <w:pPr>
        <w:jc w:val="center"/>
      </w:pPr>
    </w:p>
    <w:p w:rsidR="00064EC0" w:rsidRDefault="00064EC0"/>
    <w:sectPr w:rsidR="00064EC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79B" w:rsidRDefault="0091379B" w:rsidP="009C7976">
      <w:r>
        <w:separator/>
      </w:r>
    </w:p>
  </w:endnote>
  <w:endnote w:type="continuationSeparator" w:id="0">
    <w:p w:rsidR="0091379B" w:rsidRDefault="0091379B" w:rsidP="009C7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976" w:rsidRDefault="009C79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976" w:rsidRDefault="009C797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976" w:rsidRDefault="009C79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79B" w:rsidRDefault="0091379B" w:rsidP="009C7976">
      <w:r>
        <w:separator/>
      </w:r>
    </w:p>
  </w:footnote>
  <w:footnote w:type="continuationSeparator" w:id="0">
    <w:p w:rsidR="0091379B" w:rsidRDefault="0091379B" w:rsidP="009C79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976" w:rsidRDefault="009C79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976" w:rsidRDefault="009C79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976" w:rsidRDefault="009C79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751C9A"/>
    <w:multiLevelType w:val="hybridMultilevel"/>
    <w:tmpl w:val="63A87958"/>
    <w:lvl w:ilvl="0" w:tplc="E60E63C2">
      <w:start w:val="19"/>
      <w:numFmt w:val="bullet"/>
      <w:lvlText w:val="-"/>
      <w:lvlJc w:val="left"/>
      <w:pPr>
        <w:ind w:left="1068" w:hanging="360"/>
      </w:pPr>
      <w:rPr>
        <w:rFonts w:ascii="Times New Roman" w:eastAsia="Times New Roman" w:hAnsi="Times New Roman" w:cs="Times New Roman"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cs="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cs="Courier New" w:hint="default"/>
      </w:rPr>
    </w:lvl>
    <w:lvl w:ilvl="8" w:tplc="04180005">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EC0"/>
    <w:rsid w:val="00064EC0"/>
    <w:rsid w:val="003B171C"/>
    <w:rsid w:val="00407D61"/>
    <w:rsid w:val="0091379B"/>
    <w:rsid w:val="009C7976"/>
    <w:rsid w:val="00AA37C4"/>
    <w:rsid w:val="00E5690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103DE45-E7F1-4289-998E-6DFDCC19A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7976"/>
    <w:pPr>
      <w:tabs>
        <w:tab w:val="center" w:pos="4513"/>
        <w:tab w:val="right" w:pos="9026"/>
      </w:tabs>
    </w:pPr>
  </w:style>
  <w:style w:type="character" w:customStyle="1" w:styleId="HeaderChar">
    <w:name w:val="Header Char"/>
    <w:basedOn w:val="DefaultParagraphFont"/>
    <w:link w:val="Header"/>
    <w:uiPriority w:val="99"/>
    <w:rsid w:val="009C7976"/>
    <w:rPr>
      <w:rFonts w:eastAsia="Times New Roman"/>
      <w:lang w:eastAsia="ro-RO"/>
    </w:rPr>
  </w:style>
  <w:style w:type="paragraph" w:styleId="Footer">
    <w:name w:val="footer"/>
    <w:basedOn w:val="Normal"/>
    <w:link w:val="FooterChar"/>
    <w:uiPriority w:val="99"/>
    <w:unhideWhenUsed/>
    <w:rsid w:val="009C7976"/>
    <w:pPr>
      <w:tabs>
        <w:tab w:val="center" w:pos="4513"/>
        <w:tab w:val="right" w:pos="9026"/>
      </w:tabs>
    </w:pPr>
  </w:style>
  <w:style w:type="character" w:customStyle="1" w:styleId="FooterChar">
    <w:name w:val="Footer Char"/>
    <w:basedOn w:val="DefaultParagraphFont"/>
    <w:link w:val="Footer"/>
    <w:uiPriority w:val="99"/>
    <w:rsid w:val="009C7976"/>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953904">
      <w:bodyDiv w:val="1"/>
      <w:marLeft w:val="0"/>
      <w:marRight w:val="0"/>
      <w:marTop w:val="0"/>
      <w:marBottom w:val="0"/>
      <w:divBdr>
        <w:top w:val="none" w:sz="0" w:space="0" w:color="auto"/>
        <w:left w:val="none" w:sz="0" w:space="0" w:color="auto"/>
        <w:bottom w:val="none" w:sz="0" w:space="0" w:color="auto"/>
        <w:right w:val="none" w:sz="0" w:space="0" w:color="auto"/>
      </w:divBdr>
    </w:div>
    <w:div w:id="1427113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691</Words>
  <Characters>3945</Characters>
  <Application>Microsoft Office Word</Application>
  <DocSecurity>0</DocSecurity>
  <Lines>32</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Curtea de Apel Constanta</Company>
  <LinksUpToDate>false</LinksUpToDate>
  <CharactersWithSpaces>4627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Smeu Cerasela Simona</dc:creator>
  <cp:keywords/>
  <dc:description/>
  <cp:lastModifiedBy>Adrian-Cristian Cirlomanu</cp:lastModifiedBy>
  <cp:revision>4</cp:revision>
  <dcterms:created xsi:type="dcterms:W3CDTF">2020-11-19T17:12:00Z</dcterms:created>
  <dcterms:modified xsi:type="dcterms:W3CDTF">2020-11-22T19:53:00Z</dcterms:modified>
</cp:coreProperties>
</file>