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4FD" w:rsidRPr="00A0418E" w:rsidRDefault="003769CC">
      <w:r w:rsidRPr="00A0418E">
        <w:t>...</w:t>
      </w:r>
      <w:r w:rsidR="0086664B" w:rsidRPr="0086664B">
        <w:rPr>
          <w:rFonts w:ascii="Garamond" w:hAnsi="Garamond"/>
        </w:rPr>
        <w:t xml:space="preserve"> </w:t>
      </w:r>
      <w:r w:rsidR="0086664B">
        <w:rPr>
          <w:rFonts w:ascii="Garamond" w:hAnsi="Garamond"/>
        </w:rPr>
        <w:t>HOT nr.</w:t>
      </w:r>
      <w:r w:rsidR="0086664B">
        <w:rPr>
          <w:rFonts w:ascii="Garamond" w:hAnsi="Garamond"/>
        </w:rPr>
        <w:t>12</w:t>
      </w:r>
      <w:bookmarkStart w:id="0" w:name="_GoBack"/>
      <w:bookmarkEnd w:id="0"/>
      <w:r w:rsidRPr="00A0418E">
        <w:t>...</w:t>
      </w:r>
    </w:p>
    <w:p w:rsidR="00090D1C" w:rsidRPr="00A0418E" w:rsidRDefault="00090D1C">
      <w:r w:rsidRPr="00A0418E">
        <w:t xml:space="preserve">Dosar nr. </w:t>
      </w:r>
      <w:r w:rsidR="003769CC" w:rsidRPr="00A0418E">
        <w:t>......</w:t>
      </w:r>
    </w:p>
    <w:p w:rsidR="00090D1C" w:rsidRPr="00A0418E" w:rsidRDefault="00090D1C" w:rsidP="00C53B6A">
      <w:pPr>
        <w:jc w:val="center"/>
      </w:pPr>
      <w:r w:rsidRPr="00A0418E">
        <w:t>R O M Â N I A</w:t>
      </w:r>
    </w:p>
    <w:p w:rsidR="00090D1C" w:rsidRPr="00A0418E" w:rsidRDefault="003769CC">
      <w:pPr>
        <w:jc w:val="center"/>
      </w:pPr>
      <w:r w:rsidRPr="00A0418E">
        <w:t>......</w:t>
      </w:r>
    </w:p>
    <w:p w:rsidR="00090D1C" w:rsidRPr="00A0418E" w:rsidRDefault="003769CC" w:rsidP="00C53B6A">
      <w:pPr>
        <w:jc w:val="center"/>
        <w:rPr>
          <w:lang w:val="en-US"/>
        </w:rPr>
      </w:pPr>
      <w:r w:rsidRPr="00A0418E">
        <w:t>.....</w:t>
      </w:r>
    </w:p>
    <w:p w:rsidR="00090D1C" w:rsidRPr="00A0418E" w:rsidRDefault="00090D1C">
      <w:pPr>
        <w:jc w:val="center"/>
      </w:pPr>
      <w:r w:rsidRPr="00A0418E"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1" w:name="tip_incheiere"/>
      <w:r w:rsidRPr="00A0418E">
        <w:instrText xml:space="preserve"> FORMTEXT </w:instrText>
      </w:r>
      <w:r w:rsidRPr="00A0418E">
        <w:fldChar w:fldCharType="separate"/>
      </w:r>
      <w:r w:rsidR="00F97E44" w:rsidRPr="00A0418E">
        <w:t>DECIZIE</w:t>
      </w:r>
      <w:r w:rsidRPr="00A0418E">
        <w:fldChar w:fldCharType="end"/>
      </w:r>
      <w:bookmarkEnd w:id="1"/>
      <w:r w:rsidRPr="00A0418E">
        <w:t xml:space="preserve"> Nr. </w:t>
      </w:r>
      <w:r w:rsidR="003769CC" w:rsidRPr="00A0418E">
        <w:t>......</w:t>
      </w:r>
    </w:p>
    <w:p w:rsidR="00090D1C" w:rsidRPr="00A0418E" w:rsidRDefault="00090D1C">
      <w:pPr>
        <w:jc w:val="center"/>
      </w:pPr>
      <w:r w:rsidRPr="00A0418E">
        <w:t>Şedinţa </w:t>
      </w:r>
      <w:r w:rsidRPr="00A0418E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2" w:name="tip_sedinta"/>
      <w:r w:rsidRPr="00A0418E">
        <w:instrText xml:space="preserve"> FORMTEXT </w:instrText>
      </w:r>
      <w:r w:rsidRPr="00A0418E">
        <w:fldChar w:fldCharType="separate"/>
      </w:r>
      <w:r w:rsidR="00F97E44" w:rsidRPr="00A0418E">
        <w:t>publică</w:t>
      </w:r>
      <w:r w:rsidRPr="00A0418E">
        <w:fldChar w:fldCharType="end"/>
      </w:r>
      <w:bookmarkEnd w:id="2"/>
      <w:r w:rsidRPr="00A0418E">
        <w:t xml:space="preserve"> de la </w:t>
      </w:r>
      <w:r w:rsidR="003769CC" w:rsidRPr="00A0418E">
        <w:t>.....</w:t>
      </w:r>
      <w:r w:rsidRPr="00A0418E">
        <w:t xml:space="preserve"> </w:t>
      </w:r>
    </w:p>
    <w:p w:rsidR="00090D1C" w:rsidRPr="00A0418E" w:rsidRDefault="00090D1C">
      <w:pPr>
        <w:jc w:val="center"/>
      </w:pPr>
      <w:r w:rsidRPr="00A0418E">
        <w:t>Completul compus din:</w:t>
      </w:r>
    </w:p>
    <w:p w:rsidR="00090D1C" w:rsidRPr="00A0418E" w:rsidRDefault="00A0418E">
      <w:pPr>
        <w:jc w:val="center"/>
      </w:pPr>
      <w:r w:rsidRPr="00A0418E">
        <w:t>.</w:t>
      </w:r>
      <w:r w:rsidR="00090D1C" w:rsidRPr="00A0418E">
        <w:t xml:space="preserve"> </w:t>
      </w:r>
      <w:r w:rsidR="003769CC" w:rsidRPr="00A0418E">
        <w:t>....</w:t>
      </w:r>
    </w:p>
    <w:p w:rsidR="00F97E44" w:rsidRPr="00A0418E" w:rsidRDefault="00A0418E">
      <w:pPr>
        <w:jc w:val="center"/>
      </w:pPr>
      <w:r w:rsidRPr="00A0418E">
        <w:t>.</w:t>
      </w:r>
      <w:r w:rsidR="003769CC" w:rsidRPr="00A0418E">
        <w:t>.....</w:t>
      </w:r>
    </w:p>
    <w:p w:rsidR="00F97E44" w:rsidRPr="00A0418E" w:rsidRDefault="00A0418E">
      <w:pPr>
        <w:jc w:val="center"/>
      </w:pPr>
      <w:r w:rsidRPr="00A0418E">
        <w:t>.</w:t>
      </w:r>
      <w:r w:rsidR="003769CC" w:rsidRPr="00A0418E">
        <w:t>..A1022...</w:t>
      </w:r>
    </w:p>
    <w:p w:rsidR="00090D1C" w:rsidRPr="00A0418E" w:rsidRDefault="00A0418E">
      <w:pPr>
        <w:jc w:val="center"/>
      </w:pPr>
      <w:r w:rsidRPr="00A0418E">
        <w:t>.</w:t>
      </w:r>
      <w:r w:rsidR="003769CC" w:rsidRPr="00A0418E">
        <w:t>....</w:t>
      </w:r>
    </w:p>
    <w:p w:rsidR="00090D1C" w:rsidRPr="00A0418E" w:rsidRDefault="00090D1C">
      <w:pPr>
        <w:jc w:val="center"/>
      </w:pPr>
    </w:p>
    <w:p w:rsidR="00090D1C" w:rsidRPr="00A0418E" w:rsidRDefault="003769CC">
      <w:pPr>
        <w:jc w:val="center"/>
      </w:pPr>
      <w:r w:rsidRPr="00A0418E">
        <w:t>.....</w:t>
      </w:r>
    </w:p>
    <w:p w:rsidR="00090D1C" w:rsidRPr="00A0418E" w:rsidRDefault="00090D1C">
      <w:pPr>
        <w:jc w:val="center"/>
      </w:pPr>
    </w:p>
    <w:p w:rsidR="00090D1C" w:rsidRPr="00A0418E" w:rsidRDefault="00090D1C">
      <w:pPr>
        <w:jc w:val="center"/>
      </w:pPr>
    </w:p>
    <w:p w:rsidR="00C53B6A" w:rsidRPr="00A0418E" w:rsidRDefault="00090D1C" w:rsidP="00C53B6A">
      <w:pPr>
        <w:ind w:firstLine="708"/>
        <w:jc w:val="both"/>
        <w:rPr>
          <w:noProof/>
        </w:rPr>
      </w:pPr>
      <w:r w:rsidRPr="00A0418E">
        <w:t>Pe rol</w:t>
      </w:r>
      <w:r w:rsidR="00C53B6A" w:rsidRPr="00A0418E">
        <w:t xml:space="preserve">, rezultatul dezbaterilor din </w:t>
      </w:r>
      <w:r w:rsidR="003769CC" w:rsidRPr="00A0418E">
        <w:t>....</w:t>
      </w:r>
      <w:r w:rsidR="00C53B6A" w:rsidRPr="00A0418E">
        <w:t>, privind</w:t>
      </w:r>
      <w:r w:rsidRPr="00A0418E">
        <w:t xml:space="preserve"> </w:t>
      </w:r>
      <w:r w:rsidR="00C53B6A" w:rsidRPr="00A0418E">
        <w:t xml:space="preserve">recursul declarat de reclamanta </w:t>
      </w:r>
      <w:bookmarkStart w:id="3" w:name="_Hlk56440371"/>
      <w:r w:rsidR="003769CC" w:rsidRPr="00A0418E">
        <w:t>...A...</w:t>
      </w:r>
      <w:r w:rsidR="00C53B6A" w:rsidRPr="00A0418E">
        <w:t xml:space="preserve"> </w:t>
      </w:r>
      <w:bookmarkEnd w:id="3"/>
      <w:r w:rsidR="00C53B6A" w:rsidRPr="00A0418E">
        <w:t>împotriva sentinţei nr.</w:t>
      </w:r>
      <w:r w:rsidR="003769CC" w:rsidRPr="00A0418E">
        <w:t>..</w:t>
      </w:r>
      <w:r w:rsidR="00C53B6A" w:rsidRPr="00A0418E">
        <w:t xml:space="preserve"> </w:t>
      </w:r>
      <w:r w:rsidR="003769CC" w:rsidRPr="00A0418E">
        <w:t>....</w:t>
      </w:r>
      <w:r w:rsidR="00C53B6A" w:rsidRPr="00A0418E">
        <w:t xml:space="preserve">din </w:t>
      </w:r>
      <w:r w:rsidR="003769CC" w:rsidRPr="00A0418E">
        <w:t>......</w:t>
      </w:r>
      <w:r w:rsidR="00C53B6A" w:rsidRPr="00A0418E">
        <w:t xml:space="preserve">, pronunţată de Tribunalul </w:t>
      </w:r>
      <w:r w:rsidR="003769CC" w:rsidRPr="00A0418E">
        <w:t>...D...</w:t>
      </w:r>
      <w:r w:rsidR="00C53B6A" w:rsidRPr="00A0418E">
        <w:t xml:space="preserve">, în dosar nr. </w:t>
      </w:r>
      <w:r w:rsidR="003769CC" w:rsidRPr="00A0418E">
        <w:t>......</w:t>
      </w:r>
      <w:r w:rsidR="00C53B6A" w:rsidRPr="00A0418E">
        <w:t xml:space="preserve">, în contradictoriu cu intimaţii pârâţi AJFP </w:t>
      </w:r>
      <w:r w:rsidR="003769CC" w:rsidRPr="00A0418E">
        <w:t>...D...</w:t>
      </w:r>
      <w:r w:rsidR="00C53B6A" w:rsidRPr="00A0418E">
        <w:t xml:space="preserve">- DGRFP </w:t>
      </w:r>
      <w:r w:rsidR="003769CC" w:rsidRPr="00A0418E">
        <w:t>...C...</w:t>
      </w:r>
      <w:r w:rsidR="00C53B6A" w:rsidRPr="00A0418E">
        <w:t xml:space="preserve"> şi CASA DE  ASIGURĂRI DE SĂNĂTATE  </w:t>
      </w:r>
      <w:r w:rsidR="003769CC" w:rsidRPr="00A0418E">
        <w:t>...D...</w:t>
      </w:r>
      <w:r w:rsidR="00C53B6A" w:rsidRPr="00A0418E">
        <w:t>.</w:t>
      </w:r>
    </w:p>
    <w:p w:rsidR="00C53B6A" w:rsidRPr="00A0418E" w:rsidRDefault="00C53B6A" w:rsidP="00C53B6A">
      <w:pPr>
        <w:ind w:firstLine="708"/>
        <w:jc w:val="both"/>
      </w:pPr>
      <w:r w:rsidRPr="00A0418E">
        <w:t>La apelul nominal au lipsit părţile.</w:t>
      </w:r>
    </w:p>
    <w:p w:rsidR="00090D1C" w:rsidRPr="00A0418E" w:rsidRDefault="00C53B6A">
      <w:pPr>
        <w:jc w:val="both"/>
      </w:pPr>
      <w:r w:rsidRPr="00A0418E">
        <w:fldChar w:fldCharType="begin">
          <w:ffData>
            <w:name w:val="prezenti"/>
            <w:enabled/>
            <w:calcOnExit w:val="0"/>
            <w:textInput/>
          </w:ffData>
        </w:fldChar>
      </w:r>
      <w:bookmarkStart w:id="4" w:name="prezenti"/>
      <w:r w:rsidRPr="00A0418E">
        <w:instrText xml:space="preserve"> FORMTEXT </w:instrText>
      </w:r>
      <w:r w:rsidRPr="00A0418E">
        <w:fldChar w:fldCharType="separate"/>
      </w:r>
      <w:r w:rsidRPr="00A0418E">
        <w:rPr>
          <w:rFonts w:ascii="Garamond" w:hAnsi="Garamond"/>
          <w:noProof/>
        </w:rPr>
        <w:t> </w:t>
      </w:r>
      <w:r w:rsidRPr="00A0418E">
        <w:rPr>
          <w:rFonts w:ascii="Garamond" w:hAnsi="Garamond"/>
          <w:noProof/>
        </w:rPr>
        <w:t> </w:t>
      </w:r>
      <w:r w:rsidRPr="00A0418E">
        <w:rPr>
          <w:rFonts w:ascii="Garamond" w:hAnsi="Garamond"/>
          <w:noProof/>
        </w:rPr>
        <w:t> </w:t>
      </w:r>
      <w:r w:rsidRPr="00A0418E">
        <w:rPr>
          <w:rFonts w:ascii="Garamond" w:hAnsi="Garamond"/>
          <w:noProof/>
        </w:rPr>
        <w:t> </w:t>
      </w:r>
      <w:r w:rsidRPr="00A0418E">
        <w:rPr>
          <w:rFonts w:ascii="Garamond" w:hAnsi="Garamond"/>
          <w:noProof/>
        </w:rPr>
        <w:t> </w:t>
      </w:r>
      <w:r w:rsidRPr="00A0418E">
        <w:fldChar w:fldCharType="end"/>
      </w:r>
      <w:bookmarkEnd w:id="4"/>
      <w:r w:rsidRPr="00A0418E">
        <w:t xml:space="preserve">  Procedura </w:t>
      </w:r>
      <w:r w:rsidRPr="00A0418E"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5" w:name="tip_procedura"/>
      <w:r w:rsidRPr="00A0418E">
        <w:instrText xml:space="preserve"> FORMTEXT </w:instrText>
      </w:r>
      <w:r w:rsidRPr="00A0418E">
        <w:fldChar w:fldCharType="separate"/>
      </w:r>
      <w:r w:rsidRPr="00A0418E">
        <w:t>legal</w:t>
      </w:r>
      <w:r w:rsidRPr="00A0418E">
        <w:fldChar w:fldCharType="end"/>
      </w:r>
      <w:bookmarkEnd w:id="5"/>
      <w:r w:rsidRPr="00A0418E">
        <w:t xml:space="preserve"> îndeplinită.</w:t>
      </w:r>
    </w:p>
    <w:p w:rsidR="00090D1C" w:rsidRPr="00A0418E" w:rsidRDefault="00C53B6A" w:rsidP="00C53B6A">
      <w:pPr>
        <w:ind w:firstLine="708"/>
        <w:jc w:val="both"/>
      </w:pPr>
      <w:r w:rsidRPr="00A0418E">
        <w:t xml:space="preserve">Dezbaterile din </w:t>
      </w:r>
      <w:r w:rsidR="003769CC" w:rsidRPr="00A0418E">
        <w:t>.......</w:t>
      </w:r>
      <w:r w:rsidRPr="00A0418E">
        <w:t xml:space="preserve"> au fost consemnate într-o încheiere separată care face parte integrantă din prezenta.</w:t>
      </w:r>
    </w:p>
    <w:p w:rsidR="00C53B6A" w:rsidRPr="00A0418E" w:rsidRDefault="00C53B6A" w:rsidP="00C53B6A">
      <w:pPr>
        <w:ind w:firstLine="708"/>
        <w:jc w:val="both"/>
      </w:pPr>
    </w:p>
    <w:p w:rsidR="00C53B6A" w:rsidRPr="00A0418E" w:rsidRDefault="00C53B6A" w:rsidP="00C53B6A">
      <w:pPr>
        <w:ind w:firstLine="708"/>
        <w:jc w:val="both"/>
      </w:pPr>
      <w:r w:rsidRPr="00A0418E">
        <w:tab/>
      </w:r>
      <w:r w:rsidRPr="00A0418E">
        <w:tab/>
      </w:r>
      <w:r w:rsidRPr="00A0418E">
        <w:tab/>
      </w:r>
      <w:r w:rsidRPr="00A0418E">
        <w:tab/>
        <w:t>C U R T E A</w:t>
      </w:r>
    </w:p>
    <w:p w:rsidR="00C53B6A" w:rsidRPr="00A0418E" w:rsidRDefault="00C53B6A" w:rsidP="00C53B6A">
      <w:pPr>
        <w:ind w:firstLine="708"/>
        <w:jc w:val="both"/>
      </w:pPr>
    </w:p>
    <w:p w:rsidR="00C53B6A" w:rsidRPr="00A0418E" w:rsidRDefault="00C53B6A" w:rsidP="00C53B6A">
      <w:pPr>
        <w:tabs>
          <w:tab w:val="left" w:pos="3810"/>
        </w:tabs>
        <w:jc w:val="both"/>
      </w:pPr>
      <w:r w:rsidRPr="00A0418E">
        <w:t xml:space="preserve">          Asupra recursului de faţă;</w:t>
      </w:r>
    </w:p>
    <w:p w:rsidR="00C53B6A" w:rsidRPr="00A0418E" w:rsidRDefault="00C53B6A" w:rsidP="00C53B6A">
      <w:pPr>
        <w:ind w:firstLine="708"/>
        <w:jc w:val="both"/>
      </w:pPr>
      <w:r w:rsidRPr="00A0418E">
        <w:t>Prin sentinţa nr.</w:t>
      </w:r>
      <w:r w:rsidR="003769CC" w:rsidRPr="00A0418E">
        <w:t>.....</w:t>
      </w:r>
      <w:r w:rsidRPr="00A0418E">
        <w:t xml:space="preserve"> din </w:t>
      </w:r>
      <w:r w:rsidR="003769CC" w:rsidRPr="00A0418E">
        <w:t>.....</w:t>
      </w:r>
      <w:r w:rsidRPr="00A0418E">
        <w:t xml:space="preserve">, Tribunalul </w:t>
      </w:r>
      <w:r w:rsidR="003769CC" w:rsidRPr="00A0418E">
        <w:t>...D...</w:t>
      </w:r>
      <w:r w:rsidRPr="00A0418E">
        <w:t xml:space="preserve"> a respins acţiunea formulată de </w:t>
      </w:r>
      <w:r w:rsidR="003769CC" w:rsidRPr="00A0418E">
        <w:t>...A...</w:t>
      </w:r>
      <w:r w:rsidRPr="00A0418E">
        <w:t xml:space="preserve"> în contradictoriu cu intimatele Administraţia Judeţeană A Finanţelor Publice </w:t>
      </w:r>
      <w:r w:rsidR="003769CC" w:rsidRPr="00A0418E">
        <w:t>...D...</w:t>
      </w:r>
      <w:r w:rsidRPr="00A0418E">
        <w:t xml:space="preserve"> - Direcţia Generală Regională a Finanţelor Publice </w:t>
      </w:r>
      <w:r w:rsidR="003769CC" w:rsidRPr="00A0418E">
        <w:t>...C...</w:t>
      </w:r>
      <w:r w:rsidRPr="00A0418E">
        <w:t xml:space="preserve">  şi Casa de  Asigurări de Sănătate  </w:t>
      </w:r>
      <w:r w:rsidR="003769CC" w:rsidRPr="00A0418E">
        <w:t>...D...</w:t>
      </w:r>
      <w:r w:rsidRPr="00A0418E">
        <w:t>.</w:t>
      </w:r>
    </w:p>
    <w:p w:rsidR="00D47E56" w:rsidRPr="00A0418E" w:rsidRDefault="00C53B6A" w:rsidP="00607B9D">
      <w:pPr>
        <w:ind w:firstLine="708"/>
        <w:jc w:val="both"/>
      </w:pPr>
      <w:r w:rsidRPr="00A0418E">
        <w:t xml:space="preserve">Împotriva acestei sentinţe a declarat recurs reclamanta </w:t>
      </w:r>
      <w:r w:rsidR="003769CC" w:rsidRPr="00A0418E">
        <w:t>...A...</w:t>
      </w:r>
      <w:r w:rsidR="00A0306C" w:rsidRPr="00A0418E">
        <w:t xml:space="preserve"> care a susţinut că i</w:t>
      </w:r>
      <w:r w:rsidR="00D47E56" w:rsidRPr="00A0418E">
        <w:t>nstanţa</w:t>
      </w:r>
      <w:r w:rsidR="005B61EE" w:rsidRPr="00A0418E">
        <w:t xml:space="preserve"> a pronunţat o hotărâre nelegală dată</w:t>
      </w:r>
      <w:r w:rsidR="00D47E56" w:rsidRPr="00A0418E">
        <w:t xml:space="preserve"> cu interpretarea greşita a legii in ceea ce priveşte excepţia prescripţiei extinctive, ridicata prin cererea introductiv</w:t>
      </w:r>
      <w:r w:rsidR="005B61EE" w:rsidRPr="00A0418E">
        <w:t>ă</w:t>
      </w:r>
      <w:r w:rsidR="00D47E56" w:rsidRPr="00A0418E">
        <w:t xml:space="preserve"> având in vedere ca </w:t>
      </w:r>
      <w:r w:rsidR="00A0306C" w:rsidRPr="00A0418E">
        <w:t>s-a împlinit termenul de prescripţie</w:t>
      </w:r>
      <w:r w:rsidR="00D47E56" w:rsidRPr="00A0418E">
        <w:t xml:space="preserve"> prevăzut de lege.</w:t>
      </w:r>
    </w:p>
    <w:p w:rsidR="00D47E56" w:rsidRPr="00A0418E" w:rsidRDefault="00D47E56" w:rsidP="00A0306C">
      <w:pPr>
        <w:ind w:firstLine="708"/>
        <w:jc w:val="both"/>
      </w:pPr>
      <w:r w:rsidRPr="00A0418E">
        <w:t>A</w:t>
      </w:r>
      <w:r w:rsidR="00A0306C" w:rsidRPr="00A0418E">
        <w:t>şa cum prevăd dispoziţiile art.</w:t>
      </w:r>
      <w:r w:rsidRPr="00A0418E">
        <w:t xml:space="preserve"> 35 alin </w:t>
      </w:r>
      <w:r w:rsidR="00A0306C" w:rsidRPr="00A0418E">
        <w:t>2 din Ordinul 617/2007, „</w:t>
      </w:r>
      <w:r w:rsidR="005B61EE" w:rsidRPr="00A0418E">
        <w:t>T</w:t>
      </w:r>
      <w:r w:rsidR="00A0306C" w:rsidRPr="00A0418E">
        <w:t>itlul de creanţă prevăzut la alin.</w:t>
      </w:r>
      <w:r w:rsidRPr="00A0418E">
        <w:t xml:space="preserve"> (1) devine titlu executoriu la data la care creanţa bugetară este sca</w:t>
      </w:r>
      <w:r w:rsidR="00A0306C" w:rsidRPr="00A0418E">
        <w:t xml:space="preserve">dentă prin expirarea termenului </w:t>
      </w:r>
      <w:r w:rsidRPr="00A0418E">
        <w:t>de plată prevăzut de lege".</w:t>
      </w:r>
    </w:p>
    <w:p w:rsidR="00D47E56" w:rsidRPr="00A0418E" w:rsidRDefault="00D47E56" w:rsidP="00A0306C">
      <w:pPr>
        <w:ind w:firstLine="708"/>
        <w:jc w:val="both"/>
      </w:pPr>
      <w:r w:rsidRPr="00A0418E">
        <w:t>Cum dreptul de a solicita executarea silita s-a născut in anul 2007, este evident ca s-a î</w:t>
      </w:r>
      <w:r w:rsidR="00A0306C" w:rsidRPr="00A0418E">
        <w:t>mplinit termenul de prescripţiei</w:t>
      </w:r>
    </w:p>
    <w:p w:rsidR="00D47E56" w:rsidRPr="00A0418E" w:rsidRDefault="00A0306C" w:rsidP="00A0306C">
      <w:pPr>
        <w:ind w:firstLine="708"/>
        <w:jc w:val="both"/>
      </w:pPr>
      <w:r w:rsidRPr="00A0418E">
        <w:t>A mai susţinut că i</w:t>
      </w:r>
      <w:r w:rsidR="00D47E56" w:rsidRPr="00A0418E">
        <w:t>nstanţa de fond a pronunţat o hotărâre nelegal</w:t>
      </w:r>
      <w:r w:rsidR="005B61EE" w:rsidRPr="00A0418E">
        <w:t>ă</w:t>
      </w:r>
      <w:r w:rsidR="00D47E56" w:rsidRPr="00A0418E">
        <w:t xml:space="preserve"> dat</w:t>
      </w:r>
      <w:r w:rsidR="005B61EE" w:rsidRPr="00A0418E">
        <w:t>ă</w:t>
      </w:r>
      <w:r w:rsidR="00D47E56" w:rsidRPr="00A0418E">
        <w:t xml:space="preserve"> c</w:t>
      </w:r>
      <w:r w:rsidRPr="00A0418E">
        <w:t>u interpretarea greşit</w:t>
      </w:r>
      <w:r w:rsidR="005B61EE" w:rsidRPr="00A0418E">
        <w:t>ă</w:t>
      </w:r>
      <w:r w:rsidRPr="00A0418E">
        <w:t xml:space="preserve"> a legii, respectiv</w:t>
      </w:r>
      <w:r w:rsidR="00D47E56" w:rsidRPr="00A0418E">
        <w:t xml:space="preserve"> art</w:t>
      </w:r>
      <w:r w:rsidRPr="00A0418E">
        <w:t>. 44 din OUG 92/2003 î</w:t>
      </w:r>
      <w:r w:rsidR="00D47E56" w:rsidRPr="00A0418E">
        <w:t>n ceea ce priveşte procedura de comunicare a actelor a</w:t>
      </w:r>
      <w:r w:rsidRPr="00A0418E">
        <w:t>dministrative emise de că</w:t>
      </w:r>
      <w:r w:rsidR="00D47E56" w:rsidRPr="00A0418E">
        <w:t xml:space="preserve">tre CAS </w:t>
      </w:r>
      <w:r w:rsidR="003769CC" w:rsidRPr="00A0418E">
        <w:t>...D...</w:t>
      </w:r>
      <w:r w:rsidR="00D47E56" w:rsidRPr="00A0418E">
        <w:t>.</w:t>
      </w:r>
    </w:p>
    <w:p w:rsidR="00D47E56" w:rsidRPr="00A0418E" w:rsidRDefault="00D47E56" w:rsidP="00607B9D">
      <w:pPr>
        <w:ind w:firstLine="708"/>
        <w:jc w:val="both"/>
      </w:pPr>
      <w:r w:rsidRPr="00A0418E">
        <w:t>Astfel, i</w:t>
      </w:r>
      <w:r w:rsidR="00A0306C" w:rsidRPr="00A0418E">
        <w:t>nstanţa de fond a considerat că</w:t>
      </w:r>
      <w:r w:rsidRPr="00A0418E">
        <w:t xml:space="preserve"> a fost valabil</w:t>
      </w:r>
      <w:r w:rsidR="00A0306C" w:rsidRPr="00A0418E">
        <w:t xml:space="preserve"> comunicat</w:t>
      </w:r>
      <w:r w:rsidR="005B61EE" w:rsidRPr="00A0418E">
        <w:t>ă</w:t>
      </w:r>
      <w:r w:rsidR="00A0306C" w:rsidRPr="00A0418E">
        <w:t xml:space="preserve"> </w:t>
      </w:r>
      <w:bookmarkStart w:id="6" w:name="_Hlk56440631"/>
      <w:r w:rsidR="00A0306C" w:rsidRPr="00A0418E">
        <w:t>decizia de impunere</w:t>
      </w:r>
      <w:r w:rsidRPr="00A0418E">
        <w:t xml:space="preserve"> din oficiu nr</w:t>
      </w:r>
      <w:r w:rsidR="003769CC" w:rsidRPr="00A0418E">
        <w:t>..a....</w:t>
      </w:r>
      <w:r w:rsidRPr="00A0418E">
        <w:t xml:space="preserve"> din 23</w:t>
      </w:r>
      <w:r w:rsidR="00A0306C" w:rsidRPr="00A0418E">
        <w:t>.</w:t>
      </w:r>
      <w:r w:rsidRPr="00A0418E">
        <w:t>12</w:t>
      </w:r>
      <w:r w:rsidR="00A0306C" w:rsidRPr="00A0418E">
        <w:t>.</w:t>
      </w:r>
      <w:r w:rsidRPr="00A0418E">
        <w:t xml:space="preserve">2013 </w:t>
      </w:r>
      <w:bookmarkEnd w:id="6"/>
      <w:r w:rsidRPr="00A0418E">
        <w:t>prin care s-a stabilit in sarcina</w:t>
      </w:r>
      <w:r w:rsidR="00607B9D" w:rsidRPr="00A0418E">
        <w:t xml:space="preserve"> reclamantei </w:t>
      </w:r>
      <w:r w:rsidR="00A0306C" w:rsidRPr="00A0418E">
        <w:t>c</w:t>
      </w:r>
      <w:r w:rsidRPr="00A0418E">
        <w:t>a fiind de plata suma de 1442 lei reprezentând contribuţie de asigurări sociale de s</w:t>
      </w:r>
      <w:r w:rsidR="00A0306C" w:rsidRPr="00A0418E">
        <w:t>ănătate pe perioada: 2007 - 2008</w:t>
      </w:r>
      <w:r w:rsidRPr="00A0418E">
        <w:t xml:space="preserve">, de către CAS </w:t>
      </w:r>
      <w:r w:rsidR="003769CC" w:rsidRPr="00A0418E">
        <w:t>...D...</w:t>
      </w:r>
      <w:r w:rsidRPr="00A0418E">
        <w:t>, dovada in acest sens fiind confirmarea de primire care are menţiunea: „lipsa de la domiciliu".</w:t>
      </w:r>
    </w:p>
    <w:p w:rsidR="00D47E56" w:rsidRPr="00A0418E" w:rsidRDefault="005B61EE" w:rsidP="00A0306C">
      <w:pPr>
        <w:ind w:firstLine="708"/>
        <w:jc w:val="both"/>
      </w:pPr>
      <w:r w:rsidRPr="00A0418E">
        <w:t>Susţine că</w:t>
      </w:r>
      <w:r w:rsidR="00D47E56" w:rsidRPr="00A0418E">
        <w:t xml:space="preserve"> instanţa a interpretat greşit dispoziţiile art</w:t>
      </w:r>
      <w:r w:rsidR="00A0306C" w:rsidRPr="00A0418E">
        <w:t>. 44 din OUG 92/ 2003 î</w:t>
      </w:r>
      <w:r w:rsidR="00D47E56" w:rsidRPr="00A0418E">
        <w:t xml:space="preserve">n ceea ce priveşte ordinea de realizare a modalităţilor de comunicare a actului administrative, considerând ca CAS </w:t>
      </w:r>
      <w:r w:rsidR="003769CC" w:rsidRPr="00A0418E">
        <w:t>...D...</w:t>
      </w:r>
      <w:r w:rsidR="00D47E56" w:rsidRPr="00A0418E">
        <w:t xml:space="preserve"> putea sa schimbe ordinea de comunicare</w:t>
      </w:r>
      <w:r w:rsidRPr="00A0418E">
        <w:t xml:space="preserve"> după cum voia, fiind î</w:t>
      </w:r>
      <w:r w:rsidR="00D47E56" w:rsidRPr="00A0418E">
        <w:t>nc</w:t>
      </w:r>
      <w:r w:rsidR="008841FD" w:rsidRPr="00A0418E">
        <w:t>ă</w:t>
      </w:r>
      <w:r w:rsidR="00D47E56" w:rsidRPr="00A0418E">
        <w:t>lcate astfel dispoziţiile Deciziei nr</w:t>
      </w:r>
      <w:r w:rsidR="00A0306C" w:rsidRPr="00A0418E">
        <w:t>.</w:t>
      </w:r>
      <w:r w:rsidR="00D47E56" w:rsidRPr="00A0418E">
        <w:t xml:space="preserve"> 536 din 28</w:t>
      </w:r>
      <w:r w:rsidR="00A0306C" w:rsidRPr="00A0418E">
        <w:t>.</w:t>
      </w:r>
      <w:r w:rsidR="00D47E56" w:rsidRPr="00A0418E">
        <w:t>04</w:t>
      </w:r>
      <w:r w:rsidR="00A0306C" w:rsidRPr="00A0418E">
        <w:t>.</w:t>
      </w:r>
      <w:r w:rsidR="00D47E56" w:rsidRPr="00A0418E">
        <w:t>2011 a Curţii Constituţionale.</w:t>
      </w:r>
    </w:p>
    <w:p w:rsidR="00D47E56" w:rsidRPr="00A0418E" w:rsidRDefault="00A0306C" w:rsidP="00A0306C">
      <w:pPr>
        <w:ind w:firstLine="708"/>
        <w:jc w:val="both"/>
      </w:pPr>
      <w:r w:rsidRPr="00A0418E">
        <w:t>A arătat că l</w:t>
      </w:r>
      <w:r w:rsidR="00D47E56" w:rsidRPr="00A0418E">
        <w:t>a data comunicării deciziei de impunere din oficiu nr</w:t>
      </w:r>
      <w:r w:rsidR="003769CC" w:rsidRPr="00A0418E">
        <w:t>..a....</w:t>
      </w:r>
      <w:r w:rsidR="00D47E56" w:rsidRPr="00A0418E">
        <w:t xml:space="preserve"> din </w:t>
      </w:r>
      <w:r w:rsidRPr="00A0418E">
        <w:t xml:space="preserve">23.12.2013  nu mai avea adresa la care </w:t>
      </w:r>
      <w:r w:rsidR="00D47E56" w:rsidRPr="00A0418E">
        <w:t>i-a fost comunicat</w:t>
      </w:r>
      <w:r w:rsidR="005B61EE" w:rsidRPr="00A0418E">
        <w:t>ă</w:t>
      </w:r>
      <w:r w:rsidR="00D47E56" w:rsidRPr="00A0418E">
        <w:t xml:space="preserve"> decizia deoarece </w:t>
      </w:r>
      <w:r w:rsidRPr="00A0418E">
        <w:t>şi-a</w:t>
      </w:r>
      <w:r w:rsidR="00D47E56" w:rsidRPr="00A0418E">
        <w:t xml:space="preserve"> schimbat domiciliul</w:t>
      </w:r>
      <w:r w:rsidRPr="00A0418E">
        <w:t xml:space="preserve"> iar </w:t>
      </w:r>
      <w:r w:rsidRPr="00A0418E">
        <w:lastRenderedPageBreak/>
        <w:t xml:space="preserve">contestaţia nu este prescrisă, ci este formulata în termenul legal, respectiv după ce decizia de impunere </w:t>
      </w:r>
      <w:r w:rsidR="00D47E56" w:rsidRPr="00A0418E">
        <w:t xml:space="preserve">i-a fost comunicata de către Administraţia Judeţeană a Finanţelor Publice </w:t>
      </w:r>
      <w:r w:rsidR="003769CC" w:rsidRPr="00A0418E">
        <w:t>...D...</w:t>
      </w:r>
      <w:r w:rsidR="00D47E56" w:rsidRPr="00A0418E">
        <w:t>.</w:t>
      </w:r>
    </w:p>
    <w:p w:rsidR="00D47E56" w:rsidRPr="00A0418E" w:rsidRDefault="00A0306C" w:rsidP="00A0306C">
      <w:pPr>
        <w:ind w:firstLine="708"/>
        <w:jc w:val="both"/>
      </w:pPr>
      <w:r w:rsidRPr="00A0418E">
        <w:t>A considerat că i</w:t>
      </w:r>
      <w:r w:rsidR="00D47E56" w:rsidRPr="00A0418E">
        <w:t>nstanţa a interpretat greşit dispoziţiile legale referitoare la competenta de emitere a actului administrativ.</w:t>
      </w:r>
    </w:p>
    <w:p w:rsidR="00D47E56" w:rsidRPr="00A0418E" w:rsidRDefault="00D47E56" w:rsidP="00A0306C">
      <w:pPr>
        <w:ind w:firstLine="708"/>
        <w:jc w:val="both"/>
      </w:pPr>
      <w:r w:rsidRPr="00A0418E">
        <w:t>Deciz</w:t>
      </w:r>
      <w:r w:rsidR="00A0306C" w:rsidRPr="00A0418E">
        <w:t>ia de impunere din oficiu nr</w:t>
      </w:r>
      <w:r w:rsidR="003769CC" w:rsidRPr="00A0418E">
        <w:t>..a....</w:t>
      </w:r>
      <w:r w:rsidRPr="00A0418E">
        <w:t xml:space="preserve"> din </w:t>
      </w:r>
      <w:r w:rsidR="00A0306C" w:rsidRPr="00A0418E">
        <w:t xml:space="preserve">23.12.2013 </w:t>
      </w:r>
      <w:r w:rsidRPr="00A0418E">
        <w:t xml:space="preserve">este lovita de nulitate absoluta deoarece este </w:t>
      </w:r>
      <w:r w:rsidR="00A0306C" w:rsidRPr="00A0418E">
        <w:t>î</w:t>
      </w:r>
      <w:r w:rsidRPr="00A0418E">
        <w:t>ntocmita de către o instituţie care nu are calitatea de organ de executare competent in virtutea dispoziţiilor OUG 92 / 2003.</w:t>
      </w:r>
    </w:p>
    <w:p w:rsidR="00D47E56" w:rsidRPr="00A0418E" w:rsidRDefault="00D47E56" w:rsidP="00A0306C">
      <w:pPr>
        <w:ind w:firstLine="708"/>
        <w:jc w:val="both"/>
      </w:pPr>
      <w:r w:rsidRPr="00A0418E">
        <w:t xml:space="preserve">Cum </w:t>
      </w:r>
      <w:r w:rsidR="00A0306C" w:rsidRPr="00A0418E">
        <w:t>p</w:t>
      </w:r>
      <w:r w:rsidRPr="00A0418E">
        <w:t>otrivit art. 23 fraza I din Legea nr. 554/2004, hotărârile judecătoreşti definitive şi irevocabile prin. care s-</w:t>
      </w:r>
      <w:r w:rsidR="00A0306C" w:rsidRPr="00A0418E">
        <w:t>a anulat în tot sau în parte uni</w:t>
      </w:r>
      <w:r w:rsidRPr="00A0418E">
        <w:t xml:space="preserve"> act administrativ cu caracter normativ sunt general obligatorii şi au puter</w:t>
      </w:r>
      <w:r w:rsidR="00123430" w:rsidRPr="00A0418E">
        <w:t>e numai pentru viitor iar prin s</w:t>
      </w:r>
      <w:r w:rsidRPr="00A0418E">
        <w:t xml:space="preserve">entinţa civila din </w:t>
      </w:r>
      <w:r w:rsidR="00A0418E" w:rsidRPr="00A0418E">
        <w:t>......</w:t>
      </w:r>
      <w:r w:rsidRPr="00A0418E">
        <w:t>, pronunţata in dosarul nr</w:t>
      </w:r>
      <w:r w:rsidR="00A0306C" w:rsidRPr="00A0418E">
        <w:t xml:space="preserve">. </w:t>
      </w:r>
      <w:r w:rsidR="003769CC" w:rsidRPr="00A0418E">
        <w:t>....</w:t>
      </w:r>
      <w:r w:rsidR="00123430" w:rsidRPr="00A0418E">
        <w:t>,</w:t>
      </w:r>
      <w:r w:rsidR="00A0306C" w:rsidRPr="00A0418E">
        <w:t xml:space="preserve"> ră</w:t>
      </w:r>
      <w:r w:rsidR="00123430" w:rsidRPr="00A0418E">
        <w:t>masa definitiva si irevocabilă,</w:t>
      </w:r>
      <w:r w:rsidRPr="00A0418E">
        <w:t xml:space="preserve"> au fost anulate in parte </w:t>
      </w:r>
      <w:r w:rsidR="00A0306C" w:rsidRPr="00A0418E">
        <w:t xml:space="preserve">dispoziţiile art. 35, alin. 1 din Ordinul Preşedintelui CNAS </w:t>
      </w:r>
      <w:r w:rsidR="009D25C4" w:rsidRPr="00A0418E">
        <w:t>61</w:t>
      </w:r>
      <w:r w:rsidR="00A0306C" w:rsidRPr="00A0418E">
        <w:t>7/</w:t>
      </w:r>
      <w:r w:rsidRPr="00A0418E">
        <w:t>2007 in privinţa posibilităţii organului competent CAS de a emite decizii de impunere, este evident ca decizia este lovita de nulitate iar instanţa a greşit.</w:t>
      </w:r>
    </w:p>
    <w:p w:rsidR="00D47E56" w:rsidRPr="00A0418E" w:rsidRDefault="00D47E56" w:rsidP="00A0306C">
      <w:pPr>
        <w:ind w:firstLine="708"/>
        <w:jc w:val="both"/>
      </w:pPr>
      <w:r w:rsidRPr="00A0418E">
        <w:t>Instanţa a interpretat greşit obligata legala prevăzuta in art. 222 din Legea nr. 95/2006 privind informarea periodica a subsemnatului si a procedat in mod nejust</w:t>
      </w:r>
      <w:r w:rsidR="00A0306C" w:rsidRPr="00A0418E">
        <w:t>ificat la calcularea dobânzilor</w:t>
      </w:r>
      <w:r w:rsidRPr="00A0418E">
        <w:t xml:space="preserve"> si penalităţilor.</w:t>
      </w:r>
    </w:p>
    <w:p w:rsidR="00D47E56" w:rsidRPr="00A0418E" w:rsidRDefault="00D47E56" w:rsidP="00A0306C">
      <w:pPr>
        <w:ind w:firstLine="708"/>
        <w:jc w:val="both"/>
      </w:pPr>
      <w:r w:rsidRPr="00A0418E">
        <w:t>Potrivit art.222 din L</w:t>
      </w:r>
      <w:r w:rsidR="00A0306C" w:rsidRPr="00A0418E">
        <w:t>g</w:t>
      </w:r>
      <w:r w:rsidRPr="00A0418E">
        <w:t xml:space="preserve">.95/2006 </w:t>
      </w:r>
      <w:r w:rsidR="00A0306C" w:rsidRPr="00A0418E">
        <w:t>„</w:t>
      </w:r>
      <w:r w:rsidRPr="00A0418E">
        <w:t xml:space="preserve">   F</w:t>
      </w:r>
      <w:r w:rsidR="00A0306C" w:rsidRPr="00A0418E">
        <w:t xml:space="preserve">iecare asigurat are dreptul </w:t>
      </w:r>
      <w:r w:rsidRPr="00A0418E">
        <w:t>de a fi</w:t>
      </w:r>
      <w:r w:rsidR="00A0306C" w:rsidRPr="00A0418E">
        <w:t xml:space="preserve"> </w:t>
      </w:r>
      <w:r w:rsidRPr="00A0418E">
        <w:t>informat cel puţin o dată pe an, prin casete de asigurări, asupra serviciilor de care beneficia</w:t>
      </w:r>
      <w:r w:rsidR="00A0306C" w:rsidRPr="00A0418E">
        <w:t xml:space="preserve">ză, a nivelului de contribuţie </w:t>
      </w:r>
      <w:r w:rsidRPr="00A0418E">
        <w:t>personală şi a modalităţii de plată, precum şi asupra drepturilor şi obligaţiilor sale".</w:t>
      </w:r>
    </w:p>
    <w:p w:rsidR="00D47E56" w:rsidRPr="00A0418E" w:rsidRDefault="00D47E56" w:rsidP="00A0306C">
      <w:pPr>
        <w:ind w:firstLine="708"/>
        <w:jc w:val="both"/>
      </w:pPr>
      <w:r w:rsidRPr="00A0418E">
        <w:t xml:space="preserve">Nicăieri in textul legii nu se prevede </w:t>
      </w:r>
      <w:r w:rsidR="008841FD" w:rsidRPr="00A0418E">
        <w:t>că</w:t>
      </w:r>
      <w:r w:rsidRPr="00A0418E">
        <w:t xml:space="preserve"> obligaţia de informare a CAS este condiţionata de depunerea decla</w:t>
      </w:r>
      <w:r w:rsidR="00123430" w:rsidRPr="00A0418E">
        <w:t>raţiei de către contribuabil, aş</w:t>
      </w:r>
      <w:r w:rsidRPr="00A0418E">
        <w:t>a cum susţine instituţia in cauza, aceasta obligaţie fiind una deplina si exclusiva.</w:t>
      </w:r>
    </w:p>
    <w:p w:rsidR="00D47E56" w:rsidRPr="00A0418E" w:rsidRDefault="00D47E56" w:rsidP="00A0306C">
      <w:pPr>
        <w:ind w:firstLine="708"/>
        <w:jc w:val="both"/>
      </w:pPr>
      <w:r w:rsidRPr="00A0418E">
        <w:t xml:space="preserve">In drept </w:t>
      </w:r>
      <w:r w:rsidR="00A0306C" w:rsidRPr="00A0418E">
        <w:t>şi-a întemeiat</w:t>
      </w:r>
      <w:r w:rsidRPr="00A0418E">
        <w:t xml:space="preserve"> </w:t>
      </w:r>
      <w:r w:rsidR="00A0306C" w:rsidRPr="00A0418E">
        <w:t xml:space="preserve">recursul </w:t>
      </w:r>
      <w:r w:rsidRPr="00A0418E">
        <w:t>pe dispoziţiile art</w:t>
      </w:r>
      <w:r w:rsidR="00A0306C" w:rsidRPr="00A0418E">
        <w:t>.</w:t>
      </w:r>
      <w:r w:rsidRPr="00A0418E">
        <w:t xml:space="preserve"> 20 din Legea 554 / 2004 si art</w:t>
      </w:r>
      <w:r w:rsidR="00A0306C" w:rsidRPr="00A0418E">
        <w:t>.</w:t>
      </w:r>
      <w:r w:rsidRPr="00A0418E">
        <w:t xml:space="preserve"> 488 pct</w:t>
      </w:r>
      <w:r w:rsidR="00A0306C" w:rsidRPr="00A0418E">
        <w:t>.</w:t>
      </w:r>
      <w:r w:rsidRPr="00A0418E">
        <w:t xml:space="preserve"> 6 si 8 din Codul de procedura civila.</w:t>
      </w:r>
    </w:p>
    <w:p w:rsidR="005B61EE" w:rsidRPr="00A0418E" w:rsidRDefault="005B61EE" w:rsidP="00A0306C">
      <w:pPr>
        <w:ind w:firstLine="708"/>
        <w:jc w:val="both"/>
      </w:pPr>
      <w:r w:rsidRPr="00A0418E">
        <w:t>Intimata pârâtă a formulat întâmpinare, solicitând respingerea recursului şi menţinerea hotărârii pronunţată de instanţa de fond.</w:t>
      </w:r>
    </w:p>
    <w:p w:rsidR="008841FD" w:rsidRPr="00A0418E" w:rsidRDefault="008841FD" w:rsidP="00A0306C">
      <w:pPr>
        <w:ind w:firstLine="708"/>
        <w:jc w:val="both"/>
        <w:rPr>
          <w:i/>
        </w:rPr>
      </w:pPr>
      <w:r w:rsidRPr="00A0418E">
        <w:rPr>
          <w:i/>
        </w:rPr>
        <w:t>Analizând recursul prin prisma criticilor formulate, Curtea constată următoarele:</w:t>
      </w:r>
    </w:p>
    <w:p w:rsidR="005B61EE" w:rsidRPr="00A0418E" w:rsidRDefault="005B61EE" w:rsidP="00A0306C">
      <w:pPr>
        <w:ind w:firstLine="708"/>
        <w:jc w:val="both"/>
      </w:pPr>
      <w:r w:rsidRPr="00A0418E">
        <w:t xml:space="preserve">Reclamanta a învestiti instanţa de judecată cu o acţiune având ca obiect anularea </w:t>
      </w:r>
      <w:r w:rsidR="00401331" w:rsidRPr="00A0418E">
        <w:t>deciziei de impunere din oficiu nr</w:t>
      </w:r>
      <w:r w:rsidR="003769CC" w:rsidRPr="00A0418E">
        <w:t>..a....</w:t>
      </w:r>
      <w:r w:rsidR="00401331" w:rsidRPr="00A0418E">
        <w:t xml:space="preserve">/23.12.2013, a deciziei de calcul a accesoriilor </w:t>
      </w:r>
      <w:bookmarkStart w:id="7" w:name="_Hlk56440840"/>
      <w:r w:rsidR="00401331" w:rsidRPr="00A0418E">
        <w:t xml:space="preserve">nr. </w:t>
      </w:r>
      <w:r w:rsidR="003769CC" w:rsidRPr="00A0418E">
        <w:t>...a1...</w:t>
      </w:r>
      <w:r w:rsidR="00401331" w:rsidRPr="00A0418E">
        <w:t xml:space="preserve">/23.12.2013 </w:t>
      </w:r>
      <w:bookmarkEnd w:id="7"/>
      <w:r w:rsidR="00401331" w:rsidRPr="00A0418E">
        <w:t xml:space="preserve">şi a deciziei de soluţionare a contestaţiei nr. </w:t>
      </w:r>
      <w:bookmarkStart w:id="8" w:name="_Hlk56440872"/>
      <w:r w:rsidR="009D25C4" w:rsidRPr="00A0418E">
        <w:t>...a2...</w:t>
      </w:r>
      <w:r w:rsidR="00401331" w:rsidRPr="00A0418E">
        <w:t>/30.01.2015</w:t>
      </w:r>
      <w:bookmarkEnd w:id="8"/>
      <w:r w:rsidR="00401331" w:rsidRPr="00A0418E">
        <w:t xml:space="preserve">, reţinând că în mod corect pârata a respins contestaţia administrativă </w:t>
      </w:r>
      <w:r w:rsidR="00D73DDF" w:rsidRPr="00A0418E">
        <w:t xml:space="preserve">împotriva deciziei de impunere </w:t>
      </w:r>
      <w:r w:rsidR="00401331" w:rsidRPr="00A0418E">
        <w:t xml:space="preserve">ca fiind </w:t>
      </w:r>
      <w:r w:rsidR="00D73DDF" w:rsidRPr="00A0418E">
        <w:t>prescrisă</w:t>
      </w:r>
      <w:r w:rsidR="0012447F" w:rsidRPr="00A0418E">
        <w:t xml:space="preserve"> în raport de data comunicării acesteia.</w:t>
      </w:r>
    </w:p>
    <w:p w:rsidR="0012447F" w:rsidRPr="00A0418E" w:rsidRDefault="0012447F" w:rsidP="00A0306C">
      <w:pPr>
        <w:ind w:firstLine="708"/>
        <w:jc w:val="both"/>
      </w:pPr>
      <w:r w:rsidRPr="00A0418E">
        <w:t>În ceea ce priveşte decizia de stabilire a accesoriilor nr.</w:t>
      </w:r>
      <w:r w:rsidR="009D25C4" w:rsidRPr="00A0418E">
        <w:t>...a1....</w:t>
      </w:r>
      <w:r w:rsidRPr="00A0418E">
        <w:t xml:space="preserve">/2013 instanţa de fond a reţinut că de fapt aceasta nu există, cuantumul accesoriilor </w:t>
      </w:r>
      <w:r w:rsidR="00745E4E" w:rsidRPr="00A0418E">
        <w:t xml:space="preserve">fiind stabilit prin </w:t>
      </w:r>
      <w:bookmarkStart w:id="9" w:name="_Hlk56440967"/>
      <w:r w:rsidR="00745E4E" w:rsidRPr="00A0418E">
        <w:t xml:space="preserve">decizia de impunere nr. </w:t>
      </w:r>
      <w:r w:rsidR="009D25C4" w:rsidRPr="00A0418E">
        <w:t>..a3...</w:t>
      </w:r>
      <w:r w:rsidR="00745E4E" w:rsidRPr="00A0418E">
        <w:t>/14.10.2014</w:t>
      </w:r>
      <w:bookmarkEnd w:id="9"/>
      <w:r w:rsidR="00745E4E" w:rsidRPr="00A0418E">
        <w:t xml:space="preserve">, menţinută prin </w:t>
      </w:r>
      <w:bookmarkStart w:id="10" w:name="_Hlk56441000"/>
      <w:r w:rsidR="00745E4E" w:rsidRPr="00A0418E">
        <w:t xml:space="preserve">decizia de soluţionare a contestaţiei nr. </w:t>
      </w:r>
      <w:r w:rsidR="009D25C4" w:rsidRPr="00A0418E">
        <w:t>...a4...</w:t>
      </w:r>
      <w:r w:rsidR="00745E4E" w:rsidRPr="00A0418E">
        <w:t>/10.06.2015</w:t>
      </w:r>
      <w:bookmarkEnd w:id="10"/>
      <w:r w:rsidR="00745E4E" w:rsidRPr="00A0418E">
        <w:t>, aceste acte administrative nefăcând obiectul acţiunii.</w:t>
      </w:r>
    </w:p>
    <w:p w:rsidR="00745E4E" w:rsidRPr="00A0418E" w:rsidRDefault="00745E4E" w:rsidP="00A0306C">
      <w:pPr>
        <w:ind w:firstLine="708"/>
        <w:jc w:val="both"/>
      </w:pPr>
      <w:r w:rsidRPr="00A0418E">
        <w:t>În ceea ce priveşte prima critică a recurentei potrivit cu care</w:t>
      </w:r>
      <w:r w:rsidR="00926DE9" w:rsidRPr="00A0418E">
        <w:t xml:space="preserve"> în mod greşit instanţa de fond a reţinut incidentă excepţia prescripţiei, considerând că dreptul de a solicita executarea silită s-a născut în anul 2007 potrivit art.35 alin.2 din Ordinul nr.617/2007, aşa încât </w:t>
      </w:r>
      <w:r w:rsidR="007F63CE" w:rsidRPr="00A0418E">
        <w:t>a introdus contestaţia în termen, este neîntemeiată.</w:t>
      </w:r>
    </w:p>
    <w:p w:rsidR="007F63CE" w:rsidRPr="00A0418E" w:rsidRDefault="007F63CE" w:rsidP="00A0306C">
      <w:pPr>
        <w:ind w:firstLine="708"/>
        <w:jc w:val="both"/>
      </w:pPr>
      <w:r w:rsidRPr="00A0418E">
        <w:t>Potrivit art. 7 alin.</w:t>
      </w:r>
      <w:r w:rsidR="004C30B7" w:rsidRPr="00A0418E">
        <w:t xml:space="preserve">1 şi </w:t>
      </w:r>
      <w:r w:rsidRPr="00A0418E">
        <w:t xml:space="preserve">7 din Legea nr.554/2004 </w:t>
      </w:r>
      <w:r w:rsidR="004C30B7" w:rsidRPr="00A0418E">
        <w:t>plângerea prealabilă se introduc</w:t>
      </w:r>
      <w:r w:rsidR="00100C77" w:rsidRPr="00A0418E">
        <w:t>e de regulă în termen de 30 de z</w:t>
      </w:r>
      <w:r w:rsidR="004C30B7" w:rsidRPr="00A0418E">
        <w:t>ile de la data comunicării actului administrativ, iar pentru motive temeinice nu mai târziu de 6 luni de la data emiterii acestuia.</w:t>
      </w:r>
    </w:p>
    <w:p w:rsidR="004C30B7" w:rsidRPr="00A0418E" w:rsidRDefault="004C30B7" w:rsidP="00A0306C">
      <w:pPr>
        <w:ind w:firstLine="708"/>
        <w:jc w:val="both"/>
      </w:pPr>
      <w:r w:rsidRPr="00A0418E">
        <w:t>În cauză decizia de impunere nr.</w:t>
      </w:r>
      <w:r w:rsidR="009D25C4" w:rsidRPr="00A0418E">
        <w:t>..a...</w:t>
      </w:r>
      <w:r w:rsidRPr="00A0418E">
        <w:t xml:space="preserve">/23.12.2013 </w:t>
      </w:r>
      <w:r w:rsidR="00100C77" w:rsidRPr="00A0418E">
        <w:t xml:space="preserve">emisă de CAS </w:t>
      </w:r>
      <w:r w:rsidR="003769CC" w:rsidRPr="00A0418E">
        <w:t>...D...</w:t>
      </w:r>
      <w:r w:rsidR="00100C77" w:rsidRPr="00A0418E">
        <w:t xml:space="preserve"> a fost comunicată reclamantei la data de 23.01.2014 conform procesului </w:t>
      </w:r>
      <w:bookmarkStart w:id="11" w:name="_Hlk56441190"/>
      <w:r w:rsidR="00100C77" w:rsidRPr="00A0418E">
        <w:t>verbal de p</w:t>
      </w:r>
      <w:r w:rsidR="00F40569" w:rsidRPr="00A0418E">
        <w:t xml:space="preserve">ublicare nr. </w:t>
      </w:r>
      <w:r w:rsidR="009D25C4" w:rsidRPr="00A0418E">
        <w:t>..b...</w:t>
      </w:r>
      <w:r w:rsidR="00F40569" w:rsidRPr="00A0418E">
        <w:t>/23.01.2012</w:t>
      </w:r>
      <w:bookmarkEnd w:id="11"/>
      <w:r w:rsidR="00F40569" w:rsidRPr="00A0418E">
        <w:t>, poz</w:t>
      </w:r>
      <w:r w:rsidR="00100C77" w:rsidRPr="00A0418E">
        <w:t xml:space="preserve">. </w:t>
      </w:r>
      <w:r w:rsidR="009D25C4" w:rsidRPr="00A0418E">
        <w:t>.....</w:t>
      </w:r>
      <w:r w:rsidR="00100C77" w:rsidRPr="00A0418E">
        <w:t>, după ce în prealabil aceasta fusese comunicată prin poştă la data de 19.01.2012, dovada de comunicare fiind restituită cu menţiunea lipsă de la domiciliu.</w:t>
      </w:r>
    </w:p>
    <w:p w:rsidR="00C53B6A" w:rsidRPr="00A0418E" w:rsidRDefault="00100C77" w:rsidP="00C53B6A">
      <w:pPr>
        <w:ind w:firstLine="708"/>
        <w:jc w:val="both"/>
      </w:pPr>
      <w:r w:rsidRPr="00A0418E">
        <w:t xml:space="preserve">Ca urmare, în mod legal a reţinut instanţa de fond că a intervenit prescripţia dreptului de a </w:t>
      </w:r>
      <w:r w:rsidR="00F40569" w:rsidRPr="00A0418E">
        <w:t>promova</w:t>
      </w:r>
      <w:r w:rsidRPr="00A0418E">
        <w:t xml:space="preserve"> plângere prealabilă, contestaţia formulată </w:t>
      </w:r>
      <w:r w:rsidR="00F40569" w:rsidRPr="00A0418E">
        <w:t xml:space="preserve">la data de </w:t>
      </w:r>
      <w:r w:rsidR="00A0418E" w:rsidRPr="00A0418E">
        <w:t>......</w:t>
      </w:r>
      <w:r w:rsidR="00F40569" w:rsidRPr="00A0418E">
        <w:t xml:space="preserve">, </w:t>
      </w:r>
      <w:r w:rsidRPr="00A0418E">
        <w:t>împo</w:t>
      </w:r>
      <w:r w:rsidR="00F40569" w:rsidRPr="00A0418E">
        <w:t xml:space="preserve">triva deciziei de impunere, </w:t>
      </w:r>
      <w:r w:rsidRPr="00A0418E">
        <w:t>fiind respinsă pe această excepţie.</w:t>
      </w:r>
    </w:p>
    <w:p w:rsidR="006166DE" w:rsidRPr="00A0418E" w:rsidRDefault="00E41097" w:rsidP="00C53B6A">
      <w:pPr>
        <w:ind w:firstLine="708"/>
        <w:jc w:val="both"/>
      </w:pPr>
      <w:r w:rsidRPr="00A0418E">
        <w:t>Referitor la cel de-al doilea motiv de recurs ce vizează greşita</w:t>
      </w:r>
      <w:r w:rsidR="00A77BE2" w:rsidRPr="00A0418E">
        <w:t xml:space="preserve"> </w:t>
      </w:r>
      <w:r w:rsidRPr="00A0418E">
        <w:t xml:space="preserve">interpretare a dispoziţiilor art.44 din O.U.G. nr.92/2003 în ceea ce priveşte procedura de comunicare a actelor administrative emise de CAS </w:t>
      </w:r>
      <w:r w:rsidR="003769CC" w:rsidRPr="00A0418E">
        <w:t>...D...</w:t>
      </w:r>
      <w:r w:rsidRPr="00A0418E">
        <w:t>, Curtea îl apreciază de asemenea ca fiind ne</w:t>
      </w:r>
      <w:r w:rsidR="006166DE" w:rsidRPr="00A0418E">
        <w:t>întemeiat.</w:t>
      </w:r>
    </w:p>
    <w:p w:rsidR="006166DE" w:rsidRPr="00A0418E" w:rsidRDefault="006166DE" w:rsidP="00C53B6A">
      <w:pPr>
        <w:ind w:firstLine="708"/>
        <w:jc w:val="both"/>
      </w:pPr>
      <w:r w:rsidRPr="00A0418E">
        <w:lastRenderedPageBreak/>
        <w:t>Intr-adevăr</w:t>
      </w:r>
      <w:r w:rsidR="00C62C90" w:rsidRPr="00A0418E">
        <w:t>, dispoziţiile art.44 din C</w:t>
      </w:r>
      <w:r w:rsidR="00A77BE2" w:rsidRPr="00A0418E">
        <w:t>.</w:t>
      </w:r>
      <w:r w:rsidRPr="00A0418E">
        <w:t>p</w:t>
      </w:r>
      <w:r w:rsidR="00A77BE2" w:rsidRPr="00A0418E">
        <w:t>.</w:t>
      </w:r>
      <w:r w:rsidRPr="00A0418E">
        <w:t>fisc prevăd ordinea etapelor de urmat în realizarea procedurii de comunicare a actelor administrativ-fiscale, comunicarea prin publicitate fiind ultima dintre acestea, aplicabilă doar după parcurgerea celorla</w:t>
      </w:r>
      <w:r w:rsidR="00A77BE2" w:rsidRPr="00A0418E">
        <w:t>l</w:t>
      </w:r>
      <w:r w:rsidRPr="00A0418E">
        <w:t>te etape. Cum în speţă s-a procedat la comunicarea prin poştă fiind restituită dovada de comunicare, cu menţiunea lipsă de la domiciliu</w:t>
      </w:r>
      <w:r w:rsidR="00BE2284" w:rsidRPr="00A0418E">
        <w:t>, în mod legal s-a dispus comunicarea prin publicitate.</w:t>
      </w:r>
    </w:p>
    <w:p w:rsidR="00BE2284" w:rsidRPr="00A0418E" w:rsidRDefault="00BE2284" w:rsidP="00C53B6A">
      <w:pPr>
        <w:ind w:firstLine="708"/>
        <w:jc w:val="both"/>
      </w:pPr>
      <w:r w:rsidRPr="00A0418E">
        <w:t>Faptul că reclamanta şi-a schimbat domiciliul nu este de natură să vicieze procedura de c</w:t>
      </w:r>
      <w:r w:rsidR="00C62C90" w:rsidRPr="00A0418E">
        <w:t xml:space="preserve">itare prin publicitate cât timp </w:t>
      </w:r>
      <w:r w:rsidRPr="00A0418E">
        <w:t>nu a realizat demersurile necesare pentru a anunţa schimbarea domiciliului.</w:t>
      </w:r>
    </w:p>
    <w:p w:rsidR="00BE2284" w:rsidRPr="00A0418E" w:rsidRDefault="00BE2284" w:rsidP="00C53B6A">
      <w:pPr>
        <w:ind w:firstLine="708"/>
        <w:jc w:val="both"/>
      </w:pPr>
      <w:r w:rsidRPr="00A0418E">
        <w:t>Cea de-a treia critică a recurentei vizează necompetenţa organului emitent al deciziei de impunere, aspect de natură să atragă nulitatea acesteia</w:t>
      </w:r>
      <w:r w:rsidR="00F24118" w:rsidRPr="00A0418E">
        <w:t>, prin prisma anulării parţiale a art. 35 alin.1 din Ordinul 617/2007.</w:t>
      </w:r>
    </w:p>
    <w:p w:rsidR="00F24118" w:rsidRPr="00A0418E" w:rsidRDefault="00F24118" w:rsidP="00C53B6A">
      <w:pPr>
        <w:ind w:firstLine="708"/>
        <w:jc w:val="both"/>
      </w:pPr>
      <w:r w:rsidRPr="00A0418E">
        <w:t xml:space="preserve">Raportat la cele arătate anterior, Curtea apreciază că această critică nici mai poate fi cenzurată cât timp decizia de impunere a rămas definitivă prin respingerea contestaţiei administrativ fiscale ca fiind prescrisă căci doar </w:t>
      </w:r>
      <w:r w:rsidR="000D1855" w:rsidRPr="00A0418E">
        <w:t>în acest cadru procesual s-ar fi putut cerceta valabilitatea acestei susţineri.</w:t>
      </w:r>
    </w:p>
    <w:p w:rsidR="000D1855" w:rsidRPr="00A0418E" w:rsidRDefault="000D1855" w:rsidP="00C53B6A">
      <w:pPr>
        <w:ind w:firstLine="708"/>
        <w:jc w:val="both"/>
      </w:pPr>
      <w:r w:rsidRPr="00A0418E">
        <w:t>Faţă de cele expuse mai sus, Curtea va respinge recu</w:t>
      </w:r>
      <w:r w:rsidR="00A77BE2" w:rsidRPr="00A0418E">
        <w:t>r</w:t>
      </w:r>
      <w:r w:rsidRPr="00A0418E">
        <w:t>sul ca nef</w:t>
      </w:r>
      <w:r w:rsidR="00A77BE2" w:rsidRPr="00A0418E">
        <w:t>o</w:t>
      </w:r>
      <w:r w:rsidRPr="00A0418E">
        <w:t>ndat, prin prisma disp. art.496 raportat la art.488 pct.6 şi 8 NCPC.</w:t>
      </w:r>
    </w:p>
    <w:p w:rsidR="00090D1C" w:rsidRPr="00A0418E" w:rsidRDefault="00090D1C"/>
    <w:p w:rsidR="00090D1C" w:rsidRPr="00A0418E" w:rsidRDefault="00090D1C" w:rsidP="00C53B6A">
      <w:pPr>
        <w:jc w:val="center"/>
      </w:pPr>
      <w:r w:rsidRPr="00A0418E">
        <w:t>PENTRU ACESTE MOTIVE,</w:t>
      </w:r>
      <w:r w:rsidRPr="00A0418E">
        <w:br/>
        <w:t>ÎN NUMELE LEGII</w:t>
      </w:r>
    </w:p>
    <w:p w:rsidR="00090D1C" w:rsidRPr="00A0418E" w:rsidRDefault="00C53B6A" w:rsidP="00C53B6A">
      <w:pPr>
        <w:ind w:left="3540"/>
      </w:pPr>
      <w:r w:rsidRPr="00A0418E">
        <w:t xml:space="preserve">    D E C I D E</w:t>
      </w:r>
    </w:p>
    <w:p w:rsidR="00C53B6A" w:rsidRPr="00A0418E" w:rsidRDefault="00C53B6A"/>
    <w:p w:rsidR="00C53B6A" w:rsidRPr="00A0418E" w:rsidRDefault="00C53B6A" w:rsidP="00C53B6A">
      <w:pPr>
        <w:ind w:firstLine="708"/>
        <w:jc w:val="both"/>
        <w:rPr>
          <w:noProof/>
        </w:rPr>
      </w:pPr>
      <w:r w:rsidRPr="00A0418E">
        <w:t xml:space="preserve">Respinge recursul declarat de reclamanta </w:t>
      </w:r>
      <w:r w:rsidR="003769CC" w:rsidRPr="00A0418E">
        <w:t>...A...</w:t>
      </w:r>
      <w:r w:rsidRPr="00A0418E">
        <w:t xml:space="preserve"> împotriva sentinţei nr.</w:t>
      </w:r>
      <w:r w:rsidR="009D25C4" w:rsidRPr="00A0418E">
        <w:t>....</w:t>
      </w:r>
      <w:r w:rsidRPr="00A0418E">
        <w:t xml:space="preserve"> din </w:t>
      </w:r>
      <w:r w:rsidR="009D25C4" w:rsidRPr="00A0418E">
        <w:t>.....</w:t>
      </w:r>
      <w:r w:rsidRPr="00A0418E">
        <w:t xml:space="preserve">, pronunţată de Tribunalul </w:t>
      </w:r>
      <w:r w:rsidR="003769CC" w:rsidRPr="00A0418E">
        <w:t>...D...</w:t>
      </w:r>
      <w:r w:rsidRPr="00A0418E">
        <w:t xml:space="preserve">, în dosar nr. </w:t>
      </w:r>
      <w:r w:rsidR="009D25C4" w:rsidRPr="00A0418E">
        <w:t>......</w:t>
      </w:r>
      <w:r w:rsidRPr="00A0418E">
        <w:t xml:space="preserve">, în contradictoriu cu intimaţii pârâţi AJFP </w:t>
      </w:r>
      <w:r w:rsidR="003769CC" w:rsidRPr="00A0418E">
        <w:t>...D...</w:t>
      </w:r>
      <w:r w:rsidRPr="00A0418E">
        <w:t xml:space="preserve">- DGRFP </w:t>
      </w:r>
      <w:r w:rsidR="003769CC" w:rsidRPr="00A0418E">
        <w:t>...C...</w:t>
      </w:r>
      <w:r w:rsidRPr="00A0418E">
        <w:t xml:space="preserve"> şi CASA DE  ASIGURĂRI DE SĂNĂTATE  </w:t>
      </w:r>
      <w:r w:rsidR="003769CC" w:rsidRPr="00A0418E">
        <w:t>...D...</w:t>
      </w:r>
      <w:r w:rsidRPr="00A0418E">
        <w:t>.</w:t>
      </w:r>
    </w:p>
    <w:p w:rsidR="00C53B6A" w:rsidRPr="00A0418E" w:rsidRDefault="00C53B6A" w:rsidP="00C53B6A">
      <w:pPr>
        <w:ind w:firstLine="708"/>
      </w:pPr>
      <w:r w:rsidRPr="00A0418E">
        <w:t>Definitivă.</w:t>
      </w:r>
    </w:p>
    <w:p w:rsidR="00090D1C" w:rsidRPr="00A0418E" w:rsidRDefault="00090D1C" w:rsidP="00C53B6A">
      <w:pPr>
        <w:ind w:firstLine="708"/>
      </w:pPr>
      <w:r w:rsidRPr="00A0418E">
        <w:t xml:space="preserve">Pronunţată în şedinţa </w:t>
      </w:r>
      <w:r w:rsidRPr="00A0418E">
        <w:fldChar w:fldCharType="begin">
          <w:ffData>
            <w:name w:val="tip_sedinta_copie_2"/>
            <w:enabled/>
            <w:calcOnExit w:val="0"/>
            <w:textInput/>
          </w:ffData>
        </w:fldChar>
      </w:r>
      <w:bookmarkStart w:id="12" w:name="tip_sedinta_copie_2"/>
      <w:r w:rsidRPr="00A0418E">
        <w:instrText xml:space="preserve"> FORMTEXT </w:instrText>
      </w:r>
      <w:r w:rsidRPr="00A0418E">
        <w:fldChar w:fldCharType="separate"/>
      </w:r>
      <w:r w:rsidR="00F97E44" w:rsidRPr="00A0418E">
        <w:t>publică</w:t>
      </w:r>
      <w:r w:rsidRPr="00A0418E">
        <w:fldChar w:fldCharType="end"/>
      </w:r>
      <w:bookmarkEnd w:id="12"/>
      <w:r w:rsidRPr="00A0418E">
        <w:t xml:space="preserve"> de la </w:t>
      </w:r>
      <w:r w:rsidR="009D25C4" w:rsidRPr="00A0418E">
        <w:t>......</w:t>
      </w:r>
    </w:p>
    <w:p w:rsidR="00090D1C" w:rsidRPr="00A0418E" w:rsidRDefault="00090D1C"/>
    <w:p w:rsidR="00090D1C" w:rsidRPr="00A0418E" w:rsidRDefault="009D25C4">
      <w:pPr>
        <w:jc w:val="center"/>
      </w:pPr>
      <w:r w:rsidRPr="00A0418E">
        <w:t>....A1020....</w:t>
      </w:r>
    </w:p>
    <w:p w:rsidR="00090D1C" w:rsidRPr="00A0418E" w:rsidRDefault="009D25C4" w:rsidP="000D1855">
      <w:r w:rsidRPr="00A0418E">
        <w:t>....</w:t>
      </w:r>
    </w:p>
    <w:p w:rsidR="00090D1C" w:rsidRPr="00A0418E" w:rsidRDefault="009D25C4">
      <w:r w:rsidRPr="00A0418E">
        <w:t>.....</w:t>
      </w:r>
    </w:p>
    <w:sectPr w:rsidR="00090D1C" w:rsidRPr="00A0418E" w:rsidSect="00123430">
      <w:footerReference w:type="even" r:id="rId7"/>
      <w:footerReference w:type="default" r:id="rId8"/>
      <w:pgSz w:w="11906" w:h="16838"/>
      <w:pgMar w:top="850" w:right="850" w:bottom="850" w:left="1987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141" w:rsidRDefault="00573141">
      <w:r>
        <w:separator/>
      </w:r>
    </w:p>
  </w:endnote>
  <w:endnote w:type="continuationSeparator" w:id="0">
    <w:p w:rsidR="00573141" w:rsidRDefault="0057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BE2" w:rsidRDefault="00A77BE2" w:rsidP="001234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7BE2" w:rsidRDefault="00A77B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BE2" w:rsidRDefault="00A77BE2" w:rsidP="001234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460E">
      <w:rPr>
        <w:rStyle w:val="PageNumber"/>
        <w:noProof/>
      </w:rPr>
      <w:t>1</w:t>
    </w:r>
    <w:r>
      <w:rPr>
        <w:rStyle w:val="PageNumber"/>
      </w:rPr>
      <w:fldChar w:fldCharType="end"/>
    </w:r>
  </w:p>
  <w:p w:rsidR="00A77BE2" w:rsidRDefault="00A77B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141" w:rsidRDefault="00573141">
      <w:r>
        <w:separator/>
      </w:r>
    </w:p>
  </w:footnote>
  <w:footnote w:type="continuationSeparator" w:id="0">
    <w:p w:rsidR="00573141" w:rsidRDefault="00573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url" w:val="http://10.19.48.53:80/ecris_cdms/document_upload.aspx?id_document=5400000000973524&amp;id_departament=5&amp;id_sesiune=1907602&amp;id_user=360&amp;id_institutie=54&amp;actiune=modifica"/>
  </w:docVars>
  <w:rsids>
    <w:rsidRoot w:val="00090D1C"/>
    <w:rsid w:val="0001300B"/>
    <w:rsid w:val="000654FD"/>
    <w:rsid w:val="00074F1D"/>
    <w:rsid w:val="00084103"/>
    <w:rsid w:val="00090D1C"/>
    <w:rsid w:val="000D1855"/>
    <w:rsid w:val="00100C77"/>
    <w:rsid w:val="00123430"/>
    <w:rsid w:val="0012447F"/>
    <w:rsid w:val="001574BC"/>
    <w:rsid w:val="00190DF5"/>
    <w:rsid w:val="00230098"/>
    <w:rsid w:val="00236F8B"/>
    <w:rsid w:val="00310770"/>
    <w:rsid w:val="003676FC"/>
    <w:rsid w:val="003769CC"/>
    <w:rsid w:val="00381369"/>
    <w:rsid w:val="00401331"/>
    <w:rsid w:val="004061B3"/>
    <w:rsid w:val="00434264"/>
    <w:rsid w:val="004362D5"/>
    <w:rsid w:val="00444EB7"/>
    <w:rsid w:val="00483536"/>
    <w:rsid w:val="004C30B7"/>
    <w:rsid w:val="00573141"/>
    <w:rsid w:val="005B61EE"/>
    <w:rsid w:val="005E0080"/>
    <w:rsid w:val="00607B9D"/>
    <w:rsid w:val="006166DE"/>
    <w:rsid w:val="00637348"/>
    <w:rsid w:val="00745E4E"/>
    <w:rsid w:val="007669DA"/>
    <w:rsid w:val="0078460E"/>
    <w:rsid w:val="007F63CE"/>
    <w:rsid w:val="0086664B"/>
    <w:rsid w:val="008841FD"/>
    <w:rsid w:val="008D6F98"/>
    <w:rsid w:val="00902C7A"/>
    <w:rsid w:val="00926DE9"/>
    <w:rsid w:val="00982CB8"/>
    <w:rsid w:val="009847E9"/>
    <w:rsid w:val="009876B0"/>
    <w:rsid w:val="009B7961"/>
    <w:rsid w:val="009D25C4"/>
    <w:rsid w:val="00A0306C"/>
    <w:rsid w:val="00A0418E"/>
    <w:rsid w:val="00A56F73"/>
    <w:rsid w:val="00A74B82"/>
    <w:rsid w:val="00A77BE2"/>
    <w:rsid w:val="00BC4A1A"/>
    <w:rsid w:val="00BC5260"/>
    <w:rsid w:val="00BE2284"/>
    <w:rsid w:val="00BF0E6F"/>
    <w:rsid w:val="00C53B6A"/>
    <w:rsid w:val="00C62C90"/>
    <w:rsid w:val="00D47E56"/>
    <w:rsid w:val="00D61AC5"/>
    <w:rsid w:val="00D73DDF"/>
    <w:rsid w:val="00DF4C8E"/>
    <w:rsid w:val="00E41097"/>
    <w:rsid w:val="00F035C2"/>
    <w:rsid w:val="00F24118"/>
    <w:rsid w:val="00F40569"/>
    <w:rsid w:val="00F9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13EE7"/>
  <w15:chartTrackingRefBased/>
  <w15:docId w15:val="{59385DD3-0D9C-41EA-B321-74A1B888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CharCharCaracterCaracterCharCharCaracterCaracterCharCharCaracterCaracterCharChar">
    <w:name w:val="Char Char Caracter Caracter Char Char Caracter Caracter Char Char Caracter Caracter Char Char"/>
    <w:basedOn w:val="Normal"/>
    <w:rsid w:val="00C53B6A"/>
    <w:rPr>
      <w:sz w:val="20"/>
      <w:szCs w:val="20"/>
      <w:lang w:val="pl-PL" w:eastAsia="pl-PL"/>
    </w:rPr>
  </w:style>
  <w:style w:type="paragraph" w:styleId="Footer">
    <w:name w:val="footer"/>
    <w:basedOn w:val="Normal"/>
    <w:rsid w:val="0012343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30"/>
  </w:style>
  <w:style w:type="paragraph" w:styleId="BalloonText">
    <w:name w:val="Balloon Text"/>
    <w:basedOn w:val="Normal"/>
    <w:link w:val="BalloonTextChar"/>
    <w:rsid w:val="00C62C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62C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1336</Words>
  <Characters>7679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subject/>
  <dc:creator>valy</dc:creator>
  <cp:keywords/>
  <dc:description/>
  <cp:lastModifiedBy>Alexandru-Andrei Bosinta</cp:lastModifiedBy>
  <cp:revision>5</cp:revision>
  <cp:lastPrinted>2016-03-06T10:54:00Z</cp:lastPrinted>
  <dcterms:created xsi:type="dcterms:W3CDTF">2020-11-03T13:01:00Z</dcterms:created>
  <dcterms:modified xsi:type="dcterms:W3CDTF">2020-11-23T06:55:00Z</dcterms:modified>
</cp:coreProperties>
</file>