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73E3" w:rsidRPr="005A2FA0" w:rsidRDefault="009373E3" w:rsidP="009373E3">
      <w:pPr>
        <w:widowControl w:val="0"/>
        <w:rPr>
          <w:b/>
        </w:rPr>
      </w:pPr>
      <w:bookmarkStart w:id="0" w:name="_Hlk56605859"/>
      <w:r w:rsidRPr="005A2FA0">
        <w:rPr>
          <w:b/>
        </w:rPr>
        <w:t xml:space="preserve">CANDIDAT COD A1014                  </w:t>
      </w:r>
      <w:r w:rsidR="005A2FA0">
        <w:rPr>
          <w:b/>
        </w:rPr>
        <w:t xml:space="preserve">           </w:t>
      </w:r>
      <w:r w:rsidRPr="005A2FA0">
        <w:rPr>
          <w:b/>
        </w:rPr>
        <w:t xml:space="preserve">                   HOTĂRÂREA nr.  </w:t>
      </w:r>
      <w:r w:rsidRPr="005A2FA0">
        <w:rPr>
          <w:b/>
        </w:rPr>
        <w:t>18</w:t>
      </w:r>
    </w:p>
    <w:p w:rsidR="009373E3" w:rsidRPr="005A2FA0" w:rsidRDefault="009373E3" w:rsidP="009373E3">
      <w:pPr>
        <w:widowControl w:val="0"/>
        <w:rPr>
          <w:bCs/>
        </w:rPr>
      </w:pPr>
    </w:p>
    <w:p w:rsidR="009373E3" w:rsidRPr="005A2FA0" w:rsidRDefault="009373E3" w:rsidP="009373E3">
      <w:pPr>
        <w:rPr>
          <w:bCs/>
        </w:rPr>
      </w:pPr>
      <w:r w:rsidRPr="005A2FA0">
        <w:rPr>
          <w:bCs/>
        </w:rPr>
        <w:t>R O M Â N I A</w:t>
      </w:r>
    </w:p>
    <w:p w:rsidR="009373E3" w:rsidRPr="005A2FA0" w:rsidRDefault="009373E3" w:rsidP="009373E3">
      <w:pPr>
        <w:rPr>
          <w:bCs/>
        </w:rPr>
      </w:pPr>
      <w:r w:rsidRPr="005A2FA0">
        <w:rPr>
          <w:bCs/>
        </w:rPr>
        <w:t>CURTEA DE APEL ....</w:t>
      </w:r>
    </w:p>
    <w:p w:rsidR="009373E3" w:rsidRPr="005A2FA0" w:rsidRDefault="009373E3" w:rsidP="009373E3">
      <w:pPr>
        <w:rPr>
          <w:bCs/>
          <w:lang w:val="en-US"/>
        </w:rPr>
      </w:pPr>
      <w:r w:rsidRPr="005A2FA0">
        <w:rPr>
          <w:bCs/>
        </w:rPr>
        <w:t>SECŢIA ....</w:t>
      </w:r>
    </w:p>
    <w:p w:rsidR="009373E3" w:rsidRPr="005A2FA0" w:rsidRDefault="009373E3" w:rsidP="009373E3">
      <w:pPr>
        <w:rPr>
          <w:bCs/>
        </w:rPr>
      </w:pPr>
      <w:r w:rsidRPr="005A2FA0">
        <w:rPr>
          <w:bCs/>
        </w:rPr>
        <w:t>Dosar nr. …</w:t>
      </w:r>
    </w:p>
    <w:bookmarkEnd w:id="0"/>
    <w:p w:rsidR="009373E3" w:rsidRPr="005A2FA0" w:rsidRDefault="009373E3" w:rsidP="009373E3">
      <w:pPr>
        <w:rPr>
          <w:bCs/>
        </w:rPr>
      </w:pPr>
    </w:p>
    <w:p w:rsidR="00456103" w:rsidRPr="005A2FA0" w:rsidRDefault="00456103" w:rsidP="00456103">
      <w:pPr>
        <w:rPr>
          <w:bCs/>
        </w:rPr>
      </w:pPr>
    </w:p>
    <w:p w:rsidR="00456103" w:rsidRPr="005A2FA0" w:rsidRDefault="00456103" w:rsidP="00456103">
      <w:pPr>
        <w:jc w:val="center"/>
        <w:rPr>
          <w:b/>
          <w:u w:val="single"/>
        </w:rPr>
      </w:pPr>
      <w:r w:rsidRPr="005A2FA0">
        <w:rPr>
          <w:b/>
          <w:u w:val="single"/>
        </w:rPr>
        <w:t xml:space="preserve">DECIZIA Nr. </w:t>
      </w:r>
      <w:r w:rsidR="009373E3" w:rsidRPr="005A2FA0">
        <w:rPr>
          <w:b/>
          <w:u w:val="single"/>
        </w:rPr>
        <w:t>.....</w:t>
      </w:r>
    </w:p>
    <w:p w:rsidR="009373E3" w:rsidRPr="005A2FA0" w:rsidRDefault="009373E3" w:rsidP="00456103">
      <w:pPr>
        <w:jc w:val="center"/>
        <w:rPr>
          <w:b/>
        </w:rPr>
      </w:pPr>
    </w:p>
    <w:p w:rsidR="00456103" w:rsidRPr="005A2FA0" w:rsidRDefault="00456103" w:rsidP="009373E3">
      <w:pPr>
        <w:jc w:val="center"/>
        <w:rPr>
          <w:b/>
        </w:rPr>
      </w:pPr>
      <w:proofErr w:type="spellStart"/>
      <w:r w:rsidRPr="005A2FA0">
        <w:rPr>
          <w:b/>
        </w:rPr>
        <w:t>Şedinţa</w:t>
      </w:r>
      <w:proofErr w:type="spellEnd"/>
      <w:r w:rsidRPr="005A2FA0">
        <w:rPr>
          <w:b/>
        </w:rPr>
        <w:t> </w:t>
      </w:r>
      <w:r w:rsidRPr="005A2FA0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5A2FA0">
        <w:rPr>
          <w:b/>
        </w:rPr>
        <w:instrText xml:space="preserve"> FORMTEXT </w:instrText>
      </w:r>
      <w:r w:rsidRPr="005A2FA0">
        <w:rPr>
          <w:b/>
        </w:rPr>
      </w:r>
      <w:r w:rsidRPr="005A2FA0">
        <w:rPr>
          <w:b/>
        </w:rPr>
        <w:fldChar w:fldCharType="separate"/>
      </w:r>
      <w:r w:rsidRPr="005A2FA0">
        <w:rPr>
          <w:b/>
        </w:rPr>
        <w:t>publică</w:t>
      </w:r>
      <w:r w:rsidRPr="005A2FA0">
        <w:rPr>
          <w:b/>
        </w:rPr>
        <w:fldChar w:fldCharType="end"/>
      </w:r>
      <w:bookmarkEnd w:id="1"/>
      <w:r w:rsidRPr="005A2FA0">
        <w:rPr>
          <w:b/>
        </w:rPr>
        <w:t xml:space="preserve"> de la </w:t>
      </w:r>
      <w:r w:rsidR="00E42376" w:rsidRPr="005A2FA0">
        <w:rPr>
          <w:b/>
        </w:rPr>
        <w:t>...</w:t>
      </w:r>
      <w:r w:rsidRPr="005A2FA0">
        <w:rPr>
          <w:b/>
        </w:rPr>
        <w:t xml:space="preserve"> 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 xml:space="preserve">PREŞEDINTE: </w:t>
      </w:r>
      <w:r w:rsidR="009373E3" w:rsidRPr="005A2FA0">
        <w:rPr>
          <w:bCs/>
        </w:rPr>
        <w:t xml:space="preserve">CANDIDAT </w:t>
      </w:r>
      <w:r w:rsidR="00E42376" w:rsidRPr="005A2FA0">
        <w:rPr>
          <w:bCs/>
        </w:rPr>
        <w:t>COD A1014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 xml:space="preserve">Judecător: </w:t>
      </w:r>
      <w:r w:rsidR="009373E3" w:rsidRPr="005A2FA0">
        <w:rPr>
          <w:bCs/>
        </w:rPr>
        <w:t>.................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 xml:space="preserve">Judecător: </w:t>
      </w:r>
      <w:r w:rsidR="009373E3" w:rsidRPr="005A2FA0">
        <w:rPr>
          <w:bCs/>
        </w:rPr>
        <w:t>............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 xml:space="preserve">Grefier: </w:t>
      </w:r>
      <w:r w:rsidR="00E42376" w:rsidRPr="005A2FA0">
        <w:rPr>
          <w:bCs/>
        </w:rPr>
        <w:t>....</w:t>
      </w: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Pe rol se află </w:t>
      </w:r>
      <w:proofErr w:type="spellStart"/>
      <w:r w:rsidRPr="005A2FA0">
        <w:rPr>
          <w:bCs/>
        </w:rPr>
        <w:t>pronunţarea</w:t>
      </w:r>
      <w:proofErr w:type="spellEnd"/>
      <w:r w:rsidRPr="005A2FA0">
        <w:rPr>
          <w:bCs/>
        </w:rPr>
        <w:t xml:space="preserve"> asupra  recursului declarat de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</w:t>
      </w:r>
      <w:r w:rsidR="000959C2" w:rsidRPr="005A2FA0">
        <w:rPr>
          <w:bCs/>
        </w:rPr>
        <w:t>P2</w:t>
      </w:r>
      <w:r w:rsidRPr="005A2FA0">
        <w:rPr>
          <w:bCs/>
        </w:rPr>
        <w:t xml:space="preserve">SRL împotriva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nr.</w:t>
      </w:r>
      <w:r w:rsidR="000959C2" w:rsidRPr="005A2FA0">
        <w:rPr>
          <w:bCs/>
        </w:rPr>
        <w:t xml:space="preserve">..../2016 </w:t>
      </w:r>
      <w:proofErr w:type="spellStart"/>
      <w:r w:rsidRPr="005A2FA0">
        <w:rPr>
          <w:bCs/>
        </w:rPr>
        <w:t>pronunţată</w:t>
      </w:r>
      <w:proofErr w:type="spellEnd"/>
      <w:r w:rsidRPr="005A2FA0">
        <w:rPr>
          <w:bCs/>
        </w:rPr>
        <w:t xml:space="preserve"> de </w:t>
      </w:r>
      <w:r w:rsidR="000959C2" w:rsidRPr="005A2FA0">
        <w:rPr>
          <w:bCs/>
        </w:rPr>
        <w:t>Tribunalul ....</w:t>
      </w:r>
      <w:r w:rsidRPr="005A2FA0">
        <w:rPr>
          <w:bCs/>
        </w:rPr>
        <w:t xml:space="preserve"> în dosar nr.</w:t>
      </w:r>
      <w:r w:rsidR="000959C2" w:rsidRPr="005A2FA0">
        <w:rPr>
          <w:bCs/>
        </w:rPr>
        <w:t>..../2010/a...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Mersul dezbaterilor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susţinerile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părţilor</w:t>
      </w:r>
      <w:proofErr w:type="spellEnd"/>
      <w:r w:rsidRPr="005A2FA0">
        <w:rPr>
          <w:bCs/>
        </w:rPr>
        <w:t xml:space="preserve"> au fost consemnate în încheierea de </w:t>
      </w:r>
      <w:proofErr w:type="spellStart"/>
      <w:r w:rsidRPr="005A2FA0">
        <w:rPr>
          <w:bCs/>
        </w:rPr>
        <w:t>şedinţă</w:t>
      </w:r>
      <w:proofErr w:type="spellEnd"/>
      <w:r w:rsidRPr="005A2FA0">
        <w:rPr>
          <w:bCs/>
        </w:rPr>
        <w:t xml:space="preserve"> din</w:t>
      </w:r>
      <w:r w:rsidR="000959C2" w:rsidRPr="005A2FA0">
        <w:rPr>
          <w:bCs/>
        </w:rPr>
        <w:t xml:space="preserve"> ....</w:t>
      </w:r>
      <w:r w:rsidRPr="005A2FA0">
        <w:rPr>
          <w:bCs/>
        </w:rPr>
        <w:t xml:space="preserve">, care face parte integrantă din prezenta, când </w:t>
      </w:r>
      <w:proofErr w:type="spellStart"/>
      <w:r w:rsidRPr="005A2FA0">
        <w:rPr>
          <w:bCs/>
        </w:rPr>
        <w:t>instanţa</w:t>
      </w:r>
      <w:proofErr w:type="spellEnd"/>
      <w:r w:rsidRPr="005A2FA0">
        <w:rPr>
          <w:bCs/>
        </w:rPr>
        <w:t xml:space="preserve">  pentru a da posibilitate recurentei să formuleze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să depună la dosar concluzii scrise a amânat </w:t>
      </w:r>
      <w:proofErr w:type="spellStart"/>
      <w:r w:rsidRPr="005A2FA0">
        <w:rPr>
          <w:bCs/>
        </w:rPr>
        <w:t>pronunţarea</w:t>
      </w:r>
      <w:proofErr w:type="spellEnd"/>
      <w:r w:rsidRPr="005A2FA0">
        <w:rPr>
          <w:bCs/>
        </w:rPr>
        <w:t xml:space="preserve"> pentru astăzi </w:t>
      </w:r>
      <w:r w:rsidR="000959C2" w:rsidRPr="005A2FA0">
        <w:rPr>
          <w:bCs/>
        </w:rPr>
        <w:t>....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>Se constată că recurenta a depus la dosar concluzii scrise.</w:t>
      </w: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  <w:t xml:space="preserve">CURTEA DE APEL </w:t>
      </w: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Asupra recursului de </w:t>
      </w:r>
      <w:proofErr w:type="spellStart"/>
      <w:r w:rsidRPr="005A2FA0">
        <w:rPr>
          <w:bCs/>
        </w:rPr>
        <w:t>faţă</w:t>
      </w:r>
      <w:proofErr w:type="spellEnd"/>
      <w:r w:rsidRPr="005A2FA0">
        <w:rPr>
          <w:bCs/>
        </w:rPr>
        <w:t>, constată următoarele: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Prin </w:t>
      </w:r>
      <w:proofErr w:type="spellStart"/>
      <w:r w:rsidRPr="005A2FA0">
        <w:rPr>
          <w:bCs/>
        </w:rPr>
        <w:t>sentinţa</w:t>
      </w:r>
      <w:proofErr w:type="spellEnd"/>
      <w:r w:rsidRPr="005A2FA0">
        <w:rPr>
          <w:bCs/>
        </w:rPr>
        <w:t xml:space="preserve"> nr.</w:t>
      </w:r>
      <w:r w:rsidR="000959C2" w:rsidRPr="005A2FA0">
        <w:rPr>
          <w:bCs/>
        </w:rPr>
        <w:t xml:space="preserve">..../2016 </w:t>
      </w:r>
      <w:proofErr w:type="spellStart"/>
      <w:r w:rsidRPr="005A2FA0">
        <w:rPr>
          <w:bCs/>
        </w:rPr>
        <w:t>pronunţată</w:t>
      </w:r>
      <w:proofErr w:type="spellEnd"/>
      <w:r w:rsidRPr="005A2FA0">
        <w:rPr>
          <w:bCs/>
        </w:rPr>
        <w:t xml:space="preserve"> de judecătorul sindic în dosarul nr. </w:t>
      </w:r>
      <w:r w:rsidR="000959C2" w:rsidRPr="005A2FA0">
        <w:rPr>
          <w:bCs/>
        </w:rPr>
        <w:t>..../2010/a...</w:t>
      </w:r>
      <w:r w:rsidRPr="005A2FA0">
        <w:rPr>
          <w:bCs/>
        </w:rPr>
        <w:t xml:space="preserve"> al </w:t>
      </w:r>
      <w:r w:rsidR="000959C2" w:rsidRPr="005A2FA0">
        <w:rPr>
          <w:bCs/>
        </w:rPr>
        <w:t>Tribunalului ....</w:t>
      </w:r>
      <w:r w:rsidRPr="005A2FA0">
        <w:rPr>
          <w:bCs/>
        </w:rPr>
        <w:t xml:space="preserve"> a fost respinsă </w:t>
      </w:r>
      <w:proofErr w:type="spellStart"/>
      <w:r w:rsidRPr="005A2FA0">
        <w:rPr>
          <w:bCs/>
        </w:rPr>
        <w:t>contestaţia</w:t>
      </w:r>
      <w:proofErr w:type="spellEnd"/>
      <w:r w:rsidRPr="005A2FA0">
        <w:rPr>
          <w:bCs/>
        </w:rPr>
        <w:t xml:space="preserve"> la tabelul suplimentar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formulată de creditorul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 </w:t>
      </w:r>
      <w:r w:rsidR="000959C2" w:rsidRPr="005A2FA0">
        <w:rPr>
          <w:bCs/>
        </w:rPr>
        <w:t>P2</w:t>
      </w:r>
      <w:r w:rsidRPr="005A2FA0">
        <w:rPr>
          <w:bCs/>
        </w:rPr>
        <w:t xml:space="preserve">SRL, în contradictoriu cu lichidatorul judiciar </w:t>
      </w:r>
      <w:r w:rsidR="000959C2" w:rsidRPr="005A2FA0">
        <w:rPr>
          <w:bCs/>
        </w:rPr>
        <w:t>P3</w:t>
      </w:r>
      <w:r w:rsidRPr="005A2FA0">
        <w:rPr>
          <w:bCs/>
        </w:rPr>
        <w:t xml:space="preserve"> SPRL.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Pentru a </w:t>
      </w:r>
      <w:proofErr w:type="spellStart"/>
      <w:r w:rsidRPr="005A2FA0">
        <w:rPr>
          <w:bCs/>
        </w:rPr>
        <w:t>pronunţa</w:t>
      </w:r>
      <w:proofErr w:type="spellEnd"/>
      <w:r w:rsidRPr="005A2FA0">
        <w:rPr>
          <w:bCs/>
        </w:rPr>
        <w:t xml:space="preserve"> această </w:t>
      </w:r>
      <w:proofErr w:type="spellStart"/>
      <w:r w:rsidRPr="005A2FA0">
        <w:rPr>
          <w:bCs/>
        </w:rPr>
        <w:t>sentinţă</w:t>
      </w:r>
      <w:proofErr w:type="spellEnd"/>
      <w:r w:rsidRPr="005A2FA0">
        <w:rPr>
          <w:bCs/>
        </w:rPr>
        <w:t xml:space="preserve"> judecătorul sindic a </w:t>
      </w:r>
      <w:proofErr w:type="spellStart"/>
      <w:r w:rsidRPr="005A2FA0">
        <w:rPr>
          <w:bCs/>
        </w:rPr>
        <w:t>reţinut</w:t>
      </w:r>
      <w:proofErr w:type="spellEnd"/>
      <w:r w:rsidRPr="005A2FA0">
        <w:rPr>
          <w:bCs/>
        </w:rPr>
        <w:t xml:space="preserve"> că, prin cererea înregistrată la 19.05.2015,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SRL, prin mandatar </w:t>
      </w:r>
      <w:r w:rsidR="000959C2" w:rsidRPr="005A2FA0">
        <w:rPr>
          <w:bCs/>
        </w:rPr>
        <w:t>P2</w:t>
      </w:r>
      <w:r w:rsidRPr="005A2FA0">
        <w:rPr>
          <w:bCs/>
        </w:rPr>
        <w:t xml:space="preserve">SRL, a solicitat admiterea majorării cuantumului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înscrisă în tabelul suplimentar la suma de 1.673.439 lei, compusă din 751.777 lei credit restant, 889.692 lei dobânzi restante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31.970 lei comisioane.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Creditoarea a arătat că </w:t>
      </w:r>
      <w:proofErr w:type="spellStart"/>
      <w:r w:rsidRPr="005A2FA0">
        <w:rPr>
          <w:bCs/>
        </w:rPr>
        <w:t>diferenţa</w:t>
      </w:r>
      <w:proofErr w:type="spellEnd"/>
      <w:r w:rsidRPr="005A2FA0">
        <w:rPr>
          <w:bCs/>
        </w:rPr>
        <w:t xml:space="preserve"> de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în sumă de 526.477,65 lei, </w:t>
      </w:r>
      <w:proofErr w:type="spellStart"/>
      <w:r w:rsidRPr="005A2FA0">
        <w:rPr>
          <w:bCs/>
        </w:rPr>
        <w:t>faţă</w:t>
      </w:r>
      <w:proofErr w:type="spellEnd"/>
      <w:r w:rsidRPr="005A2FA0">
        <w:rPr>
          <w:bCs/>
        </w:rPr>
        <w:t xml:space="preserve"> de 1.146.961,35 lei cu cât a fost înscrisă în tabelul preliminar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, reprezintă dobânzi contractuale, calculate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neîncasate. Această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are caracter cert, lichid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exigibil, fiind determinabilă potrivit contractului de credit încheiat între </w:t>
      </w:r>
      <w:proofErr w:type="spellStart"/>
      <w:r w:rsidRPr="005A2FA0">
        <w:rPr>
          <w:bCs/>
        </w:rPr>
        <w:t>părţi</w:t>
      </w:r>
      <w:proofErr w:type="spellEnd"/>
      <w:r w:rsidRPr="005A2FA0">
        <w:rPr>
          <w:bCs/>
        </w:rPr>
        <w:t xml:space="preserve">, recunoscut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însuşit</w:t>
      </w:r>
      <w:proofErr w:type="spellEnd"/>
      <w:r w:rsidRPr="005A2FA0">
        <w:rPr>
          <w:bCs/>
        </w:rPr>
        <w:t xml:space="preserve"> de către creditoare.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A mai arătat că a dobândit calitatea de creditor al debitoarei SC </w:t>
      </w:r>
      <w:r w:rsidR="000959C2" w:rsidRPr="005A2FA0">
        <w:rPr>
          <w:bCs/>
        </w:rPr>
        <w:t>P4</w:t>
      </w:r>
      <w:r w:rsidRPr="005A2FA0">
        <w:rPr>
          <w:bCs/>
        </w:rPr>
        <w:t xml:space="preserve">SRL, ca urmare a încheierii contractului de cesiune de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din 21.08.2014, autentificat sub nr.3329 de BNP </w:t>
      </w:r>
      <w:r w:rsidR="000959C2" w:rsidRPr="005A2FA0">
        <w:rPr>
          <w:bCs/>
        </w:rPr>
        <w:t>NOTAR 1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>În drept au fost invocate prevederile Legii nr.85/2006.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La termenul de judecată din 02.11.2015, judecătorul sindic a supus </w:t>
      </w:r>
      <w:proofErr w:type="spellStart"/>
      <w:r w:rsidRPr="005A2FA0">
        <w:rPr>
          <w:bCs/>
        </w:rPr>
        <w:t>discuţiei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părţilor</w:t>
      </w:r>
      <w:proofErr w:type="spellEnd"/>
      <w:r w:rsidRPr="005A2FA0">
        <w:rPr>
          <w:bCs/>
        </w:rPr>
        <w:t xml:space="preserve"> temeiul juridic al cererii formulate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a stabilit că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art.108 alin.2 </w:t>
      </w:r>
      <w:proofErr w:type="spellStart"/>
      <w:r w:rsidRPr="005A2FA0">
        <w:rPr>
          <w:bCs/>
        </w:rPr>
        <w:t>pct.c</w:t>
      </w:r>
      <w:proofErr w:type="spellEnd"/>
      <w:r w:rsidRPr="005A2FA0">
        <w:rPr>
          <w:bCs/>
        </w:rPr>
        <w:t xml:space="preserve"> alin.4 din Legea nr.85/2006 coroborate cu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art.73 alin.2 sunt cele care sunt aplicabile </w:t>
      </w:r>
      <w:proofErr w:type="spellStart"/>
      <w:r w:rsidRPr="005A2FA0">
        <w:rPr>
          <w:bCs/>
        </w:rPr>
        <w:t>speţei</w:t>
      </w:r>
      <w:proofErr w:type="spellEnd"/>
      <w:r w:rsidRPr="005A2FA0">
        <w:rPr>
          <w:bCs/>
        </w:rPr>
        <w:t xml:space="preserve">, cererea creditorului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fiind o veritabilă </w:t>
      </w:r>
      <w:proofErr w:type="spellStart"/>
      <w:r w:rsidRPr="005A2FA0">
        <w:rPr>
          <w:bCs/>
        </w:rPr>
        <w:t>contestaţie</w:t>
      </w:r>
      <w:proofErr w:type="spellEnd"/>
      <w:r w:rsidRPr="005A2FA0">
        <w:rPr>
          <w:bCs/>
        </w:rPr>
        <w:t xml:space="preserve"> a unei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 xml:space="preserve"> înscrise în tabelul suplimentar de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Analizând cererea creditorului în raport cu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legale </w:t>
      </w:r>
      <w:proofErr w:type="spellStart"/>
      <w:r w:rsidRPr="005A2FA0">
        <w:rPr>
          <w:bCs/>
        </w:rPr>
        <w:t>reţinute</w:t>
      </w:r>
      <w:proofErr w:type="spellEnd"/>
      <w:r w:rsidRPr="005A2FA0">
        <w:rPr>
          <w:bCs/>
        </w:rPr>
        <w:t xml:space="preserve">, judecătorul sindic a constatat </w:t>
      </w:r>
      <w:proofErr w:type="spellStart"/>
      <w:r w:rsidRPr="005A2FA0">
        <w:rPr>
          <w:bCs/>
        </w:rPr>
        <w:t>contestaţia</w:t>
      </w:r>
      <w:proofErr w:type="spellEnd"/>
      <w:r w:rsidRPr="005A2FA0">
        <w:rPr>
          <w:bCs/>
        </w:rPr>
        <w:t xml:space="preserve"> creditorului ca fiind tardivă.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lastRenderedPageBreak/>
        <w:tab/>
        <w:t xml:space="preserve">În acest sens, a </w:t>
      </w:r>
      <w:proofErr w:type="spellStart"/>
      <w:r w:rsidRPr="005A2FA0">
        <w:rPr>
          <w:bCs/>
        </w:rPr>
        <w:t>reţinut</w:t>
      </w:r>
      <w:proofErr w:type="spellEnd"/>
      <w:r w:rsidRPr="005A2FA0">
        <w:rPr>
          <w:bCs/>
        </w:rPr>
        <w:t xml:space="preserve"> că depunerea </w:t>
      </w:r>
      <w:proofErr w:type="spellStart"/>
      <w:r w:rsidRPr="005A2FA0">
        <w:rPr>
          <w:bCs/>
        </w:rPr>
        <w:t>contestaţiei</w:t>
      </w:r>
      <w:proofErr w:type="spellEnd"/>
      <w:r w:rsidRPr="005A2FA0">
        <w:rPr>
          <w:bCs/>
        </w:rPr>
        <w:t xml:space="preserve"> s-a realizat la data  de 19.05.2015, respectiv după </w:t>
      </w:r>
      <w:proofErr w:type="spellStart"/>
      <w:r w:rsidRPr="005A2FA0">
        <w:rPr>
          <w:bCs/>
        </w:rPr>
        <w:t>afişarea</w:t>
      </w:r>
      <w:proofErr w:type="spellEnd"/>
      <w:r w:rsidRPr="005A2FA0">
        <w:rPr>
          <w:bCs/>
        </w:rPr>
        <w:t xml:space="preserve"> tabelului suplimentar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publicarea acestuia în BPI nr.</w:t>
      </w:r>
      <w:r w:rsidR="000959C2" w:rsidRPr="005A2FA0">
        <w:rPr>
          <w:bCs/>
        </w:rPr>
        <w:t>2...1/2015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A mai </w:t>
      </w:r>
      <w:proofErr w:type="spellStart"/>
      <w:r w:rsidRPr="005A2FA0">
        <w:rPr>
          <w:bCs/>
        </w:rPr>
        <w:t>reţinut</w:t>
      </w:r>
      <w:proofErr w:type="spellEnd"/>
      <w:r w:rsidRPr="005A2FA0">
        <w:rPr>
          <w:bCs/>
        </w:rPr>
        <w:t xml:space="preserve"> că tabelul suplimentar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cuprinde </w:t>
      </w:r>
      <w:proofErr w:type="spellStart"/>
      <w:r w:rsidRPr="005A2FA0">
        <w:rPr>
          <w:bCs/>
        </w:rPr>
        <w:t>creanţele</w:t>
      </w:r>
      <w:proofErr w:type="spellEnd"/>
      <w:r w:rsidRPr="005A2FA0">
        <w:rPr>
          <w:bCs/>
        </w:rPr>
        <w:t xml:space="preserve"> născute după deschiderea procedurii; în perioada de </w:t>
      </w:r>
      <w:proofErr w:type="spellStart"/>
      <w:r w:rsidRPr="005A2FA0">
        <w:rPr>
          <w:bCs/>
        </w:rPr>
        <w:t>observaţie</w:t>
      </w:r>
      <w:proofErr w:type="spellEnd"/>
      <w:r w:rsidRPr="005A2FA0">
        <w:rPr>
          <w:bCs/>
        </w:rPr>
        <w:t>.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Depunerea, verificarea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contestarea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născute în cursul procedurii este reglementată, în mod corespunzător, de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art. 61–</w:t>
      </w:r>
      <w:r w:rsidR="000959C2" w:rsidRPr="005A2FA0">
        <w:rPr>
          <w:bCs/>
        </w:rPr>
        <w:t>7</w:t>
      </w:r>
      <w:r w:rsidRPr="005A2FA0">
        <w:rPr>
          <w:bCs/>
        </w:rPr>
        <w:t xml:space="preserve">6, cu următoarea precizare: lichidatorul va trebui, cu ocazia verificării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născute în cursul procedurii, să facă aplicarea corespunzătoare a </w:t>
      </w:r>
      <w:proofErr w:type="spellStart"/>
      <w:r w:rsidRPr="005A2FA0">
        <w:rPr>
          <w:bCs/>
        </w:rPr>
        <w:t>dispoziţiilor</w:t>
      </w:r>
      <w:proofErr w:type="spellEnd"/>
      <w:r w:rsidRPr="005A2FA0">
        <w:rPr>
          <w:bCs/>
        </w:rPr>
        <w:t xml:space="preserve"> art. 41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să stopeze cursul dobânzilor, majorărilor, </w:t>
      </w:r>
      <w:proofErr w:type="spellStart"/>
      <w:r w:rsidRPr="005A2FA0">
        <w:rPr>
          <w:bCs/>
        </w:rPr>
        <w:t>penalităţilor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a oricăror alte daune pentru aceste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 xml:space="preserve"> la data intrării în faliment.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La tabel pot face </w:t>
      </w:r>
      <w:proofErr w:type="spellStart"/>
      <w:r w:rsidRPr="005A2FA0">
        <w:rPr>
          <w:bCs/>
        </w:rPr>
        <w:t>contestaţie</w:t>
      </w:r>
      <w:proofErr w:type="spellEnd"/>
      <w:r w:rsidRPr="005A2FA0">
        <w:rPr>
          <w:bCs/>
        </w:rPr>
        <w:t xml:space="preserve"> debitorul, oricare dintre creditorii </w:t>
      </w:r>
      <w:proofErr w:type="spellStart"/>
      <w:r w:rsidRPr="005A2FA0">
        <w:rPr>
          <w:bCs/>
        </w:rPr>
        <w:t>înscrişi</w:t>
      </w:r>
      <w:proofErr w:type="spellEnd"/>
      <w:r w:rsidRPr="005A2FA0">
        <w:rPr>
          <w:bCs/>
        </w:rPr>
        <w:t xml:space="preserve"> în tabelul definitiv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potrivit art. 108 alin. 4. Totodată, lichidatorul va putea contesta, cu ocazia verificării, orice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depusă.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Conform prevederilor art. 108 alin. 4 teza II din Legea privind procedura </w:t>
      </w:r>
      <w:proofErr w:type="spellStart"/>
      <w:r w:rsidRPr="005A2FA0">
        <w:rPr>
          <w:bCs/>
        </w:rPr>
        <w:t>insolvenţei</w:t>
      </w:r>
      <w:proofErr w:type="spellEnd"/>
      <w:r w:rsidRPr="005A2FA0">
        <w:rPr>
          <w:bCs/>
        </w:rPr>
        <w:t xml:space="preserve">, titularii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admise în tabelul definitiv de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 xml:space="preserve"> vor putea să formuleze </w:t>
      </w:r>
      <w:proofErr w:type="spellStart"/>
      <w:r w:rsidRPr="005A2FA0">
        <w:rPr>
          <w:bCs/>
        </w:rPr>
        <w:t>contestaţii</w:t>
      </w:r>
      <w:proofErr w:type="spellEnd"/>
      <w:r w:rsidRPr="005A2FA0">
        <w:rPr>
          <w:bCs/>
        </w:rPr>
        <w:t xml:space="preserve"> cu privire la </w:t>
      </w:r>
      <w:proofErr w:type="spellStart"/>
      <w:r w:rsidRPr="005A2FA0">
        <w:rPr>
          <w:bCs/>
        </w:rPr>
        <w:t>creanţele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drepturile de </w:t>
      </w:r>
      <w:proofErr w:type="spellStart"/>
      <w:r w:rsidRPr="005A2FA0">
        <w:rPr>
          <w:bCs/>
        </w:rPr>
        <w:t>preferinţă</w:t>
      </w:r>
      <w:proofErr w:type="spellEnd"/>
      <w:r w:rsidRPr="005A2FA0">
        <w:rPr>
          <w:bCs/>
        </w:rPr>
        <w:t xml:space="preserve"> trecute de lichidator în tabelul suplimentar.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</w:r>
      <w:proofErr w:type="spellStart"/>
      <w:r w:rsidRPr="005A2FA0">
        <w:rPr>
          <w:bCs/>
        </w:rPr>
        <w:t>Contestaţiile</w:t>
      </w:r>
      <w:proofErr w:type="spellEnd"/>
      <w:r w:rsidRPr="005A2FA0">
        <w:rPr>
          <w:bCs/>
        </w:rPr>
        <w:t xml:space="preserve"> se vor </w:t>
      </w:r>
      <w:proofErr w:type="spellStart"/>
      <w:r w:rsidRPr="005A2FA0">
        <w:rPr>
          <w:bCs/>
        </w:rPr>
        <w:t>soluţiona</w:t>
      </w:r>
      <w:proofErr w:type="spellEnd"/>
      <w:r w:rsidRPr="005A2FA0">
        <w:rPr>
          <w:bCs/>
        </w:rPr>
        <w:t xml:space="preserve"> de judecătorul sindic în </w:t>
      </w:r>
      <w:proofErr w:type="spellStart"/>
      <w:r w:rsidRPr="005A2FA0">
        <w:rPr>
          <w:bCs/>
        </w:rPr>
        <w:t>condiţiile</w:t>
      </w:r>
      <w:proofErr w:type="spellEnd"/>
      <w:r w:rsidRPr="005A2FA0">
        <w:rPr>
          <w:bCs/>
        </w:rPr>
        <w:t xml:space="preserve"> art. 73 din </w:t>
      </w:r>
      <w:proofErr w:type="spellStart"/>
      <w:r w:rsidRPr="005A2FA0">
        <w:rPr>
          <w:bCs/>
        </w:rPr>
        <w:t>aceeaşi</w:t>
      </w:r>
      <w:proofErr w:type="spellEnd"/>
      <w:r w:rsidRPr="005A2FA0">
        <w:rPr>
          <w:bCs/>
        </w:rPr>
        <w:t xml:space="preserve"> Lege.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Potrivit </w:t>
      </w:r>
      <w:proofErr w:type="spellStart"/>
      <w:r w:rsidRPr="005A2FA0">
        <w:rPr>
          <w:bCs/>
        </w:rPr>
        <w:t>dispoziţiilor</w:t>
      </w:r>
      <w:proofErr w:type="spellEnd"/>
      <w:r w:rsidRPr="005A2FA0">
        <w:rPr>
          <w:bCs/>
        </w:rPr>
        <w:t xml:space="preserve"> art. 73 alin. 2, </w:t>
      </w:r>
      <w:proofErr w:type="spellStart"/>
      <w:r w:rsidRPr="005A2FA0">
        <w:rPr>
          <w:bCs/>
        </w:rPr>
        <w:t>contestaţiile</w:t>
      </w:r>
      <w:proofErr w:type="spellEnd"/>
      <w:r w:rsidRPr="005A2FA0">
        <w:rPr>
          <w:bCs/>
        </w:rPr>
        <w:t xml:space="preserve"> trebuie depuse la tribunal în termen de 5 zile de la publicarea în B.P.I. a tabelului preliminar / suplimentar.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 În plus, în cauză nu s-a formulat cerere de repune în termen. 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  Împotriva acestei </w:t>
      </w:r>
      <w:proofErr w:type="spellStart"/>
      <w:r w:rsidRPr="005A2FA0">
        <w:rPr>
          <w:bCs/>
        </w:rPr>
        <w:t>sentinţe</w:t>
      </w:r>
      <w:proofErr w:type="spellEnd"/>
      <w:r w:rsidRPr="005A2FA0">
        <w:rPr>
          <w:bCs/>
        </w:rPr>
        <w:t xml:space="preserve"> a declarat recurs creditorul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</w:t>
      </w:r>
      <w:r w:rsidR="000959C2" w:rsidRPr="005A2FA0">
        <w:rPr>
          <w:bCs/>
        </w:rPr>
        <w:t>P2</w:t>
      </w:r>
      <w:r w:rsidRPr="005A2FA0">
        <w:rPr>
          <w:bCs/>
        </w:rPr>
        <w:t xml:space="preserve">SRL, solicitând admiterea recursului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modificarea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recurate</w:t>
      </w:r>
      <w:proofErr w:type="spellEnd"/>
      <w:r w:rsidRPr="005A2FA0">
        <w:rPr>
          <w:bCs/>
        </w:rPr>
        <w:t xml:space="preserve">, în sensul admiterii cererii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înscrierii sale în tabelul suplimentar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cu suma de 526.477,65 lei, reprezentând dobânzi contractuale calculate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neîncasate de la debitoarea SC </w:t>
      </w:r>
      <w:r w:rsidR="000959C2" w:rsidRPr="005A2FA0">
        <w:rPr>
          <w:bCs/>
        </w:rPr>
        <w:t>P4</w:t>
      </w:r>
      <w:r w:rsidRPr="005A2FA0">
        <w:rPr>
          <w:bCs/>
        </w:rPr>
        <w:t>SRL.</w:t>
      </w:r>
    </w:p>
    <w:p w:rsidR="00456103" w:rsidRPr="005A2FA0" w:rsidRDefault="00456103" w:rsidP="00456103">
      <w:pPr>
        <w:ind w:firstLine="360"/>
        <w:jc w:val="both"/>
        <w:rPr>
          <w:bCs/>
        </w:rPr>
      </w:pPr>
      <w:r w:rsidRPr="005A2FA0">
        <w:rPr>
          <w:bCs/>
        </w:rPr>
        <w:tab/>
        <w:t xml:space="preserve">În motivarea cererii de recurs, recurenta a  arătat că </w:t>
      </w:r>
      <w:proofErr w:type="spellStart"/>
      <w:r w:rsidRPr="005A2FA0">
        <w:rPr>
          <w:bCs/>
        </w:rPr>
        <w:t>instanţa</w:t>
      </w:r>
      <w:proofErr w:type="spellEnd"/>
      <w:r w:rsidRPr="005A2FA0">
        <w:rPr>
          <w:bCs/>
        </w:rPr>
        <w:t xml:space="preserve"> de fond a calificat în mod </w:t>
      </w:r>
      <w:proofErr w:type="spellStart"/>
      <w:r w:rsidRPr="005A2FA0">
        <w:rPr>
          <w:bCs/>
        </w:rPr>
        <w:t>greşit</w:t>
      </w:r>
      <w:proofErr w:type="spellEnd"/>
      <w:r w:rsidRPr="005A2FA0">
        <w:rPr>
          <w:bCs/>
        </w:rPr>
        <w:t xml:space="preserve"> cererea 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ca o </w:t>
      </w:r>
      <w:proofErr w:type="spellStart"/>
      <w:r w:rsidRPr="005A2FA0">
        <w:rPr>
          <w:bCs/>
        </w:rPr>
        <w:t>contestaţie</w:t>
      </w:r>
      <w:proofErr w:type="spellEnd"/>
      <w:r w:rsidRPr="005A2FA0">
        <w:rPr>
          <w:bCs/>
        </w:rPr>
        <w:t xml:space="preserve"> la tabelul suplimentar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, întrucât </w:t>
      </w:r>
      <w:proofErr w:type="spellStart"/>
      <w:r w:rsidRPr="005A2FA0">
        <w:rPr>
          <w:bCs/>
        </w:rPr>
        <w:t>diferenţa</w:t>
      </w:r>
      <w:proofErr w:type="spellEnd"/>
      <w:r w:rsidRPr="005A2FA0">
        <w:rPr>
          <w:bCs/>
        </w:rPr>
        <w:t xml:space="preserve"> de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de 526.477,65 lei, </w:t>
      </w:r>
      <w:proofErr w:type="spellStart"/>
      <w:r w:rsidRPr="005A2FA0">
        <w:rPr>
          <w:bCs/>
        </w:rPr>
        <w:t>faţă</w:t>
      </w:r>
      <w:proofErr w:type="spellEnd"/>
      <w:r w:rsidRPr="005A2FA0">
        <w:rPr>
          <w:bCs/>
        </w:rPr>
        <w:t xml:space="preserve">  de </w:t>
      </w:r>
      <w:proofErr w:type="spellStart"/>
      <w:r w:rsidRPr="005A2FA0">
        <w:rPr>
          <w:bCs/>
        </w:rPr>
        <w:t>creanţa</w:t>
      </w:r>
      <w:proofErr w:type="spellEnd"/>
      <w:r w:rsidRPr="005A2FA0">
        <w:rPr>
          <w:bCs/>
        </w:rPr>
        <w:t xml:space="preserve"> în sumă de 1.146.961,35 lei, cu cât este înscrisă în tabelul de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>, se constituie  din dobânzi aferente debitului principal, calculate până la data deschiderii  procedurii falimentului.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Asupra cererii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, lichidatorul judiciar s-a </w:t>
      </w:r>
      <w:proofErr w:type="spellStart"/>
      <w:r w:rsidRPr="005A2FA0">
        <w:rPr>
          <w:bCs/>
        </w:rPr>
        <w:t>pronunţat</w:t>
      </w:r>
      <w:proofErr w:type="spellEnd"/>
      <w:r w:rsidRPr="005A2FA0">
        <w:rPr>
          <w:bCs/>
        </w:rPr>
        <w:t xml:space="preserve"> prin Raportul din 25.09.2015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publicat în BPI nr.</w:t>
      </w:r>
      <w:r w:rsidR="00A91E08" w:rsidRPr="005A2FA0">
        <w:rPr>
          <w:bCs/>
        </w:rPr>
        <w:t>1...4/2015</w:t>
      </w:r>
      <w:r w:rsidRPr="005A2FA0">
        <w:rPr>
          <w:bCs/>
        </w:rPr>
        <w:t xml:space="preserve">, considerând întemeiată cererea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. Raportul de activitate nu a fost contestat, iar recalificarea cererii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apoi respingerea </w:t>
      </w:r>
      <w:proofErr w:type="spellStart"/>
      <w:r w:rsidRPr="005A2FA0">
        <w:rPr>
          <w:bCs/>
        </w:rPr>
        <w:t>contestaţiei</w:t>
      </w:r>
      <w:proofErr w:type="spellEnd"/>
      <w:r w:rsidRPr="005A2FA0">
        <w:rPr>
          <w:bCs/>
        </w:rPr>
        <w:t xml:space="preserve"> ca tardivă de către judecătorul sindic este eronată.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Recurenta apreciază întemeiată cererea 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, arătând că are constituite </w:t>
      </w:r>
      <w:proofErr w:type="spellStart"/>
      <w:r w:rsidRPr="005A2FA0">
        <w:rPr>
          <w:bCs/>
        </w:rPr>
        <w:t>garanţii</w:t>
      </w:r>
      <w:proofErr w:type="spellEnd"/>
      <w:r w:rsidRPr="005A2FA0">
        <w:rPr>
          <w:bCs/>
        </w:rPr>
        <w:t xml:space="preserve"> asupra bunurilor mobile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imobile ale debitoarei falite. Raportul de evaluare al bunurilor garantate a fost întocmit la finele lunii octombrie 2015, valoarea totală de </w:t>
      </w:r>
      <w:proofErr w:type="spellStart"/>
      <w:r w:rsidRPr="005A2FA0">
        <w:rPr>
          <w:bCs/>
        </w:rPr>
        <w:t>piaţă</w:t>
      </w:r>
      <w:proofErr w:type="spellEnd"/>
      <w:r w:rsidRPr="005A2FA0">
        <w:rPr>
          <w:bCs/>
        </w:rPr>
        <w:t xml:space="preserve"> a acestora fiind stabilită la 369.088 euro.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Ori, potrivit art.41 alin.2 din Legea nr.85/2006 ,, Prin  </w:t>
      </w:r>
      <w:proofErr w:type="spellStart"/>
      <w:r w:rsidRPr="005A2FA0">
        <w:rPr>
          <w:bCs/>
        </w:rPr>
        <w:t>excepţie</w:t>
      </w:r>
      <w:proofErr w:type="spellEnd"/>
      <w:r w:rsidRPr="005A2FA0">
        <w:rPr>
          <w:bCs/>
        </w:rPr>
        <w:t xml:space="preserve"> de la alin.1, </w:t>
      </w:r>
      <w:proofErr w:type="spellStart"/>
      <w:r w:rsidRPr="005A2FA0">
        <w:rPr>
          <w:bCs/>
        </w:rPr>
        <w:t>creanţele</w:t>
      </w:r>
      <w:proofErr w:type="spellEnd"/>
      <w:r w:rsidRPr="005A2FA0">
        <w:rPr>
          <w:bCs/>
        </w:rPr>
        <w:t xml:space="preserve"> garantate se înscriu în tabelul definitiv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/sau în tabelul definitiv consolidat, după caz, la valoarea </w:t>
      </w:r>
      <w:proofErr w:type="spellStart"/>
      <w:r w:rsidRPr="005A2FA0">
        <w:rPr>
          <w:bCs/>
        </w:rPr>
        <w:t>garanţiilor</w:t>
      </w:r>
      <w:proofErr w:type="spellEnd"/>
      <w:r w:rsidRPr="005A2FA0">
        <w:rPr>
          <w:bCs/>
        </w:rPr>
        <w:t xml:space="preserve">, evaluată în conformitate cu art.39 alin.1 </w:t>
      </w:r>
      <w:proofErr w:type="spellStart"/>
      <w:r w:rsidRPr="005A2FA0">
        <w:rPr>
          <w:bCs/>
        </w:rPr>
        <w:t>lit.a</w:t>
      </w:r>
      <w:proofErr w:type="spellEnd"/>
      <w:r w:rsidRPr="005A2FA0">
        <w:rPr>
          <w:bCs/>
        </w:rPr>
        <w:t xml:space="preserve">, dar nu mai mult decât valoarea totală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garantate de acea </w:t>
      </w:r>
      <w:proofErr w:type="spellStart"/>
      <w:r w:rsidRPr="005A2FA0">
        <w:rPr>
          <w:bCs/>
        </w:rPr>
        <w:t>garanţie</w:t>
      </w:r>
      <w:proofErr w:type="spellEnd"/>
      <w:r w:rsidRPr="005A2FA0">
        <w:rPr>
          <w:bCs/>
        </w:rPr>
        <w:t xml:space="preserve">. La </w:t>
      </w:r>
      <w:proofErr w:type="spellStart"/>
      <w:r w:rsidRPr="005A2FA0">
        <w:rPr>
          <w:bCs/>
        </w:rPr>
        <w:t>distribuţia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preţului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garanţiei</w:t>
      </w:r>
      <w:proofErr w:type="spellEnd"/>
      <w:r w:rsidRPr="005A2FA0">
        <w:rPr>
          <w:bCs/>
        </w:rPr>
        <w:t xml:space="preserve">, creditorul garantat va fi </w:t>
      </w:r>
      <w:proofErr w:type="spellStart"/>
      <w:r w:rsidRPr="005A2FA0">
        <w:rPr>
          <w:bCs/>
        </w:rPr>
        <w:t>îndreptăţit</w:t>
      </w:r>
      <w:proofErr w:type="spellEnd"/>
      <w:r w:rsidRPr="005A2FA0">
        <w:rPr>
          <w:bCs/>
        </w:rPr>
        <w:t xml:space="preserve"> să calculeze accesoriile la </w:t>
      </w:r>
      <w:proofErr w:type="spellStart"/>
      <w:r w:rsidRPr="005A2FA0">
        <w:rPr>
          <w:bCs/>
        </w:rPr>
        <w:t>creanţa</w:t>
      </w:r>
      <w:proofErr w:type="spellEnd"/>
      <w:r w:rsidRPr="005A2FA0">
        <w:rPr>
          <w:bCs/>
        </w:rPr>
        <w:t xml:space="preserve"> garantată până cel mult la data vânzării bunului, cu </w:t>
      </w:r>
      <w:proofErr w:type="spellStart"/>
      <w:r w:rsidRPr="005A2FA0">
        <w:rPr>
          <w:bCs/>
        </w:rPr>
        <w:t>condiţia</w:t>
      </w:r>
      <w:proofErr w:type="spellEnd"/>
      <w:r w:rsidRPr="005A2FA0">
        <w:rPr>
          <w:bCs/>
        </w:rPr>
        <w:t xml:space="preserve"> ca prețul bunului să fie corespunzător mai mare decât valoarea </w:t>
      </w:r>
      <w:proofErr w:type="spellStart"/>
      <w:r w:rsidRPr="005A2FA0">
        <w:rPr>
          <w:bCs/>
        </w:rPr>
        <w:t>iniţial</w:t>
      </w:r>
      <w:proofErr w:type="spellEnd"/>
      <w:r w:rsidRPr="005A2FA0">
        <w:rPr>
          <w:bCs/>
        </w:rPr>
        <w:t xml:space="preserve"> evaluată. În cazul în care </w:t>
      </w:r>
      <w:proofErr w:type="spellStart"/>
      <w:r w:rsidRPr="005A2FA0">
        <w:rPr>
          <w:bCs/>
        </w:rPr>
        <w:t>preţul</w:t>
      </w:r>
      <w:proofErr w:type="spellEnd"/>
      <w:r w:rsidRPr="005A2FA0">
        <w:rPr>
          <w:bCs/>
        </w:rPr>
        <w:t xml:space="preserve"> va fi inferior valorii evaluate, la </w:t>
      </w:r>
      <w:proofErr w:type="spellStart"/>
      <w:r w:rsidRPr="005A2FA0">
        <w:rPr>
          <w:bCs/>
        </w:rPr>
        <w:t>distribuţie</w:t>
      </w:r>
      <w:proofErr w:type="spellEnd"/>
      <w:r w:rsidRPr="005A2FA0">
        <w:rPr>
          <w:bCs/>
        </w:rPr>
        <w:t xml:space="preserve"> se va ajusta corespunzător raportul dintre partea garantată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cea negarantată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>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Prin urmare, având în vedere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mai sus citate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suma rezultată din evaluarea bunurilor </w:t>
      </w:r>
      <w:proofErr w:type="spellStart"/>
      <w:r w:rsidRPr="005A2FA0">
        <w:rPr>
          <w:bCs/>
        </w:rPr>
        <w:t>aparţinând</w:t>
      </w:r>
      <w:proofErr w:type="spellEnd"/>
      <w:r w:rsidRPr="005A2FA0">
        <w:rPr>
          <w:bCs/>
        </w:rPr>
        <w:t xml:space="preserve"> falitei precum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data la care aceste bunuri au fost evaluate respectiv luna octombrie 2015 se apreciază că cererea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înaintată în luna mai 2015, anterior acestei evaluări este judicioasă, este întemeiată.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În altă ordine de idei, în aplicarea </w:t>
      </w:r>
      <w:proofErr w:type="spellStart"/>
      <w:r w:rsidRPr="005A2FA0">
        <w:rPr>
          <w:bCs/>
        </w:rPr>
        <w:t>dispoziţiilor</w:t>
      </w:r>
      <w:proofErr w:type="spellEnd"/>
      <w:r w:rsidRPr="005A2FA0">
        <w:rPr>
          <w:bCs/>
        </w:rPr>
        <w:t xml:space="preserve"> art.41 din Legea nr.85/2006, </w:t>
      </w:r>
      <w:proofErr w:type="spellStart"/>
      <w:r w:rsidRPr="005A2FA0">
        <w:rPr>
          <w:bCs/>
        </w:rPr>
        <w:t>susţine</w:t>
      </w:r>
      <w:proofErr w:type="spellEnd"/>
      <w:r w:rsidRPr="005A2FA0">
        <w:rPr>
          <w:bCs/>
        </w:rPr>
        <w:t xml:space="preserve"> recurenta nici nu era necesară actualizarea expresă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garantate cu aceste accesorii, anterior evaluării bunului, din moment ce </w:t>
      </w:r>
      <w:proofErr w:type="spellStart"/>
      <w:r w:rsidRPr="005A2FA0">
        <w:rPr>
          <w:bCs/>
        </w:rPr>
        <w:t>dispoziţiile</w:t>
      </w:r>
      <w:proofErr w:type="spellEnd"/>
      <w:r w:rsidRPr="005A2FA0">
        <w:rPr>
          <w:bCs/>
        </w:rPr>
        <w:t xml:space="preserve"> art.41 prevăd faptul că actualizarea se efectuează la momentul vânzării acestora.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lastRenderedPageBreak/>
        <w:t xml:space="preserve">În drept au fost invocate prevederile art.304 din </w:t>
      </w:r>
      <w:proofErr w:type="spellStart"/>
      <w:r w:rsidRPr="005A2FA0">
        <w:rPr>
          <w:bCs/>
        </w:rPr>
        <w:t>C.pr.civ</w:t>
      </w:r>
      <w:proofErr w:type="spellEnd"/>
      <w:r w:rsidRPr="005A2FA0">
        <w:rPr>
          <w:bCs/>
        </w:rPr>
        <w:t>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>Cererea de recurs a fost legal timbrată.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Verificând legalitatea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temeinicia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recurate</w:t>
      </w:r>
      <w:proofErr w:type="spellEnd"/>
      <w:r w:rsidRPr="005A2FA0">
        <w:rPr>
          <w:bCs/>
        </w:rPr>
        <w:t xml:space="preserve"> în raport cu criticile  formulate, precum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conform art.304</w:t>
      </w:r>
      <w:r w:rsidRPr="005A2FA0">
        <w:rPr>
          <w:bCs/>
          <w:vertAlign w:val="superscript"/>
        </w:rPr>
        <w:t>1</w:t>
      </w:r>
      <w:r w:rsidRPr="005A2FA0">
        <w:rPr>
          <w:bCs/>
        </w:rPr>
        <w:t xml:space="preserve"> din </w:t>
      </w:r>
      <w:proofErr w:type="spellStart"/>
      <w:r w:rsidRPr="005A2FA0">
        <w:rPr>
          <w:bCs/>
        </w:rPr>
        <w:t>C.pr.civ</w:t>
      </w:r>
      <w:proofErr w:type="spellEnd"/>
      <w:r w:rsidRPr="005A2FA0">
        <w:rPr>
          <w:bCs/>
        </w:rPr>
        <w:t>, instanța constată recursul nefondat având în vedere următoarele considerente: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Recurenta creditoare SC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</w:t>
      </w:r>
      <w:r w:rsidR="000959C2" w:rsidRPr="005A2FA0">
        <w:rPr>
          <w:bCs/>
        </w:rPr>
        <w:t>P2</w:t>
      </w:r>
      <w:r w:rsidRPr="005A2FA0">
        <w:rPr>
          <w:bCs/>
        </w:rPr>
        <w:t>SRL, invocând încheierea contractului de cesiune, autentificat sub nr.</w:t>
      </w:r>
      <w:r w:rsidR="00C33D62" w:rsidRPr="005A2FA0">
        <w:rPr>
          <w:bCs/>
        </w:rPr>
        <w:t xml:space="preserve">3....9/2014 </w:t>
      </w:r>
      <w:r w:rsidRPr="005A2FA0">
        <w:rPr>
          <w:bCs/>
        </w:rPr>
        <w:t xml:space="preserve">de BNP </w:t>
      </w:r>
      <w:r w:rsidR="000959C2" w:rsidRPr="005A2FA0">
        <w:rPr>
          <w:bCs/>
        </w:rPr>
        <w:t>NOTAR 1</w:t>
      </w:r>
      <w:r w:rsidRPr="005A2FA0">
        <w:rPr>
          <w:bCs/>
        </w:rPr>
        <w:t xml:space="preserve"> din </w:t>
      </w:r>
      <w:r w:rsidR="007A4485">
        <w:rPr>
          <w:bCs/>
        </w:rPr>
        <w:t>B</w:t>
      </w:r>
      <w:r w:rsidRPr="005A2FA0">
        <w:rPr>
          <w:bCs/>
        </w:rPr>
        <w:t xml:space="preserve"> cu creditoarea </w:t>
      </w:r>
      <w:r w:rsidR="00A91E08" w:rsidRPr="005A2FA0">
        <w:rPr>
          <w:bCs/>
        </w:rPr>
        <w:t>BANK</w:t>
      </w:r>
      <w:r w:rsidRPr="005A2FA0">
        <w:rPr>
          <w:bCs/>
        </w:rPr>
        <w:t xml:space="preserve">, a depus la dosar, în data de 19.05.2015, o cerere de reactualizare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 admise la masa </w:t>
      </w:r>
      <w:proofErr w:type="spellStart"/>
      <w:r w:rsidRPr="005A2FA0">
        <w:rPr>
          <w:bCs/>
        </w:rPr>
        <w:t>credală</w:t>
      </w:r>
      <w:proofErr w:type="spellEnd"/>
      <w:r w:rsidRPr="005A2FA0">
        <w:rPr>
          <w:bCs/>
        </w:rPr>
        <w:t xml:space="preserve"> a debitoarei SC </w:t>
      </w:r>
      <w:r w:rsidR="000959C2" w:rsidRPr="005A2FA0">
        <w:rPr>
          <w:bCs/>
        </w:rPr>
        <w:t>P4</w:t>
      </w:r>
      <w:r w:rsidRPr="005A2FA0">
        <w:rPr>
          <w:bCs/>
        </w:rPr>
        <w:t>SRL, de la suma de 1.146.961,35 lei la suma de 1.673.439 lei.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proofErr w:type="spellStart"/>
      <w:r w:rsidRPr="005A2FA0">
        <w:rPr>
          <w:bCs/>
        </w:rPr>
        <w:t>Diferenţa</w:t>
      </w:r>
      <w:proofErr w:type="spellEnd"/>
      <w:r w:rsidRPr="005A2FA0">
        <w:rPr>
          <w:bCs/>
        </w:rPr>
        <w:t xml:space="preserve"> de 526.477,65 lei, cu cât a solicitat apelanta creditoare să-i fie majorată </w:t>
      </w:r>
      <w:proofErr w:type="spellStart"/>
      <w:r w:rsidRPr="005A2FA0">
        <w:rPr>
          <w:bCs/>
        </w:rPr>
        <w:t>creanţa</w:t>
      </w:r>
      <w:proofErr w:type="spellEnd"/>
      <w:r w:rsidRPr="005A2FA0">
        <w:rPr>
          <w:bCs/>
        </w:rPr>
        <w:t xml:space="preserve"> înscrisă în tabelul definitiv de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 xml:space="preserve"> o reprezintă dobânzi aferente debitului restant, înscris la masa </w:t>
      </w:r>
      <w:proofErr w:type="spellStart"/>
      <w:r w:rsidRPr="005A2FA0">
        <w:rPr>
          <w:bCs/>
        </w:rPr>
        <w:t>credală</w:t>
      </w:r>
      <w:proofErr w:type="spellEnd"/>
      <w:r w:rsidRPr="005A2FA0">
        <w:rPr>
          <w:bCs/>
        </w:rPr>
        <w:t xml:space="preserve">, calculate până la data intrării în faliment a intimatei debitoare SC </w:t>
      </w:r>
      <w:r w:rsidR="000959C2" w:rsidRPr="005A2FA0">
        <w:rPr>
          <w:bCs/>
        </w:rPr>
        <w:t>P4</w:t>
      </w:r>
      <w:r w:rsidRPr="005A2FA0">
        <w:rPr>
          <w:bCs/>
        </w:rPr>
        <w:t>SRL.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Sesizându-se cu privire la depunerea cererii de reactualizare de către apelanta creditoare, lichidatorul judiciar </w:t>
      </w:r>
      <w:r w:rsidR="000959C2" w:rsidRPr="005A2FA0">
        <w:rPr>
          <w:bCs/>
        </w:rPr>
        <w:t>P3</w:t>
      </w:r>
      <w:r w:rsidRPr="005A2FA0">
        <w:rPr>
          <w:bCs/>
        </w:rPr>
        <w:t xml:space="preserve"> SPRL a procedat la verificarea acestei cereri, sens în care a întocmit raportul nr.</w:t>
      </w:r>
      <w:r w:rsidR="00A91E08" w:rsidRPr="005A2FA0">
        <w:rPr>
          <w:bCs/>
        </w:rPr>
        <w:t>...</w:t>
      </w:r>
      <w:r w:rsidRPr="005A2FA0">
        <w:rPr>
          <w:bCs/>
        </w:rPr>
        <w:t>, depus în dosarul de fond la fila 31.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Prin raportul astfel întocmit, lichidatorul judiciar a apreciat întemeiată cererea apelantei creditoare, precizând că aceasta a fost trecută în tabelul de </w:t>
      </w:r>
      <w:proofErr w:type="spellStart"/>
      <w:r w:rsidRPr="005A2FA0">
        <w:rPr>
          <w:bCs/>
        </w:rPr>
        <w:t>creanţe</w:t>
      </w:r>
      <w:proofErr w:type="spellEnd"/>
      <w:r w:rsidRPr="005A2FA0">
        <w:rPr>
          <w:bCs/>
        </w:rPr>
        <w:t xml:space="preserve"> în categoria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garantate, la ordinea prevăzută de art.121 alin.1 pct.2 din Legea nr.85/2006, cu o sumă totală de 1.673.439 lei.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Totodată s-a depus tabelul definitiv consolidat al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, refăcut la data de 29.09.2015, tabelul în care apelanta creditoare figurează înscrisă în categoria </w:t>
      </w:r>
      <w:proofErr w:type="spellStart"/>
      <w:r w:rsidRPr="005A2FA0">
        <w:rPr>
          <w:bCs/>
        </w:rPr>
        <w:t>creanţelor</w:t>
      </w:r>
      <w:proofErr w:type="spellEnd"/>
      <w:r w:rsidRPr="005A2FA0">
        <w:rPr>
          <w:bCs/>
        </w:rPr>
        <w:t xml:space="preserve"> garantate </w:t>
      </w:r>
      <w:proofErr w:type="spellStart"/>
      <w:r w:rsidRPr="005A2FA0">
        <w:rPr>
          <w:bCs/>
        </w:rPr>
        <w:t>poziţia</w:t>
      </w:r>
      <w:proofErr w:type="spellEnd"/>
      <w:r w:rsidRPr="005A2FA0">
        <w:rPr>
          <w:bCs/>
        </w:rPr>
        <w:t xml:space="preserve"> 1, cu o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totală de 1.673.439 lei, conform art.121 alin.1 pct.2 din Legea nr.85/2006 (f.42, dosar fond).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În acest context, s-ar fi impus să se constate că cererea de actualizare a </w:t>
      </w:r>
      <w:proofErr w:type="spellStart"/>
      <w:r w:rsidRPr="005A2FA0">
        <w:rPr>
          <w:bCs/>
        </w:rPr>
        <w:t>creanţei</w:t>
      </w:r>
      <w:proofErr w:type="spellEnd"/>
      <w:r w:rsidRPr="005A2FA0">
        <w:rPr>
          <w:bCs/>
        </w:rPr>
        <w:t xml:space="preserve">, mai precis a </w:t>
      </w:r>
      <w:proofErr w:type="spellStart"/>
      <w:r w:rsidRPr="005A2FA0">
        <w:rPr>
          <w:bCs/>
        </w:rPr>
        <w:t>declaraţiei</w:t>
      </w:r>
      <w:proofErr w:type="spellEnd"/>
      <w:r w:rsidRPr="005A2FA0">
        <w:rPr>
          <w:bCs/>
        </w:rPr>
        <w:t xml:space="preserve"> de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, formulată de apelanta creditoare a fost analizată de către lichidatorul judiciar, în </w:t>
      </w:r>
      <w:proofErr w:type="spellStart"/>
      <w:r w:rsidRPr="005A2FA0">
        <w:rPr>
          <w:bCs/>
        </w:rPr>
        <w:t>competenţa</w:t>
      </w:r>
      <w:proofErr w:type="spellEnd"/>
      <w:r w:rsidRPr="005A2FA0">
        <w:rPr>
          <w:bCs/>
        </w:rPr>
        <w:t xml:space="preserve"> căruia o atare cerere, în conformitate cu prevederile art.64 sau, după caz, art.108 alin.3 din Legea nr.85/2006, aceasta rămânând fără obiect, ca urmare a modificării tabelului definitiv consolidat, în sensul înscrierii apelantei creditoare </w:t>
      </w:r>
      <w:proofErr w:type="spellStart"/>
      <w:r w:rsidRPr="005A2FA0">
        <w:rPr>
          <w:bCs/>
        </w:rPr>
        <w:t>şi</w:t>
      </w:r>
      <w:proofErr w:type="spellEnd"/>
      <w:r w:rsidRPr="005A2FA0">
        <w:rPr>
          <w:bCs/>
        </w:rPr>
        <w:t xml:space="preserve"> cu  </w:t>
      </w:r>
      <w:proofErr w:type="spellStart"/>
      <w:r w:rsidRPr="005A2FA0">
        <w:rPr>
          <w:bCs/>
        </w:rPr>
        <w:t>diferenţa</w:t>
      </w:r>
      <w:proofErr w:type="spellEnd"/>
      <w:r w:rsidRPr="005A2FA0">
        <w:rPr>
          <w:bCs/>
        </w:rPr>
        <w:t xml:space="preserve"> de </w:t>
      </w:r>
      <w:proofErr w:type="spellStart"/>
      <w:r w:rsidRPr="005A2FA0">
        <w:rPr>
          <w:bCs/>
        </w:rPr>
        <w:t>creanţă</w:t>
      </w:r>
      <w:proofErr w:type="spellEnd"/>
      <w:r w:rsidRPr="005A2FA0">
        <w:rPr>
          <w:bCs/>
        </w:rPr>
        <w:t xml:space="preserve"> de 526.477,65 lei.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Judecătorului sindic îi revine </w:t>
      </w:r>
      <w:proofErr w:type="spellStart"/>
      <w:r w:rsidRPr="005A2FA0">
        <w:rPr>
          <w:bCs/>
        </w:rPr>
        <w:t>competenţa</w:t>
      </w:r>
      <w:proofErr w:type="spellEnd"/>
      <w:r w:rsidRPr="005A2FA0">
        <w:rPr>
          <w:bCs/>
        </w:rPr>
        <w:t xml:space="preserve"> în conformitate cu prevederile art.11 </w:t>
      </w:r>
      <w:proofErr w:type="spellStart"/>
      <w:r w:rsidRPr="005A2FA0">
        <w:rPr>
          <w:bCs/>
        </w:rPr>
        <w:t>lit.i</w:t>
      </w:r>
      <w:proofErr w:type="spellEnd"/>
      <w:r w:rsidRPr="005A2FA0">
        <w:rPr>
          <w:bCs/>
        </w:rPr>
        <w:t xml:space="preserve"> din Legea nr.85/2006, să </w:t>
      </w:r>
      <w:proofErr w:type="spellStart"/>
      <w:r w:rsidRPr="005A2FA0">
        <w:rPr>
          <w:bCs/>
        </w:rPr>
        <w:t>soluţioneze</w:t>
      </w:r>
      <w:proofErr w:type="spellEnd"/>
      <w:r w:rsidRPr="005A2FA0">
        <w:rPr>
          <w:bCs/>
        </w:rPr>
        <w:t xml:space="preserve"> eventualele </w:t>
      </w:r>
      <w:proofErr w:type="spellStart"/>
      <w:r w:rsidRPr="005A2FA0">
        <w:rPr>
          <w:bCs/>
        </w:rPr>
        <w:t>contestaţii</w:t>
      </w:r>
      <w:proofErr w:type="spellEnd"/>
      <w:r w:rsidRPr="005A2FA0">
        <w:rPr>
          <w:bCs/>
        </w:rPr>
        <w:t xml:space="preserve"> formulate împotriva măsurii lichidatorului judiciar de modificare a tabelului definitiv consolidat.</w:t>
      </w: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Pentru considerentele ce au fost expuse, care vor suplini considerentele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recurate</w:t>
      </w:r>
      <w:proofErr w:type="spellEnd"/>
      <w:r w:rsidRPr="005A2FA0">
        <w:rPr>
          <w:bCs/>
        </w:rPr>
        <w:t xml:space="preserve">, </w:t>
      </w:r>
      <w:proofErr w:type="spellStart"/>
      <w:r w:rsidRPr="005A2FA0">
        <w:rPr>
          <w:bCs/>
        </w:rPr>
        <w:t>instanţa</w:t>
      </w:r>
      <w:proofErr w:type="spellEnd"/>
      <w:r w:rsidRPr="005A2FA0">
        <w:rPr>
          <w:bCs/>
        </w:rPr>
        <w:t xml:space="preserve"> a constatat neîntemeiat recursul formulat de către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</w:t>
      </w:r>
      <w:r w:rsidR="00A91E08" w:rsidRPr="005A2FA0">
        <w:rPr>
          <w:bCs/>
        </w:rPr>
        <w:t>P2</w:t>
      </w:r>
      <w:r w:rsidRPr="005A2FA0">
        <w:rPr>
          <w:bCs/>
        </w:rPr>
        <w:t xml:space="preserve">SRL împotriva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nr.</w:t>
      </w:r>
      <w:r w:rsidR="000959C2" w:rsidRPr="005A2FA0">
        <w:rPr>
          <w:bCs/>
        </w:rPr>
        <w:t xml:space="preserve">..../2016 </w:t>
      </w:r>
      <w:proofErr w:type="spellStart"/>
      <w:r w:rsidRPr="005A2FA0">
        <w:rPr>
          <w:bCs/>
        </w:rPr>
        <w:t>pronunţată</w:t>
      </w:r>
      <w:proofErr w:type="spellEnd"/>
      <w:r w:rsidRPr="005A2FA0">
        <w:rPr>
          <w:bCs/>
        </w:rPr>
        <w:t xml:space="preserve"> de judecătorul sindic în dosarul nr.</w:t>
      </w:r>
      <w:r w:rsidR="000959C2" w:rsidRPr="005A2FA0">
        <w:rPr>
          <w:bCs/>
        </w:rPr>
        <w:t>..../2010/a...</w:t>
      </w:r>
      <w:r w:rsidRPr="005A2FA0">
        <w:rPr>
          <w:bCs/>
        </w:rPr>
        <w:t xml:space="preserve"> al </w:t>
      </w:r>
      <w:r w:rsidR="000959C2" w:rsidRPr="005A2FA0">
        <w:rPr>
          <w:bCs/>
        </w:rPr>
        <w:t>Tribunalului ....</w:t>
      </w:r>
      <w:r w:rsidRPr="005A2FA0">
        <w:rPr>
          <w:bCs/>
        </w:rPr>
        <w:t xml:space="preserve">, astfel că, în baza art.312 din </w:t>
      </w:r>
      <w:proofErr w:type="spellStart"/>
      <w:r w:rsidRPr="005A2FA0">
        <w:rPr>
          <w:bCs/>
        </w:rPr>
        <w:t>C.pr.civilă</w:t>
      </w:r>
      <w:proofErr w:type="spellEnd"/>
      <w:r w:rsidRPr="005A2FA0">
        <w:rPr>
          <w:bCs/>
        </w:rPr>
        <w:t>, acesta va fi respins.</w:t>
      </w:r>
    </w:p>
    <w:p w:rsidR="00456103" w:rsidRPr="005A2FA0" w:rsidRDefault="00456103" w:rsidP="00456103">
      <w:pPr>
        <w:ind w:firstLine="708"/>
        <w:jc w:val="both"/>
        <w:rPr>
          <w:bCs/>
        </w:rPr>
      </w:pPr>
    </w:p>
    <w:p w:rsidR="00456103" w:rsidRPr="005A2FA0" w:rsidRDefault="00456103" w:rsidP="00456103">
      <w:pPr>
        <w:rPr>
          <w:bCs/>
        </w:rPr>
      </w:pP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>PENTRU ACESTE MOTIVE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>ÎN NUMELE LEGII</w:t>
      </w: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>DECIDE:</w:t>
      </w:r>
    </w:p>
    <w:p w:rsidR="00456103" w:rsidRPr="005A2FA0" w:rsidRDefault="00456103" w:rsidP="00456103">
      <w:pPr>
        <w:jc w:val="center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 xml:space="preserve">Respinge recursul declarat de recurenta </w:t>
      </w:r>
      <w:r w:rsidR="000959C2" w:rsidRPr="005A2FA0">
        <w:rPr>
          <w:bCs/>
        </w:rPr>
        <w:t>P1</w:t>
      </w:r>
      <w:r w:rsidRPr="005A2FA0">
        <w:rPr>
          <w:bCs/>
        </w:rPr>
        <w:t xml:space="preserve">SRL prin mandatar </w:t>
      </w:r>
      <w:r w:rsidR="00A91E08" w:rsidRPr="005A2FA0">
        <w:rPr>
          <w:bCs/>
        </w:rPr>
        <w:t>P2</w:t>
      </w:r>
      <w:r w:rsidRPr="005A2FA0">
        <w:rPr>
          <w:bCs/>
        </w:rPr>
        <w:t xml:space="preserve">SRL împotriva </w:t>
      </w:r>
      <w:proofErr w:type="spellStart"/>
      <w:r w:rsidRPr="005A2FA0">
        <w:rPr>
          <w:bCs/>
        </w:rPr>
        <w:t>sentinţei</w:t>
      </w:r>
      <w:proofErr w:type="spellEnd"/>
      <w:r w:rsidRPr="005A2FA0">
        <w:rPr>
          <w:bCs/>
        </w:rPr>
        <w:t xml:space="preserve"> nr.</w:t>
      </w:r>
      <w:r w:rsidR="000959C2" w:rsidRPr="005A2FA0">
        <w:rPr>
          <w:bCs/>
        </w:rPr>
        <w:t xml:space="preserve">..../2016 </w:t>
      </w:r>
      <w:proofErr w:type="spellStart"/>
      <w:r w:rsidRPr="005A2FA0">
        <w:rPr>
          <w:bCs/>
        </w:rPr>
        <w:t>pronunţată</w:t>
      </w:r>
      <w:proofErr w:type="spellEnd"/>
      <w:r w:rsidRPr="005A2FA0">
        <w:rPr>
          <w:bCs/>
        </w:rPr>
        <w:t xml:space="preserve"> de judecătorul sindic în dosarul nr.</w:t>
      </w:r>
      <w:r w:rsidR="000959C2" w:rsidRPr="005A2FA0">
        <w:rPr>
          <w:bCs/>
        </w:rPr>
        <w:t>..../2010/a...</w:t>
      </w:r>
      <w:r w:rsidRPr="005A2FA0">
        <w:rPr>
          <w:bCs/>
        </w:rPr>
        <w:t xml:space="preserve"> al </w:t>
      </w:r>
      <w:r w:rsidR="000959C2" w:rsidRPr="005A2FA0">
        <w:rPr>
          <w:bCs/>
        </w:rPr>
        <w:t>Tribunalului ....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  <w:t>Irevocabilă.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ab/>
      </w:r>
      <w:proofErr w:type="spellStart"/>
      <w:r w:rsidRPr="005A2FA0">
        <w:rPr>
          <w:bCs/>
        </w:rPr>
        <w:t>Pronunţată</w:t>
      </w:r>
      <w:proofErr w:type="spellEnd"/>
      <w:r w:rsidRPr="005A2FA0">
        <w:rPr>
          <w:bCs/>
        </w:rPr>
        <w:t xml:space="preserve"> în </w:t>
      </w:r>
      <w:proofErr w:type="spellStart"/>
      <w:r w:rsidRPr="005A2FA0">
        <w:rPr>
          <w:bCs/>
        </w:rPr>
        <w:t>şedinţa</w:t>
      </w:r>
      <w:proofErr w:type="spellEnd"/>
      <w:r w:rsidRPr="005A2FA0">
        <w:rPr>
          <w:bCs/>
        </w:rPr>
        <w:t xml:space="preserve"> publică din </w:t>
      </w:r>
      <w:r w:rsidR="000959C2" w:rsidRPr="005A2FA0">
        <w:rPr>
          <w:bCs/>
        </w:rPr>
        <w:t>....</w:t>
      </w:r>
      <w:r w:rsidRPr="005A2FA0">
        <w:rPr>
          <w:bCs/>
        </w:rPr>
        <w:t>.</w:t>
      </w: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ind w:firstLine="708"/>
        <w:jc w:val="both"/>
        <w:rPr>
          <w:bCs/>
        </w:rPr>
      </w:pPr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Preşedinte</w:t>
      </w:r>
      <w:proofErr w:type="spellEnd"/>
      <w:r w:rsidRPr="005A2FA0">
        <w:rPr>
          <w:bCs/>
        </w:rPr>
        <w:t>,</w:t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  <w:t>Judecător,</w:t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  <w:t xml:space="preserve">   Judecător,</w:t>
      </w:r>
    </w:p>
    <w:p w:rsidR="00456103" w:rsidRPr="005A2FA0" w:rsidRDefault="009373E3" w:rsidP="00456103">
      <w:pPr>
        <w:jc w:val="both"/>
        <w:rPr>
          <w:bCs/>
        </w:rPr>
      </w:pPr>
      <w:r w:rsidRPr="005A2FA0">
        <w:rPr>
          <w:bCs/>
        </w:rPr>
        <w:t xml:space="preserve">CANDIDAT </w:t>
      </w:r>
      <w:r w:rsidR="00E37CDF" w:rsidRPr="005A2FA0">
        <w:rPr>
          <w:bCs/>
        </w:rPr>
        <w:t>COD A 1014</w:t>
      </w:r>
      <w:r w:rsidR="00E37CDF" w:rsidRPr="005A2FA0">
        <w:rPr>
          <w:bCs/>
        </w:rPr>
        <w:tab/>
      </w:r>
      <w:r w:rsidR="00E37CDF" w:rsidRPr="005A2FA0">
        <w:rPr>
          <w:bCs/>
        </w:rPr>
        <w:tab/>
      </w:r>
      <w:r w:rsidRPr="005A2FA0">
        <w:rPr>
          <w:bCs/>
        </w:rPr>
        <w:t>........</w:t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</w:r>
      <w:r w:rsidRPr="005A2FA0">
        <w:rPr>
          <w:bCs/>
        </w:rPr>
        <w:tab/>
        <w:t>......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 xml:space="preserve">              -concediu medical-</w:t>
      </w: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 xml:space="preserve">Semnează conform art.261 </w:t>
      </w:r>
      <w:proofErr w:type="spellStart"/>
      <w:r w:rsidRPr="005A2FA0">
        <w:rPr>
          <w:bCs/>
        </w:rPr>
        <w:t>C.pr.civ</w:t>
      </w:r>
      <w:proofErr w:type="spellEnd"/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 xml:space="preserve">      </w:t>
      </w:r>
      <w:proofErr w:type="spellStart"/>
      <w:r w:rsidRPr="005A2FA0">
        <w:rPr>
          <w:bCs/>
        </w:rPr>
        <w:t>Preşedintele</w:t>
      </w:r>
      <w:proofErr w:type="spellEnd"/>
      <w:r w:rsidRPr="005A2FA0">
        <w:rPr>
          <w:bCs/>
        </w:rPr>
        <w:t xml:space="preserve"> </w:t>
      </w:r>
      <w:proofErr w:type="spellStart"/>
      <w:r w:rsidRPr="005A2FA0">
        <w:rPr>
          <w:bCs/>
        </w:rPr>
        <w:t>Curţii</w:t>
      </w:r>
      <w:proofErr w:type="spellEnd"/>
      <w:r w:rsidRPr="005A2FA0">
        <w:rPr>
          <w:bCs/>
        </w:rPr>
        <w:t xml:space="preserve"> de Apel</w:t>
      </w:r>
    </w:p>
    <w:p w:rsidR="00456103" w:rsidRPr="005A2FA0" w:rsidRDefault="009373E3" w:rsidP="00456103">
      <w:pPr>
        <w:jc w:val="both"/>
        <w:rPr>
          <w:bCs/>
        </w:rPr>
      </w:pPr>
      <w:r w:rsidRPr="005A2FA0">
        <w:rPr>
          <w:bCs/>
        </w:rPr>
        <w:lastRenderedPageBreak/>
        <w:t xml:space="preserve">                     </w:t>
      </w:r>
      <w:r w:rsidR="00E37CDF" w:rsidRPr="005A2FA0">
        <w:rPr>
          <w:bCs/>
        </w:rPr>
        <w:t>......</w:t>
      </w: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</w:p>
    <w:p w:rsidR="00456103" w:rsidRPr="005A2FA0" w:rsidRDefault="00456103" w:rsidP="00456103">
      <w:pPr>
        <w:jc w:val="center"/>
        <w:rPr>
          <w:bCs/>
        </w:rPr>
      </w:pPr>
    </w:p>
    <w:p w:rsidR="00456103" w:rsidRPr="005A2FA0" w:rsidRDefault="00456103" w:rsidP="00456103">
      <w:pPr>
        <w:jc w:val="center"/>
        <w:rPr>
          <w:bCs/>
        </w:rPr>
      </w:pPr>
      <w:r w:rsidRPr="005A2FA0">
        <w:rPr>
          <w:bCs/>
        </w:rPr>
        <w:t>Grefier,</w:t>
      </w:r>
    </w:p>
    <w:p w:rsidR="00456103" w:rsidRPr="005A2FA0" w:rsidRDefault="00E37CDF" w:rsidP="00456103">
      <w:pPr>
        <w:jc w:val="center"/>
        <w:rPr>
          <w:bCs/>
        </w:rPr>
      </w:pPr>
      <w:r w:rsidRPr="005A2FA0">
        <w:rPr>
          <w:bCs/>
        </w:rPr>
        <w:t>....</w:t>
      </w:r>
    </w:p>
    <w:p w:rsidR="00456103" w:rsidRPr="005A2FA0" w:rsidRDefault="00456103" w:rsidP="00456103">
      <w:pPr>
        <w:jc w:val="center"/>
        <w:rPr>
          <w:bCs/>
        </w:rPr>
      </w:pPr>
    </w:p>
    <w:p w:rsidR="00456103" w:rsidRPr="005A2FA0" w:rsidRDefault="00456103" w:rsidP="00456103">
      <w:pPr>
        <w:jc w:val="center"/>
        <w:rPr>
          <w:bCs/>
        </w:rPr>
      </w:pPr>
    </w:p>
    <w:p w:rsidR="00456103" w:rsidRPr="005A2FA0" w:rsidRDefault="00456103" w:rsidP="00456103">
      <w:pPr>
        <w:jc w:val="both"/>
        <w:rPr>
          <w:bCs/>
        </w:rPr>
      </w:pPr>
      <w:r w:rsidRPr="005A2FA0">
        <w:rPr>
          <w:bCs/>
        </w:rPr>
        <w:t xml:space="preserve">Red. </w:t>
      </w:r>
      <w:r w:rsidR="00E37CDF" w:rsidRPr="005A2FA0">
        <w:rPr>
          <w:bCs/>
        </w:rPr>
        <w:t>...</w:t>
      </w:r>
    </w:p>
    <w:p w:rsidR="00456103" w:rsidRPr="005A2FA0" w:rsidRDefault="00456103" w:rsidP="00456103">
      <w:pPr>
        <w:jc w:val="both"/>
        <w:rPr>
          <w:bCs/>
        </w:rPr>
      </w:pPr>
      <w:proofErr w:type="spellStart"/>
      <w:r w:rsidRPr="005A2FA0">
        <w:rPr>
          <w:bCs/>
        </w:rPr>
        <w:t>Tehnored</w:t>
      </w:r>
      <w:proofErr w:type="spellEnd"/>
      <w:r w:rsidRPr="005A2FA0">
        <w:rPr>
          <w:bCs/>
        </w:rPr>
        <w:t>.</w:t>
      </w:r>
      <w:r w:rsidR="00E37CDF" w:rsidRPr="005A2FA0">
        <w:rPr>
          <w:bCs/>
        </w:rPr>
        <w:t>...</w:t>
      </w:r>
      <w:r w:rsidRPr="005A2FA0">
        <w:rPr>
          <w:bCs/>
        </w:rPr>
        <w:t>/2ex/</w:t>
      </w:r>
      <w:r w:rsidR="00E37CDF" w:rsidRPr="005A2FA0">
        <w:rPr>
          <w:bCs/>
        </w:rPr>
        <w:t>...</w:t>
      </w:r>
    </w:p>
    <w:p w:rsidR="00456103" w:rsidRPr="005A2FA0" w:rsidRDefault="00456103" w:rsidP="00456103">
      <w:pPr>
        <w:jc w:val="both"/>
        <w:rPr>
          <w:bCs/>
        </w:rPr>
      </w:pPr>
      <w:proofErr w:type="spellStart"/>
      <w:r w:rsidRPr="005A2FA0">
        <w:rPr>
          <w:bCs/>
        </w:rPr>
        <w:t>Jud.sind</w:t>
      </w:r>
      <w:proofErr w:type="spellEnd"/>
      <w:r w:rsidRPr="005A2FA0">
        <w:rPr>
          <w:bCs/>
        </w:rPr>
        <w:t>.</w:t>
      </w:r>
      <w:r w:rsidR="00E37CDF" w:rsidRPr="005A2FA0">
        <w:rPr>
          <w:bCs/>
        </w:rPr>
        <w:t>....</w:t>
      </w:r>
    </w:p>
    <w:p w:rsidR="00456103" w:rsidRPr="005A2FA0" w:rsidRDefault="00456103" w:rsidP="00456103">
      <w:pPr>
        <w:jc w:val="center"/>
        <w:rPr>
          <w:bCs/>
        </w:rPr>
      </w:pPr>
    </w:p>
    <w:p w:rsidR="00456103" w:rsidRPr="005A2FA0" w:rsidRDefault="00456103">
      <w:pPr>
        <w:rPr>
          <w:bCs/>
        </w:rPr>
      </w:pPr>
      <w:r w:rsidRPr="005A2FA0">
        <w:rPr>
          <w:bCs/>
        </w:rPr>
        <w:t xml:space="preserve"> </w:t>
      </w:r>
    </w:p>
    <w:sectPr w:rsidR="00456103" w:rsidRPr="005A2FA0" w:rsidSect="00A1395D">
      <w:footerReference w:type="default" r:id="rId6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1C2D" w:rsidRDefault="00C33D62">
      <w:r>
        <w:separator/>
      </w:r>
    </w:p>
  </w:endnote>
  <w:endnote w:type="continuationSeparator" w:id="0">
    <w:p w:rsidR="00461C2D" w:rsidRDefault="00C3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395D" w:rsidRDefault="00456103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1395D" w:rsidRDefault="0042374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1C2D" w:rsidRDefault="00C33D62">
      <w:r>
        <w:separator/>
      </w:r>
    </w:p>
  </w:footnote>
  <w:footnote w:type="continuationSeparator" w:id="0">
    <w:p w:rsidR="00461C2D" w:rsidRDefault="00C33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03"/>
    <w:rsid w:val="0007648B"/>
    <w:rsid w:val="000959C2"/>
    <w:rsid w:val="001D0FE8"/>
    <w:rsid w:val="0026761F"/>
    <w:rsid w:val="003E6C3B"/>
    <w:rsid w:val="00456103"/>
    <w:rsid w:val="00461C2D"/>
    <w:rsid w:val="005A2FA0"/>
    <w:rsid w:val="007A4485"/>
    <w:rsid w:val="007B1C76"/>
    <w:rsid w:val="009373E3"/>
    <w:rsid w:val="009C369B"/>
    <w:rsid w:val="00A91E08"/>
    <w:rsid w:val="00AB37C6"/>
    <w:rsid w:val="00AE3D78"/>
    <w:rsid w:val="00B223C6"/>
    <w:rsid w:val="00C33D62"/>
    <w:rsid w:val="00C51A32"/>
    <w:rsid w:val="00CF11CE"/>
    <w:rsid w:val="00D368D1"/>
    <w:rsid w:val="00D67941"/>
    <w:rsid w:val="00E37CDF"/>
    <w:rsid w:val="00E42376"/>
    <w:rsid w:val="00F32716"/>
    <w:rsid w:val="00FC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1A6AA"/>
  <w15:chartTrackingRefBased/>
  <w15:docId w15:val="{501ECD0A-8793-489F-98B7-5B7ABD00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456103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5610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1575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Botan</dc:creator>
  <cp:keywords/>
  <dc:description/>
  <cp:lastModifiedBy>CGT CGT</cp:lastModifiedBy>
  <cp:revision>24</cp:revision>
  <dcterms:created xsi:type="dcterms:W3CDTF">2020-11-09T08:12:00Z</dcterms:created>
  <dcterms:modified xsi:type="dcterms:W3CDTF">2020-11-18T16:06:00Z</dcterms:modified>
</cp:coreProperties>
</file>