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1B9" w:rsidRPr="005B262B" w:rsidRDefault="001331B9" w:rsidP="005B262B">
      <w:pPr>
        <w:spacing w:after="0" w:line="240" w:lineRule="auto"/>
        <w:ind w:left="-90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Cod ECLI    ECLI:RO:</w:t>
      </w:r>
      <w:r w:rsidR="001F2120">
        <w:rPr>
          <w:rFonts w:ascii="Times New Roman" w:eastAsia="Times New Roman" w:hAnsi="Times New Roman" w:cs="Times New Roman"/>
          <w:sz w:val="24"/>
          <w:szCs w:val="24"/>
          <w:lang w:eastAsia="ro-RO"/>
        </w:rPr>
        <w:t>………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>R O M A N I A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CURTEA DE APEL </w:t>
      </w:r>
      <w:r w:rsidR="00E1546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.......</w:t>
      </w: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- SECŢIA </w:t>
      </w:r>
      <w:r w:rsidR="00E1546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…….</w:t>
      </w:r>
    </w:p>
    <w:p w:rsidR="001331B9" w:rsidRPr="005B262B" w:rsidRDefault="001331B9" w:rsidP="005B262B">
      <w:pPr>
        <w:keepNext/>
        <w:spacing w:after="0" w:line="240" w:lineRule="auto"/>
        <w:ind w:left="-900" w:firstLine="540"/>
        <w:contextualSpacing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</w:pPr>
    </w:p>
    <w:p w:rsidR="001331B9" w:rsidRPr="005B262B" w:rsidRDefault="001331B9" w:rsidP="005B262B">
      <w:pPr>
        <w:keepNext/>
        <w:spacing w:after="0" w:line="240" w:lineRule="auto"/>
        <w:ind w:left="-900" w:firstLine="540"/>
        <w:contextualSpacing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 xml:space="preserve">DOSAR NR. </w:t>
      </w:r>
      <w:r w:rsidR="00E15460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>………..</w:t>
      </w:r>
      <w:r w:rsidRPr="005B262B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 xml:space="preserve"> </w:t>
      </w:r>
    </w:p>
    <w:p w:rsidR="001331B9" w:rsidRPr="005B262B" w:rsidRDefault="001331B9" w:rsidP="005B262B">
      <w:pPr>
        <w:keepNext/>
        <w:spacing w:after="0" w:line="240" w:lineRule="auto"/>
        <w:ind w:left="-900" w:firstLine="540"/>
        <w:contextualSpacing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</w:pPr>
    </w:p>
    <w:p w:rsidR="001331B9" w:rsidRPr="005B262B" w:rsidRDefault="001331B9" w:rsidP="005B262B">
      <w:pPr>
        <w:keepNext/>
        <w:spacing w:after="0" w:line="240" w:lineRule="auto"/>
        <w:ind w:left="-900" w:firstLine="540"/>
        <w:contextualSpacing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 xml:space="preserve">DECIZIA PENALĂ NR. </w:t>
      </w:r>
      <w:r w:rsidR="00E15460">
        <w:rPr>
          <w:rFonts w:ascii="Times New Roman" w:eastAsia="Calibri" w:hAnsi="Times New Roman" w:cs="Times New Roman"/>
          <w:b/>
          <w:bCs/>
          <w:sz w:val="24"/>
          <w:szCs w:val="24"/>
          <w:lang w:eastAsia="ro-RO"/>
        </w:rPr>
        <w:t>……</w:t>
      </w:r>
    </w:p>
    <w:p w:rsidR="001331B9" w:rsidRPr="005B262B" w:rsidRDefault="001331B9" w:rsidP="005B262B">
      <w:pPr>
        <w:keepNext/>
        <w:spacing w:after="0" w:line="240" w:lineRule="auto"/>
        <w:ind w:left="-900" w:firstLine="540"/>
        <w:contextualSpacing/>
        <w:jc w:val="center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o-RO"/>
        </w:rPr>
      </w:pPr>
      <w:proofErr w:type="spellStart"/>
      <w:r w:rsidRPr="005B262B">
        <w:rPr>
          <w:rFonts w:ascii="Times New Roman" w:eastAsia="Calibri" w:hAnsi="Times New Roman" w:cs="Times New Roman"/>
          <w:bCs/>
          <w:sz w:val="24"/>
          <w:szCs w:val="24"/>
          <w:lang w:eastAsia="ro-RO"/>
        </w:rPr>
        <w:t>Şedinţa</w:t>
      </w:r>
      <w:proofErr w:type="spellEnd"/>
      <w:r w:rsidRPr="005B262B">
        <w:rPr>
          <w:rFonts w:ascii="Times New Roman" w:eastAsia="Calibri" w:hAnsi="Times New Roman" w:cs="Times New Roman"/>
          <w:bCs/>
          <w:sz w:val="24"/>
          <w:szCs w:val="24"/>
          <w:lang w:eastAsia="ro-RO"/>
        </w:rPr>
        <w:t xml:space="preserve"> publică din </w:t>
      </w:r>
      <w:r w:rsidR="00E15460">
        <w:rPr>
          <w:rFonts w:ascii="Times New Roman" w:eastAsia="Calibri" w:hAnsi="Times New Roman" w:cs="Times New Roman"/>
          <w:bCs/>
          <w:sz w:val="24"/>
          <w:szCs w:val="24"/>
          <w:lang w:eastAsia="ro-RO"/>
        </w:rPr>
        <w:t>……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Curtea constituită din: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PREŞEDINTE – </w:t>
      </w:r>
      <w:r w:rsidR="00E154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J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JUDECĂTOR – </w:t>
      </w:r>
      <w:r w:rsidR="00E154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A1001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 xml:space="preserve">GREFIER – </w:t>
      </w:r>
      <w:r w:rsidR="00E154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o-RO"/>
        </w:rPr>
        <w:t>G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Ministerul Public – Parchetul de pe lângă Curtea de Apel </w:t>
      </w:r>
      <w:r w:rsidR="00E1546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.......</w:t>
      </w: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a fost reprezentat de procuror </w:t>
      </w:r>
      <w:r w:rsidR="00E1546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</w:t>
      </w: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Pe rol se află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soluţionarea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cauzei penale având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ca obiect apelul declarat de inculpatul </w:t>
      </w:r>
      <w:r w:rsidR="00E15460">
        <w:rPr>
          <w:rFonts w:ascii="Times New Roman" w:eastAsia="Batang" w:hAnsi="Times New Roman" w:cs="Times New Roman"/>
          <w:b/>
          <w:sz w:val="24"/>
          <w:szCs w:val="24"/>
          <w:lang w:eastAsia="ro-RO"/>
        </w:rPr>
        <w:t xml:space="preserve">I 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împotriva 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sentinţei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penale nr. </w:t>
      </w:r>
      <w:r w:rsidR="00E15460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  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pronunţată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de Tribunalul </w:t>
      </w:r>
      <w:r w:rsidR="00E15460">
        <w:rPr>
          <w:rFonts w:ascii="Times New Roman" w:eastAsia="Batang" w:hAnsi="Times New Roman" w:cs="Times New Roman"/>
          <w:sz w:val="24"/>
          <w:szCs w:val="24"/>
          <w:lang w:eastAsia="ro-RO"/>
        </w:rPr>
        <w:t>.......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-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secţia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r w:rsidR="00E15460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….  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în dosarul nr</w:t>
      </w:r>
      <w:r w:rsidR="00E15460">
        <w:rPr>
          <w:rFonts w:ascii="Times New Roman" w:eastAsia="Batang" w:hAnsi="Times New Roman" w:cs="Times New Roman"/>
          <w:sz w:val="24"/>
          <w:szCs w:val="24"/>
          <w:lang w:eastAsia="ro-RO"/>
        </w:rPr>
        <w:t>….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apelul nominal făcut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şedinţă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publică a răspuns apelantul-inculpat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în stare de arest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asistat de apărător desemnat din oficiu avocat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delegaţie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fila nr. 10 din dosar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apărător ales avocat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A1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delegaţie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 fila nr. 18 din dosar, lipsind intimatul-parte civilă Spitalul Clinic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Urgenţă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....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Procedura de citare este legal îndeplinită.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S-a făcut referatul cauzei de către grefierul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şedinţă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, după care: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ales al apelantului-inculpat </w:t>
      </w:r>
      <w:r w:rsidR="00E1546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="0016692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depune la dosar motivele de apel.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desemnat din oficiu al apelantului-inculpat </w:t>
      </w:r>
      <w:r w:rsidR="00E1546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="0016692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solicită să se ia act de încetarea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delegaţiei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sale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acordarea onorariului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parţial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Apelantul-inculpat </w:t>
      </w:r>
      <w:r w:rsidR="0016692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interpelarea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instanţei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arată că nu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doreşte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să dea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Curţii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Apel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menţine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depoziţiile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date în cursul procesului penal.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Nefiind cereri prealabile de formulat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excepţii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invocat, Curtea acordă cuvântul în dezbateri.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ales al apelantului-inculpat </w:t>
      </w:r>
      <w:r w:rsidR="00E15460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="0016692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consideră 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instanţa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fond nu a făcut o apreciere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circumstanţelor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personale ale inculpatului prevăzute de art. 74 lit. e, f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g Cod penal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putea să aplice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circumstanţele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prevăzute de art. 75 alin. 1 lit.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alin. 2 lit.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b Cod penal.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Menţionează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apelul vizează strict reindividualizarea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redozarea pedepsei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, în opinia sa, scuza apărării învederată de apărare trebuia avută în vedere întrucât la filele 86-92 se află un raport de expertiză medico-legală care este elocvent pentru ceea ce s-a întâmplat cu adevărat.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Inculpatul s-a prevalat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dispoziţiile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procedurii simplificate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potrivit concluziilor raportului de expertiză medico-legală, consideră 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instanţa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poate să facă aplicarea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circumstanţelor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atenuante anterior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să reducă pedeapsa până la minimul special prevăzut de lege, dându-i astfel posibilitatea de a se reintegra în societate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familia sa.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Reprezentantul Ministerului Public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solicită respingerea apelului, apreciind 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atenuantă a provocării nu este incidentă în cauză,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instanţa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motivând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sentinţa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sensul că din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luate în cauză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reieşit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în seara respectivă nu a existat nici un fel de schimb de replici, nici un conflict între inculpat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victima sa.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Cu privire la cuantumul pedepsei, arată că acesta este deja orientat spre minim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având în vedere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circumstanţele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reale, consideră că este un cuantum de pedeapsă suficient care va duce la îndreptarea inculpatului.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Situaţia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dosar este una complicată dar crima pe care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săvârşit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-o este una atroce iar inculpatul trebuie să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asume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consecinţele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faptelor sale, împreună cu tratamentul medical pe care trebuie să îl urmeze.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Apelantul-inculpat </w:t>
      </w:r>
      <w:r w:rsidR="00166924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având ultimul cuvânt, arată că regretă, că are </w:t>
      </w:r>
      <w:r w:rsidR="000F5901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ani, că vrea să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întemeieze o familie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solicită aplicarea unei pedepse mai mici.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CURTEA,</w:t>
      </w:r>
    </w:p>
    <w:p w:rsidR="005B262B" w:rsidRPr="005B262B" w:rsidRDefault="005B262B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deliberând asupra apelului, constată următoarele: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sentinţa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penală nr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pronunţată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Tribunalul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–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Secţia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în baza art. 188 alin. 1) C.p. rap. la art. 199 alin. 1) C.p., art.396 alin. 10)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 fost condamnat inculpatul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la pedeapsa închisorii de 9 ani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6 luni, pentru comiterea infracțiunii de omor.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67 alin. 2) C.p. rap. la art. 66 alin. 1) lit. a), b)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h) C.p., s-a interzis inculpatului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 pedeapsă complementară, pe durata a 4 ani de la executarea sau considerarea ca executată a pedepsei principale de 9 ani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6 luni închisoare, exercițiul drepturilor de a fi ales în autoritățile publice sau în orice alte funcții publice, de a ocupa o funcție ce implică exercițiul autorității de stat,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deţine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purta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folosi orice categorie de arme.</w:t>
      </w:r>
    </w:p>
    <w:p w:rsidR="001331B9" w:rsidRPr="005B262B" w:rsidRDefault="001331B9" w:rsidP="005B262B">
      <w:pPr>
        <w:autoSpaceDE w:val="0"/>
        <w:autoSpaceDN w:val="0"/>
        <w:adjustRightInd w:val="0"/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65 alin. 1) </w:t>
      </w:r>
      <w:r w:rsidRPr="005B262B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 xml:space="preserve">raportat la art.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66 alin. 1) lit. a), b)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h) </w:t>
      </w:r>
      <w:r w:rsidRPr="005B262B">
        <w:rPr>
          <w:rFonts w:ascii="Times New Roman" w:eastAsia="Times New Roman" w:hAnsi="Times New Roman" w:cs="Times New Roman"/>
          <w:iCs/>
          <w:sz w:val="24"/>
          <w:szCs w:val="24"/>
          <w:lang w:eastAsia="ro-RO"/>
        </w:rPr>
        <w:t xml:space="preserve">C.p.,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s-a interzis inculpatului ca pedeapsă accesorie exercitarea drepturilor de a fi ales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publice sau în orice alte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funcţii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publice, de a ocupa o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funcţie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implică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exerciţiul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stat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 alege,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deţine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purta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folosi orice categorie de arme de la rămânerea definitivă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sentinţei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până la executarea sau considerarea ca executată a pedepsei principale.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399 alin. 1) lit. b)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a fost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menţinută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măsura arestului preventiv luată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inculpat.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404 alin. 4) lit. a)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rap. la art. </w:t>
      </w:r>
      <w:smartTag w:uri="urn:schemas-microsoft-com:office:smarttags" w:element="metricconverter">
        <w:smartTagPr>
          <w:attr w:name="ProductID" w:val="72 C"/>
        </w:smartTagPr>
        <w:r w:rsidRPr="005B262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72 C</w:t>
        </w:r>
      </w:smartTag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.p. s-a dedus din pedeapsa aplicată durata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reţinerii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arestului preventiv de la 30.07.2015 la zi.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397 alin. 1)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admisă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acţiunea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civilă formulată de partea civilă Spitalul Clinic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Urgenţă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„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....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 împotriva inculpatului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obligat inculpatul la plata către partea civilă a sumei de 4231,54 lei, cu titlu de despăgubiri civile.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404 alin. 4) lit. d)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rap. la art. </w:t>
      </w:r>
      <w:smartTag w:uri="urn:schemas-microsoft-com:office:smarttags" w:element="metricconverter">
        <w:smartTagPr>
          <w:attr w:name="ProductID" w:val="109 C"/>
        </w:smartTagPr>
        <w:r w:rsidRPr="005B262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109 C</w:t>
        </w:r>
      </w:smartTag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.p., s-a dispus luarea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inculpat a măsurii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siguranţă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obligării la tratament medical.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404 alin. 4) lit. d)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rap. la art. 112 alin. 3) C.p., s-a confiscat de la inculpat suma de 10 lei reprezentând contravaloarea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cuţitului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folosit la comiterea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infracţiunii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omor.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404 alin. 4) lit. f)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s-a restituit numitei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folosit la comiterea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infracţiunii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baza art. 7 alin. 1) din Legea nr. 76/2008, s-a dispus prelevarea de probe biologice de la inculpat, la momentul rămânerii definitive a prezentei, în </w:t>
      </w:r>
      <w:r w:rsidRPr="005B262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vederea introducerii profilului genetic în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Pr="005B262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Sistemului </w:t>
      </w:r>
      <w:proofErr w:type="spellStart"/>
      <w:r w:rsidRPr="005B262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Naţional</w:t>
      </w:r>
      <w:proofErr w:type="spellEnd"/>
      <w:r w:rsidRPr="005B262B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 de Date Genetice Judiciare.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baza art. 274 alin. 1)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 a fost obligat inculpatul la plata a 2000 lei, cu titlu de cheltuieli judiciare datorate statului.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o-RO"/>
        </w:rPr>
        <w:t>Tribunalul</w:t>
      </w:r>
      <w:r w:rsidRPr="005B262B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a reținut următoarea situație de fapt: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seara zilei de 29.07.2015, în urma unui conflict spontan, inculpatul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în timp ce se afla în apartamentul cu nr.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sectorul </w:t>
      </w:r>
      <w:r w:rsidR="00F648A2">
        <w:rPr>
          <w:rFonts w:ascii="Times New Roman" w:eastAsia="Times New Roman" w:hAnsi="Times New Roman" w:cs="Times New Roman"/>
          <w:sz w:val="24"/>
          <w:szCs w:val="24"/>
          <w:lang w:eastAsia="ro-RO"/>
        </w:rPr>
        <w:t>…..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al mun.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.......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Şoseaua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bl.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sc.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et.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apartament în care locuia împreună cu mama sa, martora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tatăl său, victima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M1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i-a aplicat acestuia din urmă mai multe lovituri cu un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se afla în apartament. Inculpatul a sunat în scurt timp la numărul unic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urgenţă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112, în urma acestui apel, victima fiind transportată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internată la Spitalul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Crinic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Urgenţă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„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....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”. Victima a fost supusă de îndată unei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intervenţii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chirurgicale, neputându-se, însă, împiedica decesul acesteia, care a survenit în data de 01.08.2015.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Faptul că inculpatul este cel care a înjunghiat-o de mai multe ori cu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victimă rezultă din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recunoaştere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săvârşirii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faptei, dar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martorei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care se afla la rândul său în apartament, chiar dacă, potrivit propriilor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susţineri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martorei, nu ar fi perceput în mod nemijlocit cum s-a derulat incidentul, întrucât se afla într-o altă încăpere. Tribunalul a avut în vedere faptul că în intervalul care a trecut din momentul în care inculpatul a venit acasă în seara de 29.07.2015,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până când victima a venit, sângerând abundent, în încăperea în care se afla martora, nu rezultă că în incinta apartamentului s-ar mai fi aflat o altă persoană care să fi putut produce leziunile constatate pe corpul victimei.   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Folosirea unui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producerea leziunilor rezultă nu doar din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susţinerile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inculpatului, făcute atât cu ocazia audierii sale, dar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cadrul convorbirii telefonice purtate cu operatorii 112 („L-am înjunghiat, am băgat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' în el”; „În spate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piept”), dar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concluziile raportului medico-legal de necropsie nr.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15.10.2015 întocmit de Institutul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Naţional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Medicină Legală „Mina Minovici”. În plus, obiectul vulnerant a fost găsit la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locului, pe podeaua holului de la intrarea în apartament,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aspect care rezultă din adresa emisă de către Biroul Criminalistic al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Secţiei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Poliţie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planşa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fotografică aflată la dosar întocmită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aceeaşi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unitate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poliţie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ceea 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priveşte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posibilitatea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reţinerii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cauzei justificative a legitimei apărări, instanța de fond a apreciat că nu sunt întrunite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condiţiile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necesare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reţinerii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acesteia, având în vedere că, potrivit primelor precizări făcute de inculpat, consemnate în procesul-verbal de constatare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infracţiunii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flagrante, acesta nu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-a lovit tatăl pentru a înlătura un atac material, direct, imediat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injust din partea tatălui său, ci, dimpotrivă, el este cel care, iritat de o controversă avută cu tatăl său, l-a atacat primul pe acesta pe la spate, înfigându-i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spate, în zona omoplatului stâng, iar când acesta s-a întors spre el, l-a înjunghiat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piept (de fapt, în abdomen).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Situaţia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fapt a fost prezentată de inculpat cu anumite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diferenţe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ocazia audierii sale în calitate de suspect, acesta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menţionând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pentru prima dată că ar fi fost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ameninţat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moartea de către tatăl său. Oricum, nici potrivit acestei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victima nu ar fi fost cea care ar fi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iniţiat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sau s-ar fi aflat pe punctul de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iniţia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 atac direct, material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injust împotriva inculpatului, la care acesta din urmă să fi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reacţionat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ci doar ar fi intrat în cameră la inculpat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i-ar fi vorbit urât. Potrivit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inculpatului, în continuare, acesta s-a ridicat de pe pat, l-a împins pe tatăl său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l-a înjunghiat de două ori în spate cu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care îl luase anterior din bucătărie. După acest moment, tatăl său l-ar fi strâns de gât, spunându-i că îl omoară, moment în care inculpatul i-ar fi aplicat încă o lovitură cu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cuţitul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zona pieptului. Tribunalul a constatat că evenimentele în derularea prezentată de inculpat în această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chiar dacă ar fi conforme cu realitatea, nu permit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reţinerea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legitimei apărări,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absenţa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unui atac direct material imediat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injust din partea victimei, pretinsa strângere de gât a inculpatului de către victimă intervenind după ce victima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însăşi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fusese agresată de inculpat într-o modalitate care o putea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îndreptăţi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să se teamă pentru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viaţa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sa. În plus,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 nu se coroborează cu nici un alt mijloc de probă (chiar relatările inculpatului sunt diferite de la un moment procesual la altul,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comisiei care a efectuat expertiza medico-legală, acesta prezentând o nouă versiune,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sa fiind redată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conţinutul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raportului de expertiză), inculpatul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renunţând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implicit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instanţei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susţină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această versiune.</w:t>
      </w:r>
    </w:p>
    <w:p w:rsidR="001331B9" w:rsidRPr="005B262B" w:rsidRDefault="001331B9" w:rsidP="005B262B">
      <w:pPr>
        <w:tabs>
          <w:tab w:val="left" w:pos="423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Cert este că între inculpat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victimă a existat o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discuţie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contradictoriu, al cărui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conţinut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exact nu se poate stabili,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această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atât ale inculpatului, cât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ale martorei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M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fiind fluctuante. Astfel, dacă în data de 30.07.2015, martora a redat o serie de replici pe care ar fi auzit 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protagoniştii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incidentului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le-au adresat anterior înjunghierii victimei,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declaraţia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data de 01.09.2015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menţionat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că în seara incidentului nu a existat nicio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discuţie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contradictoriu, nicio ceartă între cei doi. În aceste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condiţii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necunoscându-se cu exactitate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conţinutul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convorbirii, nu se poate stabili nici dacă în cauză ar fi întrunite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condiţiile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provocării.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La individualizarea pedepsei,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Tribunalul a avut în vedere minimul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maximul prevăzute de lege,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dispoziţiile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art. 396 alin. 10)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., art. </w:t>
      </w:r>
      <w:smartTag w:uri="urn:schemas-microsoft-com:office:smarttags" w:element="metricconverter">
        <w:smartTagPr>
          <w:attr w:name="ProductID" w:val="199 C"/>
        </w:smartTagPr>
        <w:r w:rsidRPr="005B262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199 C</w:t>
        </w:r>
      </w:smartTag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.p., atitudinea inculpatului de constantă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recunoaştere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săvârşirii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faptei (în ciuda unor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fluctuaţii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ceea 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priveşte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împrejurările înjunghierii repetate a victimei), faptul că acesta a fost cel care a apelat cu promptitudine la numărul unic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urgenţă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112 pentru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anunţa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autorităţilor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comiterea faptei, lipsa unor antecedente penale care să ateste o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obişnuinţă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încălcarea normelor de drept penal care ocrotesc integritatea fizică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viaţa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persoanelor (potrivit datelor existente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evidenţa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operativă a Ministerului Afacerilor Interne, acestuia i-a fost aplicată în anul 2011 o amendă administrativă pentru o faptă care întrunea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condiţiile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laturii subiective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obiective ale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infracţiunii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abuz de încredere),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neînţelegerile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care persistau în raporturile dintre inculpat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victimă inclusiv din culpa victimei care, dată fiind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diferenţa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sub aspectul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maturităţii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era cea care ar fi trebuit să aibă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înţelepciunea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priceperea de a detensiona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situaţia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precum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starea psihică a inculpatului la momentul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desfăşurării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activităţii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infracţionale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expusă în întreaga sa complexitate în cuprinsul raportului de expertiză medico-legală psihiatrică întocmit în cauză, care a fundamentat concluzia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existenţei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unui discernământ diminuat, precum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pe cea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necesităţii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dispunerii unei măsuri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siguranţă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caracter medical. În raport de toate aceste criterii, Tribunalul a apreciat că o pedeapsă de 9 ani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6 luni închisoare este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proporţională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gravitatea faptei comise, dar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periculozitatea inculpatului.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Având în vedere concluziile raportului de primă expertiză medico-legală psihiatrică întocmit, mai exact recomandarea comisiei de a se aplica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privinţa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 măsura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siguranţă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cu caracter medical prev. de art. </w:t>
      </w:r>
      <w:smartTag w:uri="urn:schemas-microsoft-com:office:smarttags" w:element="metricconverter">
        <w:smartTagPr>
          <w:attr w:name="ProductID" w:val="109 C"/>
        </w:smartTagPr>
        <w:r w:rsidRPr="005B262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109 C</w:t>
        </w:r>
      </w:smartTag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.p., Tribunalul, în baza art. 404 alin. 4) lit. d)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C.p.p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rap. la art. </w:t>
      </w:r>
      <w:smartTag w:uri="urn:schemas-microsoft-com:office:smarttags" w:element="metricconverter">
        <w:smartTagPr>
          <w:attr w:name="ProductID" w:val="109 C"/>
        </w:smartTagPr>
        <w:r w:rsidRPr="005B262B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109 C</w:t>
        </w:r>
      </w:smartTag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.p., a dispus luarea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faţă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 inculpat a măsurii de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siguranţă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obligării la tratament medical.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Împotriva acestei hotărâri a formulat </w:t>
      </w:r>
      <w:r w:rsidRPr="005B262B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apel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 </w:t>
      </w:r>
      <w:r w:rsidR="0016692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, criticând-o pentru netemeinicie, sub aspectul indivi</w:t>
      </w:r>
      <w:r w:rsidR="0008133D">
        <w:rPr>
          <w:rFonts w:ascii="Times New Roman" w:eastAsia="Times New Roman" w:hAnsi="Times New Roman" w:cs="Times New Roman"/>
          <w:sz w:val="24"/>
          <w:szCs w:val="24"/>
          <w:lang w:eastAsia="ro-RO"/>
        </w:rPr>
        <w:t>dualizării judiciare a pedepsei</w:t>
      </w:r>
      <w:bookmarkStart w:id="0" w:name="_GoBack"/>
      <w:bookmarkEnd w:id="0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solicitând reținerea circumstanțelor atenuante prev. de art. 75 alin. 1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lit.a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și alin. 2 lit.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a,b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Codul penal, considerând că a fost provocat de persoana vătămată.</w:t>
      </w:r>
    </w:p>
    <w:p w:rsidR="001331B9" w:rsidRPr="005B262B" w:rsidRDefault="001331B9" w:rsidP="005B262B">
      <w:pPr>
        <w:tabs>
          <w:tab w:val="left" w:pos="0"/>
        </w:tabs>
        <w:spacing w:after="0" w:line="240" w:lineRule="auto"/>
        <w:ind w:left="-900" w:firstLine="54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o-RO"/>
        </w:rPr>
      </w:pPr>
      <w:r w:rsidRPr="005B262B">
        <w:rPr>
          <w:rFonts w:ascii="Times New Roman" w:eastAsia="Calibri" w:hAnsi="Times New Roman" w:cs="Times New Roman"/>
          <w:b/>
          <w:sz w:val="24"/>
          <w:szCs w:val="24"/>
          <w:lang w:eastAsia="ro-RO"/>
        </w:rPr>
        <w:t>Curtea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verificând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sentinţa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atacată, pe baza materialului probator aflat la dosar, în raport cu motivele de netemeinicie invocate de apelant, dar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din oficiu cu privire la toate celelalte aspecte de fapt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de drept deduse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judecăţii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- în conformitate cu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dispoziţiile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 art. 417 alin. (2) C.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proc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 xml:space="preserve">.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pen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  <w:lang w:eastAsia="ro-RO"/>
        </w:rPr>
        <w:t>. –</w:t>
      </w:r>
      <w:r w:rsidRPr="005B262B">
        <w:rPr>
          <w:rFonts w:ascii="Times New Roman" w:eastAsia="Calibri" w:hAnsi="Times New Roman" w:cs="Times New Roman"/>
          <w:b/>
          <w:sz w:val="24"/>
          <w:szCs w:val="24"/>
          <w:lang w:eastAsia="ro-RO"/>
        </w:rPr>
        <w:t>constată următoarele: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Materialul probator administrat în cauză a fost corect evaluat de către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</w:rPr>
        <w:t>instanţa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 de fond, sub aspectul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</w:rPr>
        <w:t>situaţiei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 de fapt, încadrării juridice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</w:rPr>
        <w:t>şi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5B262B">
        <w:rPr>
          <w:rFonts w:ascii="Times New Roman" w:eastAsia="Calibri" w:hAnsi="Times New Roman" w:cs="Times New Roman"/>
          <w:sz w:val="24"/>
          <w:szCs w:val="24"/>
        </w:rPr>
        <w:t>vinovăţiei</w:t>
      </w:r>
      <w:proofErr w:type="spellEnd"/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 inculpatului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I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,</w:t>
      </w:r>
      <w:r w:rsidRPr="005B262B">
        <w:rPr>
          <w:rFonts w:ascii="Times New Roman" w:eastAsia="Calibri" w:hAnsi="Times New Roman" w:cs="Times New Roman"/>
          <w:sz w:val="24"/>
          <w:szCs w:val="24"/>
        </w:rPr>
        <w:t xml:space="preserve"> rezultând indubitabil că acesta a săvârșit infracțiunea pentru care a fost trimis în judecată,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concluziile pertinente ale judecătorului fondului fiind pe larg expuse în considerentele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sentinţei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pe care Curtea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le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însuşeşte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întregime, nefiind astfel cazul de a le mai relua. </w:t>
      </w:r>
    </w:p>
    <w:p w:rsidR="001331B9" w:rsidRPr="005B262B" w:rsidRDefault="001331B9" w:rsidP="005B262B">
      <w:pPr>
        <w:tabs>
          <w:tab w:val="left" w:pos="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Nu se poate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reţine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circumstanţa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atenuată a provocării, prev. de art.75 alin. 1 lit. a Cod penal, neexistând probe care să confirme că victima a avut o conduită de natură a produce în psihicul inculpatului o stare de tensiune care să justifice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violenţa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deosebită cu care acesta 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acţionat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tabs>
          <w:tab w:val="left" w:pos="0"/>
        </w:tabs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final, fără a relua argumentele evocate în considerentele sentinței, instanța de apel se rezumă a sublinia că  pedeapsa aplicată în cauză satisface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cerinţele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unei juste individualizări, conform criteriilor prevăzute de art. 74 din </w:t>
      </w:r>
      <w:proofErr w:type="spellStart"/>
      <w:r w:rsidRPr="005B262B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C.pen</w:t>
      </w:r>
      <w:proofErr w:type="spellEnd"/>
      <w:r w:rsidRPr="005B262B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ținând seama de modalitatea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împrejurările în care a fost comisă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infracţiunea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rezultatul produs,  precum și de circumstanțele personale ale inculpatului, solicitarea acestuia de a se reține circumstanța atenuantă prev. de art. 75 alin. 2 din Codul penal  fiind vădit nefondată.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Față de considerentele expuse, în temeiul art.421 alin.1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lit.b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C. pr.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pen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.,Curtea va respinge</w:t>
      </w:r>
      <w:r w:rsidRPr="005B262B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ca nefondat apelul, iar în baza art. 275 alin.2 din Codul de procedură penală, va obliga apelantul inculpat la plata cheltuielilor judiciare avansate de stat.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Conform art. 422 din Codul de procedură penală, va computa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prevenţia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inculpatului, de la 30.07.2015 la zi.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PENTRU ACESTE  MOTIVE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ÎN NUMELE LEGII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DECIDE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Respinge ca nefondat apelul declarat de apelantul inculpat </w:t>
      </w:r>
      <w:proofErr w:type="spellStart"/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împotriva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sentinţei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penale nr. </w:t>
      </w:r>
      <w:r w:rsidR="00166924">
        <w:rPr>
          <w:rFonts w:ascii="Times New Roman" w:eastAsia="Batang" w:hAnsi="Times New Roman" w:cs="Times New Roman"/>
          <w:sz w:val="24"/>
          <w:szCs w:val="24"/>
          <w:lang w:eastAsia="ro-RO"/>
        </w:rPr>
        <w:t>..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pronunţată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de Tribunalul </w:t>
      </w:r>
      <w:r w:rsidR="00E15460">
        <w:rPr>
          <w:rFonts w:ascii="Times New Roman" w:eastAsia="Batang" w:hAnsi="Times New Roman" w:cs="Times New Roman"/>
          <w:sz w:val="24"/>
          <w:szCs w:val="24"/>
          <w:lang w:eastAsia="ro-RO"/>
        </w:rPr>
        <w:t>.......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-</w:t>
      </w:r>
      <w:proofErr w:type="spellStart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>secţia</w:t>
      </w:r>
      <w:proofErr w:type="spellEnd"/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Batang" w:hAnsi="Times New Roman" w:cs="Times New Roman"/>
          <w:sz w:val="24"/>
          <w:szCs w:val="24"/>
          <w:lang w:eastAsia="ro-RO"/>
        </w:rPr>
        <w:t>…</w:t>
      </w:r>
      <w:r w:rsidRPr="005B262B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în dosarul nr.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temeiul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dispoziţiilor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art. 72 din C.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pen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deduce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prevenţia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inculpatului de la 30.07.2015 la zi.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Obligă apelantul la plata sumei de 700 lei reprezentând cheltuieli judiciare către stat, din care onorariul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parţial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al apărătorului din oficiu, de 100 lei, se va avansa din fondul Ministerului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Justiţiei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Definitivă. 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Pronunţată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</w:t>
      </w:r>
      <w:proofErr w:type="spellStart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şedinţă</w:t>
      </w:r>
      <w:proofErr w:type="spellEnd"/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publică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PREŞEDINTE,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 JUDECĂTOR,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J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   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      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>A1001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GREFIER,</w:t>
      </w:r>
    </w:p>
    <w:p w:rsidR="001331B9" w:rsidRPr="005B262B" w:rsidRDefault="001331B9" w:rsidP="005B262B">
      <w:pPr>
        <w:spacing w:after="0" w:line="240" w:lineRule="auto"/>
        <w:ind w:left="-90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</w:t>
      </w:r>
      <w:r w:rsidRPr="005B262B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166924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</w:t>
      </w:r>
      <w:r w:rsidR="00E15460">
        <w:rPr>
          <w:rFonts w:ascii="Times New Roman" w:eastAsia="Times New Roman" w:hAnsi="Times New Roman" w:cs="Times New Roman"/>
          <w:sz w:val="24"/>
          <w:szCs w:val="24"/>
          <w:lang w:eastAsia="ro-RO"/>
        </w:rPr>
        <w:t>G</w:t>
      </w:r>
    </w:p>
    <w:p w:rsidR="001C1943" w:rsidRPr="005B262B" w:rsidRDefault="00166924" w:rsidP="005B262B">
      <w:pPr>
        <w:spacing w:after="0" w:line="240" w:lineRule="auto"/>
        <w:ind w:left="-900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o-RO"/>
        </w:rPr>
        <w:t>…….</w:t>
      </w:r>
    </w:p>
    <w:sectPr w:rsidR="001C1943" w:rsidRPr="005B262B" w:rsidSect="005B262B">
      <w:footerReference w:type="default" r:id="rId6"/>
      <w:pgSz w:w="11906" w:h="16838"/>
      <w:pgMar w:top="851" w:right="851" w:bottom="450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59F" w:rsidRDefault="0028659F">
      <w:pPr>
        <w:spacing w:after="0" w:line="240" w:lineRule="auto"/>
      </w:pPr>
      <w:r>
        <w:separator/>
      </w:r>
    </w:p>
  </w:endnote>
  <w:endnote w:type="continuationSeparator" w:id="0">
    <w:p w:rsidR="0028659F" w:rsidRDefault="0028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87F" w:rsidRDefault="001331B9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08133D">
      <w:rPr>
        <w:noProof/>
      </w:rPr>
      <w:t>4</w:t>
    </w:r>
    <w:r>
      <w:fldChar w:fldCharType="end"/>
    </w:r>
  </w:p>
  <w:p w:rsidR="004A687F" w:rsidRDefault="002865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59F" w:rsidRDefault="0028659F">
      <w:pPr>
        <w:spacing w:after="0" w:line="240" w:lineRule="auto"/>
      </w:pPr>
      <w:r>
        <w:separator/>
      </w:r>
    </w:p>
  </w:footnote>
  <w:footnote w:type="continuationSeparator" w:id="0">
    <w:p w:rsidR="0028659F" w:rsidRDefault="002865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AE"/>
    <w:rsid w:val="0008133D"/>
    <w:rsid w:val="000914D6"/>
    <w:rsid w:val="000F5901"/>
    <w:rsid w:val="001331B9"/>
    <w:rsid w:val="00166924"/>
    <w:rsid w:val="001C1943"/>
    <w:rsid w:val="001F2120"/>
    <w:rsid w:val="00230084"/>
    <w:rsid w:val="0028659F"/>
    <w:rsid w:val="002F76B0"/>
    <w:rsid w:val="003C31AE"/>
    <w:rsid w:val="004B53FC"/>
    <w:rsid w:val="005B262B"/>
    <w:rsid w:val="0070243D"/>
    <w:rsid w:val="00E15460"/>
    <w:rsid w:val="00F6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72C91A-5627-4DF5-A149-7208594E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1331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33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10</cp:revision>
  <dcterms:created xsi:type="dcterms:W3CDTF">2020-11-17T08:10:00Z</dcterms:created>
  <dcterms:modified xsi:type="dcterms:W3CDTF">2020-11-20T07:50:00Z</dcterms:modified>
</cp:coreProperties>
</file>