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C19" w:rsidRDefault="00943C19" w:rsidP="00943C19">
      <w:pPr>
        <w:ind w:left="-540" w:right="-514" w:firstLine="540"/>
        <w:contextualSpacing/>
      </w:pPr>
      <w:r w:rsidRPr="00943C19">
        <w:t xml:space="preserve">Cod ECLI    </w:t>
      </w:r>
      <w:r w:rsidR="00755D5E">
        <w:t>...</w:t>
      </w:r>
      <w:r w:rsidR="00355F84">
        <w:t xml:space="preserve">                                                                                  HOT.18</w:t>
      </w:r>
    </w:p>
    <w:p w:rsidR="00943C19" w:rsidRPr="00943C19" w:rsidRDefault="00943C19" w:rsidP="00943C19">
      <w:pPr>
        <w:ind w:left="-540" w:right="-514" w:firstLine="540"/>
        <w:contextualSpacing/>
      </w:pPr>
    </w:p>
    <w:p w:rsidR="00943C19" w:rsidRPr="00943C19" w:rsidRDefault="00755D5E" w:rsidP="00943C19">
      <w:pPr>
        <w:ind w:left="-540" w:right="-514" w:firstLine="540"/>
        <w:contextualSpacing/>
        <w:jc w:val="center"/>
        <w:rPr>
          <w:b/>
        </w:rPr>
      </w:pPr>
      <w:r>
        <w:rPr>
          <w:b/>
        </w:rPr>
        <w:t>R</w:t>
      </w:r>
      <w:r w:rsidR="00943C19" w:rsidRPr="00943C19">
        <w:rPr>
          <w:b/>
        </w:rPr>
        <w:t>O M Â N I A</w:t>
      </w:r>
    </w:p>
    <w:p w:rsidR="00943C19" w:rsidRPr="00943C19" w:rsidRDefault="00943C19" w:rsidP="00943C19">
      <w:pPr>
        <w:ind w:left="-540" w:right="-514" w:firstLine="540"/>
        <w:contextualSpacing/>
        <w:jc w:val="center"/>
        <w:rPr>
          <w:b/>
        </w:rPr>
      </w:pPr>
      <w:r w:rsidRPr="00943C19">
        <w:rPr>
          <w:b/>
        </w:rPr>
        <w:t xml:space="preserve">CURTEA DE APEL </w:t>
      </w:r>
      <w:r w:rsidR="00755D5E">
        <w:rPr>
          <w:b/>
        </w:rPr>
        <w:t>...</w:t>
      </w:r>
      <w:r w:rsidRPr="00943C19">
        <w:rPr>
          <w:b/>
        </w:rPr>
        <w:t xml:space="preserve">– SECŢIA </w:t>
      </w:r>
      <w:r w:rsidR="00355F84">
        <w:rPr>
          <w:b/>
        </w:rPr>
        <w:t>……………</w:t>
      </w:r>
    </w:p>
    <w:p w:rsidR="00943C19" w:rsidRPr="00943C19" w:rsidRDefault="00943C19" w:rsidP="00943C19">
      <w:pPr>
        <w:ind w:left="-540" w:right="-514" w:firstLine="540"/>
        <w:contextualSpacing/>
        <w:jc w:val="both"/>
        <w:rPr>
          <w:b/>
        </w:rPr>
      </w:pPr>
    </w:p>
    <w:p w:rsidR="00943C19" w:rsidRPr="00943C19" w:rsidRDefault="00943C19" w:rsidP="00755D5E">
      <w:pPr>
        <w:ind w:left="-540" w:right="-514" w:firstLine="540"/>
        <w:contextualSpacing/>
        <w:jc w:val="both"/>
        <w:rPr>
          <w:b/>
        </w:rPr>
      </w:pPr>
      <w:r w:rsidRPr="00943C19">
        <w:rPr>
          <w:b/>
        </w:rPr>
        <w:t xml:space="preserve">Dosar nr. </w:t>
      </w:r>
      <w:r w:rsidR="00755D5E">
        <w:rPr>
          <w:b/>
        </w:rPr>
        <w:t>...</w:t>
      </w:r>
    </w:p>
    <w:p w:rsidR="00943C19" w:rsidRPr="00943C19" w:rsidRDefault="00943C19" w:rsidP="00943C19">
      <w:pPr>
        <w:ind w:left="-540" w:right="-514" w:firstLine="540"/>
        <w:contextualSpacing/>
        <w:jc w:val="center"/>
        <w:rPr>
          <w:b/>
          <w:color w:val="000000"/>
        </w:rPr>
      </w:pPr>
      <w:r w:rsidRPr="00943C19">
        <w:rPr>
          <w:b/>
          <w:color w:val="000000"/>
        </w:rPr>
        <w:t xml:space="preserve">          Decizia penală nr. </w:t>
      </w:r>
      <w:r w:rsidR="00755D5E">
        <w:rPr>
          <w:b/>
          <w:color w:val="000000"/>
        </w:rPr>
        <w:t>...</w:t>
      </w:r>
    </w:p>
    <w:p w:rsidR="00943C19" w:rsidRPr="00943C19" w:rsidRDefault="00943C19" w:rsidP="00943C19">
      <w:pPr>
        <w:ind w:left="-540" w:right="-514" w:firstLine="540"/>
        <w:contextualSpacing/>
        <w:jc w:val="center"/>
        <w:rPr>
          <w:color w:val="000000"/>
        </w:rPr>
      </w:pPr>
      <w:r w:rsidRPr="00943C19">
        <w:rPr>
          <w:color w:val="000000"/>
        </w:rPr>
        <w:t xml:space="preserve">             Şedinţa publică din data de </w:t>
      </w:r>
      <w:r w:rsidR="00755D5E">
        <w:rPr>
          <w:color w:val="000000"/>
        </w:rPr>
        <w:t>...</w:t>
      </w:r>
    </w:p>
    <w:p w:rsidR="00943C19" w:rsidRPr="00943C19" w:rsidRDefault="00943C19" w:rsidP="00943C19">
      <w:pPr>
        <w:ind w:left="-540" w:right="-514" w:firstLine="540"/>
        <w:contextualSpacing/>
        <w:jc w:val="center"/>
        <w:rPr>
          <w:color w:val="000000"/>
        </w:rPr>
      </w:pPr>
      <w:r w:rsidRPr="00943C19">
        <w:rPr>
          <w:color w:val="000000"/>
        </w:rPr>
        <w:t xml:space="preserve">         Curtea compusă din:</w:t>
      </w:r>
    </w:p>
    <w:p w:rsidR="00943C19" w:rsidRPr="00943C19" w:rsidRDefault="00943C19" w:rsidP="00943C19">
      <w:pPr>
        <w:ind w:left="-540" w:right="-514" w:firstLine="540"/>
        <w:contextualSpacing/>
        <w:jc w:val="center"/>
        <w:rPr>
          <w:rFonts w:eastAsia="Calibri"/>
          <w:b/>
          <w:lang w:eastAsia="en-US"/>
        </w:rPr>
      </w:pPr>
      <w:r w:rsidRPr="00943C19">
        <w:rPr>
          <w:rFonts w:eastAsia="Calibri"/>
          <w:b/>
          <w:lang w:eastAsia="en-US"/>
        </w:rPr>
        <w:t xml:space="preserve">PREŞEDINTE: </w:t>
      </w:r>
      <w:r w:rsidR="00755D5E">
        <w:rPr>
          <w:rFonts w:eastAsia="Calibri"/>
          <w:b/>
          <w:lang w:eastAsia="en-US"/>
        </w:rPr>
        <w:t>A 1003</w:t>
      </w:r>
      <w:r w:rsidRPr="00943C19">
        <w:rPr>
          <w:rFonts w:eastAsia="Calibri"/>
          <w:b/>
          <w:lang w:eastAsia="en-US"/>
        </w:rPr>
        <w:t xml:space="preserve">  </w:t>
      </w:r>
    </w:p>
    <w:p w:rsidR="00943C19" w:rsidRPr="00943C19" w:rsidRDefault="00943C19" w:rsidP="00943C19">
      <w:pPr>
        <w:ind w:left="-540" w:right="-514" w:firstLine="540"/>
        <w:contextualSpacing/>
        <w:jc w:val="center"/>
        <w:rPr>
          <w:rFonts w:eastAsia="Calibri"/>
          <w:b/>
          <w:lang w:eastAsia="en-US"/>
        </w:rPr>
      </w:pPr>
      <w:r w:rsidRPr="00943C19">
        <w:rPr>
          <w:rFonts w:eastAsia="Calibri"/>
          <w:b/>
          <w:lang w:eastAsia="en-US"/>
        </w:rPr>
        <w:t xml:space="preserve">JUDECĂTOR: </w:t>
      </w:r>
      <w:r w:rsidR="00755D5E">
        <w:rPr>
          <w:rFonts w:eastAsia="Calibri"/>
          <w:b/>
          <w:lang w:eastAsia="en-US"/>
        </w:rPr>
        <w:t>...</w:t>
      </w:r>
    </w:p>
    <w:p w:rsidR="00943C19" w:rsidRPr="00943C19" w:rsidRDefault="00943C19" w:rsidP="00943C19">
      <w:pPr>
        <w:ind w:left="-540" w:right="-514" w:firstLine="540"/>
        <w:contextualSpacing/>
        <w:jc w:val="center"/>
        <w:rPr>
          <w:rFonts w:eastAsia="Calibri"/>
          <w:lang w:eastAsia="en-US"/>
        </w:rPr>
      </w:pPr>
      <w:r w:rsidRPr="00943C19">
        <w:rPr>
          <w:rFonts w:eastAsia="Calibri"/>
          <w:lang w:eastAsia="en-US"/>
        </w:rPr>
        <w:t xml:space="preserve">GREFIER: </w:t>
      </w:r>
      <w:r w:rsidR="00755D5E">
        <w:rPr>
          <w:rFonts w:eastAsia="Calibri"/>
          <w:lang w:eastAsia="en-US"/>
        </w:rPr>
        <w:t>...</w:t>
      </w:r>
    </w:p>
    <w:p w:rsidR="00943C19" w:rsidRPr="00943C19" w:rsidRDefault="00943C19" w:rsidP="00943C19">
      <w:pPr>
        <w:ind w:left="-540" w:right="-514" w:firstLine="540"/>
        <w:contextualSpacing/>
        <w:jc w:val="both"/>
        <w:rPr>
          <w:color w:val="000000"/>
        </w:rPr>
      </w:pPr>
      <w:r w:rsidRPr="00943C19">
        <w:rPr>
          <w:color w:val="000000"/>
        </w:rPr>
        <w:t xml:space="preserve"> </w:t>
      </w:r>
    </w:p>
    <w:p w:rsidR="00943C19" w:rsidRPr="00943C19" w:rsidRDefault="00943C19" w:rsidP="00943C19">
      <w:pPr>
        <w:ind w:left="-540" w:right="-514" w:firstLine="540"/>
        <w:contextualSpacing/>
        <w:jc w:val="both"/>
        <w:rPr>
          <w:b/>
          <w:color w:val="000000"/>
        </w:rPr>
      </w:pPr>
      <w:r w:rsidRPr="00943C19">
        <w:rPr>
          <w:b/>
          <w:color w:val="000000"/>
        </w:rPr>
        <w:t xml:space="preserve">Ministerul Public - Parchetul de pe lângă Curtea de Apel </w:t>
      </w:r>
      <w:r w:rsidR="00755D5E">
        <w:rPr>
          <w:b/>
          <w:color w:val="000000"/>
        </w:rPr>
        <w:t>...</w:t>
      </w:r>
      <w:r w:rsidRPr="00943C19">
        <w:rPr>
          <w:b/>
          <w:color w:val="000000"/>
        </w:rPr>
        <w:t xml:space="preserve"> reprezentat de procuror  </w:t>
      </w:r>
      <w:r w:rsidR="00755D5E">
        <w:rPr>
          <w:b/>
          <w:color w:val="000000"/>
        </w:rPr>
        <w:t>...</w:t>
      </w:r>
    </w:p>
    <w:p w:rsidR="00943C19" w:rsidRPr="00943C19" w:rsidRDefault="00943C19" w:rsidP="00943C19">
      <w:pPr>
        <w:ind w:left="-540" w:right="-514" w:firstLine="540"/>
        <w:contextualSpacing/>
        <w:jc w:val="both"/>
        <w:rPr>
          <w:b/>
        </w:rPr>
      </w:pPr>
    </w:p>
    <w:p w:rsidR="00943C19" w:rsidRPr="00943C19" w:rsidRDefault="00943C19" w:rsidP="00943C19">
      <w:pPr>
        <w:ind w:left="-540" w:right="-514" w:firstLine="540"/>
        <w:contextualSpacing/>
        <w:jc w:val="both"/>
        <w:rPr>
          <w:rFonts w:eastAsia="Batang"/>
        </w:rPr>
      </w:pPr>
      <w:r w:rsidRPr="00943C19">
        <w:t>Pe rol se află soluţionarea cauzei penale având</w:t>
      </w:r>
      <w:r w:rsidRPr="00943C19">
        <w:rPr>
          <w:rFonts w:eastAsia="Batang"/>
        </w:rPr>
        <w:t xml:space="preserve"> ca obiect apelul, după recalificare, declarat de către </w:t>
      </w:r>
      <w:r w:rsidRPr="00943C19">
        <w:rPr>
          <w:rFonts w:eastAsia="Batang"/>
          <w:b/>
        </w:rPr>
        <w:t xml:space="preserve">petentul </w:t>
      </w:r>
      <w:r w:rsidR="00755D5E">
        <w:rPr>
          <w:rFonts w:eastAsia="Batang"/>
          <w:b/>
        </w:rPr>
        <w:t>P.</w:t>
      </w:r>
      <w:r w:rsidRPr="00943C19">
        <w:rPr>
          <w:rFonts w:eastAsia="Batang"/>
          <w:b/>
        </w:rPr>
        <w:t xml:space="preserve"> </w:t>
      </w:r>
      <w:r w:rsidRPr="00943C19">
        <w:rPr>
          <w:rFonts w:eastAsia="Batang"/>
        </w:rPr>
        <w:t xml:space="preserve">împotriva încheierii din data de </w:t>
      </w:r>
      <w:r w:rsidR="00755D5E">
        <w:rPr>
          <w:rFonts w:eastAsia="Batang"/>
        </w:rPr>
        <w:t>...</w:t>
      </w:r>
      <w:r w:rsidRPr="00943C19">
        <w:rPr>
          <w:rFonts w:eastAsia="Batang"/>
        </w:rPr>
        <w:t xml:space="preserve"> pronunţate de Curtea de Apel </w:t>
      </w:r>
      <w:r w:rsidR="00755D5E">
        <w:rPr>
          <w:rFonts w:eastAsia="Batang"/>
        </w:rPr>
        <w:t>...</w:t>
      </w:r>
      <w:r w:rsidRPr="00943C19">
        <w:rPr>
          <w:rFonts w:eastAsia="Batang"/>
        </w:rPr>
        <w:t xml:space="preserve"> – </w:t>
      </w:r>
      <w:proofErr w:type="spellStart"/>
      <w:r w:rsidRPr="00943C19">
        <w:rPr>
          <w:rFonts w:eastAsia="Batang"/>
        </w:rPr>
        <w:t>Secţia</w:t>
      </w:r>
      <w:proofErr w:type="spellEnd"/>
      <w:r w:rsidRPr="00943C19">
        <w:rPr>
          <w:rFonts w:eastAsia="Batang"/>
        </w:rPr>
        <w:t xml:space="preserve"> </w:t>
      </w:r>
      <w:r w:rsidR="00355F84">
        <w:rPr>
          <w:rFonts w:eastAsia="Batang"/>
        </w:rPr>
        <w:t>………</w:t>
      </w:r>
      <w:r w:rsidRPr="00943C19">
        <w:rPr>
          <w:rFonts w:eastAsia="Batang"/>
        </w:rPr>
        <w:t>, în dosarul nr.</w:t>
      </w:r>
      <w:r w:rsidRPr="00943C19">
        <w:t xml:space="preserve"> </w:t>
      </w:r>
      <w:r w:rsidR="00755D5E">
        <w:t>XXX</w:t>
      </w:r>
      <w:r w:rsidRPr="00943C19">
        <w:t>.</w:t>
      </w:r>
    </w:p>
    <w:p w:rsidR="00943C19" w:rsidRPr="00943C19" w:rsidRDefault="00943C19" w:rsidP="00943C19">
      <w:pPr>
        <w:ind w:left="-540" w:right="-514" w:firstLine="540"/>
        <w:contextualSpacing/>
        <w:jc w:val="both"/>
        <w:rPr>
          <w:rFonts w:eastAsia="Batang"/>
        </w:rPr>
      </w:pPr>
      <w:r w:rsidRPr="00943C19">
        <w:t xml:space="preserve">La apelul nominal făcut în şedinţă publică a răspuns petentul </w:t>
      </w:r>
      <w:r w:rsidR="00755D5E">
        <w:rPr>
          <w:rFonts w:eastAsia="Batang"/>
          <w:b/>
        </w:rPr>
        <w:t>P.</w:t>
      </w:r>
      <w:r w:rsidRPr="00943C19">
        <w:t>, personal.</w:t>
      </w:r>
    </w:p>
    <w:p w:rsidR="00943C19" w:rsidRPr="00943C19" w:rsidRDefault="00943C19" w:rsidP="00943C19">
      <w:pPr>
        <w:ind w:left="-540" w:right="-514" w:firstLine="540"/>
        <w:contextualSpacing/>
        <w:jc w:val="both"/>
      </w:pPr>
      <w:r w:rsidRPr="00943C19">
        <w:t>Procedura de citare este legal îndeplinită.</w:t>
      </w:r>
    </w:p>
    <w:p w:rsidR="00943C19" w:rsidRPr="00943C19" w:rsidRDefault="00943C19" w:rsidP="00943C19">
      <w:pPr>
        <w:ind w:left="-540" w:right="-514" w:firstLine="540"/>
        <w:contextualSpacing/>
        <w:jc w:val="both"/>
      </w:pPr>
      <w:r w:rsidRPr="00943C19">
        <w:t>S-a făcut referatul cauzei de către grefierul de şedinţă, după care:</w:t>
      </w:r>
    </w:p>
    <w:p w:rsidR="00943C19" w:rsidRPr="00943C19" w:rsidRDefault="00943C19" w:rsidP="00943C19">
      <w:pPr>
        <w:ind w:left="-540" w:right="-514" w:firstLine="540"/>
        <w:contextualSpacing/>
        <w:jc w:val="both"/>
      </w:pPr>
      <w:r w:rsidRPr="00943C19">
        <w:rPr>
          <w:b/>
          <w:i/>
        </w:rPr>
        <w:t>Reprezentantul Ministerului Public</w:t>
      </w:r>
      <w:r w:rsidRPr="00943C19">
        <w:t xml:space="preserve"> invocă excepţia necompetenţei soluţionării prezentei cauze de către Curtea de Apel </w:t>
      </w:r>
      <w:r w:rsidR="00755D5E">
        <w:t>....</w:t>
      </w:r>
      <w:r w:rsidRPr="00943C19">
        <w:t xml:space="preserve"> şi solicită declinarea prezentei cauze in favoarea Înaltei Curţii de Casaţie si Justiţie, apelul declarat în prezenta cauză vizând o soluţie pronunţată de către Curtea de Apel </w:t>
      </w:r>
      <w:r w:rsidR="00755D5E">
        <w:t>...</w:t>
      </w:r>
      <w:r w:rsidRPr="00943C19">
        <w:t xml:space="preserve">. </w:t>
      </w:r>
    </w:p>
    <w:p w:rsidR="00943C19" w:rsidRPr="00943C19" w:rsidRDefault="00943C19" w:rsidP="00943C19">
      <w:pPr>
        <w:ind w:left="-540" w:right="-514" w:firstLine="540"/>
        <w:contextualSpacing/>
        <w:jc w:val="both"/>
      </w:pPr>
      <w:r w:rsidRPr="00943C19">
        <w:rPr>
          <w:b/>
          <w:i/>
        </w:rPr>
        <w:t xml:space="preserve">Petentul </w:t>
      </w:r>
      <w:r w:rsidR="00755D5E">
        <w:rPr>
          <w:b/>
          <w:i/>
        </w:rPr>
        <w:t>P.</w:t>
      </w:r>
      <w:r w:rsidRPr="00943C19">
        <w:t xml:space="preserve"> arată că este de acord cu declinarea prezentei cauze. Totodată, solicită ca prezenta cauză să fie înaintată către Înalta Curte de Casaţie si Justiţie cât mai repede.</w:t>
      </w:r>
    </w:p>
    <w:p w:rsidR="00943C19" w:rsidRPr="00943C19" w:rsidRDefault="00943C19" w:rsidP="00943C19">
      <w:pPr>
        <w:tabs>
          <w:tab w:val="left" w:pos="0"/>
        </w:tabs>
        <w:ind w:left="-540" w:right="-514" w:firstLine="540"/>
        <w:contextualSpacing/>
        <w:jc w:val="both"/>
        <w:rPr>
          <w:rFonts w:eastAsia="Calibri"/>
        </w:rPr>
      </w:pPr>
      <w:r w:rsidRPr="00943C19">
        <w:rPr>
          <w:rFonts w:eastAsia="Calibri"/>
          <w:b/>
          <w:i/>
        </w:rPr>
        <w:t>Curtea</w:t>
      </w:r>
      <w:r w:rsidRPr="00943C19">
        <w:rPr>
          <w:rFonts w:eastAsia="Calibri"/>
        </w:rPr>
        <w:t xml:space="preserve"> declară dezbaterile închise şi reţine cauza în pronunţare.</w:t>
      </w:r>
    </w:p>
    <w:p w:rsidR="00943C19" w:rsidRPr="00943C19" w:rsidRDefault="00943C19" w:rsidP="00943C19">
      <w:pPr>
        <w:pStyle w:val="BodyText"/>
        <w:ind w:left="-540" w:right="-514" w:firstLine="540"/>
        <w:contextualSpacing/>
        <w:rPr>
          <w:rFonts w:ascii="Times New Roman" w:hAnsi="Times New Roman"/>
        </w:rPr>
      </w:pPr>
    </w:p>
    <w:p w:rsidR="00943C19" w:rsidRPr="00943C19" w:rsidRDefault="00943C19" w:rsidP="00943C19">
      <w:pPr>
        <w:ind w:left="-540" w:right="-514" w:firstLine="540"/>
        <w:contextualSpacing/>
        <w:jc w:val="center"/>
      </w:pPr>
      <w:r w:rsidRPr="00943C19">
        <w:rPr>
          <w:b/>
          <w:bCs/>
        </w:rPr>
        <w:t>C U R T E A</w:t>
      </w:r>
    </w:p>
    <w:p w:rsidR="00943C19" w:rsidRPr="00943C19" w:rsidRDefault="00943C19" w:rsidP="00943C19">
      <w:pPr>
        <w:ind w:left="-540" w:right="-514" w:firstLine="540"/>
        <w:contextualSpacing/>
      </w:pPr>
    </w:p>
    <w:p w:rsidR="00943C19" w:rsidRPr="00943C19" w:rsidRDefault="00943C19" w:rsidP="00943C19">
      <w:pPr>
        <w:ind w:left="-540" w:right="-514" w:firstLine="540"/>
        <w:contextualSpacing/>
      </w:pPr>
      <w:r w:rsidRPr="00943C19">
        <w:t>Asupra prezentului apel.</w:t>
      </w:r>
    </w:p>
    <w:p w:rsidR="00943C19" w:rsidRPr="00943C19" w:rsidRDefault="00943C19" w:rsidP="00943C19">
      <w:pPr>
        <w:ind w:left="-540" w:right="-514" w:firstLine="540"/>
        <w:contextualSpacing/>
        <w:jc w:val="both"/>
      </w:pPr>
      <w:r w:rsidRPr="00943C19">
        <w:t xml:space="preserve">La data de 3.12.2015, numitul </w:t>
      </w:r>
      <w:r w:rsidR="00755D5E">
        <w:t>P.</w:t>
      </w:r>
      <w:r w:rsidRPr="00943C19">
        <w:t xml:space="preserve"> a criticat încheierea judecătorului de cameră preliminară din data de 12.11.2015, pronunţată în dosarul nr. </w:t>
      </w:r>
      <w:r w:rsidR="00755D5E">
        <w:t>XXX</w:t>
      </w:r>
      <w:r w:rsidRPr="00943C19">
        <w:t xml:space="preserve"> al Curţii de  Apel </w:t>
      </w:r>
      <w:r w:rsidR="00755D5E">
        <w:t>...</w:t>
      </w:r>
      <w:r w:rsidRPr="00943C19">
        <w:t xml:space="preserve"> </w:t>
      </w:r>
      <w:proofErr w:type="spellStart"/>
      <w:r w:rsidRPr="00943C19">
        <w:t>Secţia</w:t>
      </w:r>
      <w:proofErr w:type="spellEnd"/>
      <w:r w:rsidRPr="00943C19">
        <w:t xml:space="preserve"> </w:t>
      </w:r>
      <w:r w:rsidR="00355F84">
        <w:t>…….</w:t>
      </w:r>
      <w:r w:rsidRPr="00943C19">
        <w:t xml:space="preserve">, prin care i s-a respins plângerea împotriva soluţiei de netrimitere în judecată, emisă prin ordonanţa nr. </w:t>
      </w:r>
      <w:r w:rsidR="00355F84">
        <w:t>…….</w:t>
      </w:r>
      <w:r w:rsidRPr="00943C19">
        <w:t xml:space="preserve"> din 17.07.2015 a Parchetului de pe lângă Curtea de Apel </w:t>
      </w:r>
      <w:r w:rsidR="00355F84">
        <w:t>.......</w:t>
      </w:r>
      <w:r w:rsidRPr="00943C19">
        <w:t>.</w:t>
      </w:r>
    </w:p>
    <w:p w:rsidR="00943C19" w:rsidRPr="00943C19" w:rsidRDefault="00943C19" w:rsidP="00943C19">
      <w:pPr>
        <w:ind w:left="-540" w:right="-514" w:firstLine="540"/>
        <w:contextualSpacing/>
        <w:jc w:val="both"/>
      </w:pPr>
      <w:r w:rsidRPr="00943C19">
        <w:t>Calea de atac declarată de către petent, intitulată „</w:t>
      </w:r>
      <w:r w:rsidRPr="00943C19">
        <w:rPr>
          <w:i/>
        </w:rPr>
        <w:t>revizuire”</w:t>
      </w:r>
      <w:r w:rsidRPr="00943C19">
        <w:t xml:space="preserve">, a fost înregistrată pe rolul Curţii de Apel </w:t>
      </w:r>
      <w:r w:rsidR="00755D5E">
        <w:t>...</w:t>
      </w:r>
      <w:r w:rsidRPr="00943C19">
        <w:t xml:space="preserve"> Secţia a II a penală, complet de cameră preliminară.</w:t>
      </w:r>
    </w:p>
    <w:p w:rsidR="00943C19" w:rsidRPr="00943C19" w:rsidRDefault="00943C19" w:rsidP="00943C19">
      <w:pPr>
        <w:tabs>
          <w:tab w:val="left" w:pos="0"/>
        </w:tabs>
        <w:ind w:left="-540" w:right="-514" w:firstLine="540"/>
        <w:contextualSpacing/>
        <w:jc w:val="both"/>
      </w:pPr>
      <w:r w:rsidRPr="00943C19">
        <w:t xml:space="preserve"> Cum în materie penală, căile de atac împotriva hotărârilor judecătoreşti pot fi exercitate în condiţiile strict prevăzute de normele de procedură şi pentru a  aprecia cu privire la legitimarea procesuală de a formula cale de atac împotriva hotărârii date în procedura prevăzută de art. 340 Cod proc.pen., judecătorul din oficiu, a recalificat calea de atac formulată de către petent drept apel, în  raport de exigenţele art.408 Cpp, cu referire la art.425</w:t>
      </w:r>
      <w:r w:rsidRPr="00943C19">
        <w:rPr>
          <w:vertAlign w:val="superscript"/>
        </w:rPr>
        <w:t>1</w:t>
      </w:r>
      <w:r w:rsidRPr="00943C19">
        <w:t xml:space="preserve"> alin.1 Cpp şi art.452 şi urm. Cpp.</w:t>
      </w:r>
    </w:p>
    <w:p w:rsidR="00943C19" w:rsidRPr="00943C19" w:rsidRDefault="00943C19" w:rsidP="00943C19">
      <w:pPr>
        <w:autoSpaceDE w:val="0"/>
        <w:autoSpaceDN w:val="0"/>
        <w:adjustRightInd w:val="0"/>
        <w:ind w:left="-540" w:right="-514" w:firstLine="540"/>
        <w:contextualSpacing/>
        <w:jc w:val="both"/>
      </w:pPr>
      <w:r w:rsidRPr="00943C19">
        <w:t xml:space="preserve"> S-a reținut, în acest sens, că  prin cererea petentului s-a criticat  hotărârea judecătorului de cameră preliminară si atâta vreme cât, revizuirea  şi contestaţia  ca si căi de atac sunt expres si limitativ prevăzute de lege, în conformitate  cu  prevederile art. 111 alin. 2 lit. a din Regulamentul de Ordine Interioară prezenta cauză  se impune a fi analizată de către un complet de apel.</w:t>
      </w:r>
    </w:p>
    <w:p w:rsidR="00943C19" w:rsidRPr="00943C19" w:rsidRDefault="00943C19" w:rsidP="00943C19">
      <w:pPr>
        <w:autoSpaceDE w:val="0"/>
        <w:autoSpaceDN w:val="0"/>
        <w:adjustRightInd w:val="0"/>
        <w:ind w:left="-540" w:right="-514" w:firstLine="540"/>
        <w:contextualSpacing/>
        <w:jc w:val="both"/>
      </w:pPr>
      <w:r w:rsidRPr="00943C19">
        <w:t xml:space="preserve">La termenul din 24.03.2016, în faţa instanţei de apel legal constituită,  reprezentantul Ministerului Public a invocat excepţia necompetenţei materiale de soluţionare a prezentei cauze de către Curtea de Apel </w:t>
      </w:r>
      <w:r w:rsidR="00EF4209">
        <w:t>...</w:t>
      </w:r>
      <w:r w:rsidRPr="00943C19">
        <w:t xml:space="preserve"> şi a solicitat declinarea acesteia in favoarea Înaltei Curţii de Casaţie si Justiţie, întrucât în cauză e vizată o soluţie pronunţată de către Curtea de Apel </w:t>
      </w:r>
      <w:r w:rsidR="00EF4209">
        <w:t>...</w:t>
      </w:r>
      <w:r w:rsidRPr="00943C19">
        <w:t>.</w:t>
      </w:r>
    </w:p>
    <w:p w:rsidR="00943C19" w:rsidRPr="00943C19" w:rsidRDefault="00943C19" w:rsidP="00943C19">
      <w:pPr>
        <w:autoSpaceDE w:val="0"/>
        <w:autoSpaceDN w:val="0"/>
        <w:adjustRightInd w:val="0"/>
        <w:ind w:left="-540" w:right="-514" w:firstLine="540"/>
        <w:contextualSpacing/>
        <w:jc w:val="both"/>
        <w:rPr>
          <w:rFonts w:eastAsia="Calibri"/>
          <w:lang w:eastAsia="en-US"/>
        </w:rPr>
      </w:pPr>
      <w:r w:rsidRPr="00943C19">
        <w:lastRenderedPageBreak/>
        <w:t xml:space="preserve">Analizând actele şi lucrările dosarului, în raport de excepţia invocată şi de exigenţele art. 40 alin. 2. teza I Cod proc.pen, Curtea constată excepţia fondată şi o va admite ca atare, întrucât, potrivit textului de lege invocat, </w:t>
      </w:r>
      <w:r w:rsidRPr="00943C19">
        <w:rPr>
          <w:rFonts w:eastAsia="Calibri"/>
          <w:i/>
          <w:lang w:eastAsia="en-US"/>
        </w:rPr>
        <w:t>Înalta Curte de Casaţie şi Justiţie judecă apelurile împotriva hotărârilor penale pronunţate în primă instanţă de curţile de apel.</w:t>
      </w:r>
    </w:p>
    <w:p w:rsidR="00943C19" w:rsidRPr="00943C19" w:rsidRDefault="00943C19" w:rsidP="00943C19">
      <w:pPr>
        <w:autoSpaceDE w:val="0"/>
        <w:autoSpaceDN w:val="0"/>
        <w:adjustRightInd w:val="0"/>
        <w:ind w:left="-540" w:right="-514" w:firstLine="540"/>
        <w:contextualSpacing/>
        <w:jc w:val="both"/>
      </w:pPr>
      <w:r w:rsidRPr="00943C19">
        <w:rPr>
          <w:rFonts w:eastAsia="Calibri"/>
          <w:lang w:eastAsia="en-US"/>
        </w:rPr>
        <w:t xml:space="preserve">Având în vedere cele expuse, în baza art. 50 Cod proc.pen, cu referire la art. 47 şi </w:t>
      </w:r>
      <w:r w:rsidRPr="00943C19">
        <w:t xml:space="preserve">40 alin. 2. teza I Cod proc.pen, Curtea va admite excepţia de necompetenţă materială a Curţii de Apel </w:t>
      </w:r>
      <w:r w:rsidR="00EF4209">
        <w:t>...</w:t>
      </w:r>
      <w:r w:rsidRPr="00943C19">
        <w:t xml:space="preserve"> şi va declina competenţa de soluţionare a apelului formulat de către petentul </w:t>
      </w:r>
      <w:r w:rsidR="00755D5E">
        <w:t>P.</w:t>
      </w:r>
      <w:r w:rsidRPr="00943C19">
        <w:t xml:space="preserve"> împotriva încheierii judecătorului de cameră preliminară din data de 12.11.2015, pronunţată în dosarul nr. </w:t>
      </w:r>
      <w:r w:rsidR="00755D5E">
        <w:t>XXX</w:t>
      </w:r>
      <w:r w:rsidRPr="00943C19">
        <w:t xml:space="preserve"> al Curţii de  Apel </w:t>
      </w:r>
      <w:r w:rsidR="00755D5E">
        <w:t>...</w:t>
      </w:r>
      <w:r w:rsidRPr="00943C19">
        <w:t xml:space="preserve"> Secţia a II a penală în favoarea Înaltei Curţi de Casaţie şi Justiţie.</w:t>
      </w:r>
    </w:p>
    <w:p w:rsidR="00943C19" w:rsidRPr="00943C19" w:rsidRDefault="00943C19" w:rsidP="00943C19">
      <w:pPr>
        <w:autoSpaceDE w:val="0"/>
        <w:autoSpaceDN w:val="0"/>
        <w:adjustRightInd w:val="0"/>
        <w:ind w:left="-540" w:right="-514" w:firstLine="540"/>
        <w:contextualSpacing/>
        <w:jc w:val="both"/>
      </w:pPr>
      <w:r w:rsidRPr="00943C19">
        <w:t>În baza art. 275 alin. 3 Cod proc.pen., cheltuielile judiciare vor rămâne în sarcina statului.</w:t>
      </w:r>
    </w:p>
    <w:p w:rsidR="00943C19" w:rsidRPr="00943C19" w:rsidRDefault="00943C19" w:rsidP="00943C19">
      <w:pPr>
        <w:ind w:left="-540" w:right="-514" w:firstLine="540"/>
        <w:contextualSpacing/>
        <w:jc w:val="center"/>
        <w:rPr>
          <w:b/>
          <w:color w:val="000000"/>
        </w:rPr>
      </w:pPr>
    </w:p>
    <w:p w:rsidR="00943C19" w:rsidRPr="00943C19" w:rsidRDefault="00943C19" w:rsidP="00943C19">
      <w:pPr>
        <w:ind w:left="-540" w:right="-514" w:firstLine="540"/>
        <w:contextualSpacing/>
        <w:jc w:val="center"/>
        <w:rPr>
          <w:b/>
          <w:color w:val="000000"/>
        </w:rPr>
      </w:pPr>
      <w:r w:rsidRPr="00943C19">
        <w:rPr>
          <w:b/>
          <w:color w:val="000000"/>
        </w:rPr>
        <w:t>PENTRU ACESTE MOTIVE</w:t>
      </w:r>
    </w:p>
    <w:p w:rsidR="00943C19" w:rsidRPr="00943C19" w:rsidRDefault="00943C19" w:rsidP="00943C19">
      <w:pPr>
        <w:ind w:left="-540" w:right="-514" w:firstLine="540"/>
        <w:contextualSpacing/>
        <w:jc w:val="center"/>
        <w:rPr>
          <w:b/>
          <w:color w:val="000000"/>
        </w:rPr>
      </w:pPr>
      <w:r w:rsidRPr="00943C19">
        <w:rPr>
          <w:b/>
          <w:color w:val="000000"/>
        </w:rPr>
        <w:t xml:space="preserve">ÎN NUMELE LEGII </w:t>
      </w:r>
    </w:p>
    <w:p w:rsidR="00943C19" w:rsidRPr="00943C19" w:rsidRDefault="00943C19" w:rsidP="00943C19">
      <w:pPr>
        <w:ind w:left="-540" w:right="-514" w:firstLine="540"/>
        <w:contextualSpacing/>
        <w:jc w:val="center"/>
        <w:rPr>
          <w:b/>
          <w:color w:val="000000"/>
        </w:rPr>
      </w:pPr>
      <w:r w:rsidRPr="00943C19">
        <w:rPr>
          <w:b/>
          <w:color w:val="000000"/>
        </w:rPr>
        <w:t>DECIDE:</w:t>
      </w:r>
    </w:p>
    <w:p w:rsidR="00943C19" w:rsidRPr="00943C19" w:rsidRDefault="00943C19" w:rsidP="00943C19">
      <w:pPr>
        <w:ind w:left="-540" w:right="-514" w:firstLine="540"/>
        <w:contextualSpacing/>
        <w:jc w:val="both"/>
      </w:pPr>
      <w:r w:rsidRPr="00943C19">
        <w:tab/>
      </w:r>
    </w:p>
    <w:p w:rsidR="00943C19" w:rsidRPr="00943C19" w:rsidRDefault="00943C19" w:rsidP="00943C19">
      <w:pPr>
        <w:autoSpaceDE w:val="0"/>
        <w:autoSpaceDN w:val="0"/>
        <w:adjustRightInd w:val="0"/>
        <w:ind w:left="-540" w:right="-514" w:firstLine="540"/>
        <w:contextualSpacing/>
        <w:jc w:val="both"/>
      </w:pPr>
      <w:r w:rsidRPr="00943C19">
        <w:rPr>
          <w:rFonts w:eastAsia="Calibri"/>
          <w:lang w:eastAsia="en-US"/>
        </w:rPr>
        <w:t xml:space="preserve">În baza art. 50 Cod proc.pen, cu referire la art. 47 şi </w:t>
      </w:r>
      <w:r w:rsidRPr="00943C19">
        <w:t xml:space="preserve">40 alin. 2. teza I Cod proc.pen, Curtea admite excepţia de necompetenţă materială a Curţii de Apel </w:t>
      </w:r>
      <w:r w:rsidR="00EF4209">
        <w:t>...</w:t>
      </w:r>
      <w:r w:rsidRPr="00943C19">
        <w:t>.</w:t>
      </w:r>
    </w:p>
    <w:p w:rsidR="00943C19" w:rsidRPr="00943C19" w:rsidRDefault="00943C19" w:rsidP="00943C19">
      <w:pPr>
        <w:autoSpaceDE w:val="0"/>
        <w:autoSpaceDN w:val="0"/>
        <w:adjustRightInd w:val="0"/>
        <w:ind w:left="-540" w:right="-514" w:firstLine="540"/>
        <w:contextualSpacing/>
        <w:jc w:val="both"/>
      </w:pPr>
      <w:r w:rsidRPr="00943C19">
        <w:t xml:space="preserve"> Declină  competenţa de soluţionare a apelului formulat de către petentul </w:t>
      </w:r>
      <w:r w:rsidR="00755D5E">
        <w:t>P.</w:t>
      </w:r>
      <w:r w:rsidRPr="00943C19">
        <w:t xml:space="preserve"> împotriva încheierii judecătorului de cameră preliminară din data de 12.11.2015, pronunţată în dosarul nr. </w:t>
      </w:r>
      <w:r w:rsidR="00755D5E">
        <w:t>XXX</w:t>
      </w:r>
      <w:r w:rsidRPr="00943C19">
        <w:t xml:space="preserve"> al Curţii de  Apel </w:t>
      </w:r>
      <w:r w:rsidR="00755D5E">
        <w:t>...</w:t>
      </w:r>
      <w:r w:rsidRPr="00943C19">
        <w:t xml:space="preserve"> </w:t>
      </w:r>
      <w:proofErr w:type="spellStart"/>
      <w:r w:rsidRPr="00943C19">
        <w:t>Secţia</w:t>
      </w:r>
      <w:proofErr w:type="spellEnd"/>
      <w:r w:rsidRPr="00943C19">
        <w:t xml:space="preserve"> </w:t>
      </w:r>
      <w:r w:rsidR="00355F84">
        <w:t>………</w:t>
      </w:r>
      <w:r w:rsidRPr="00943C19">
        <w:t xml:space="preserve"> în favoarea Înaltei Curţi de Casaţie şi Justiţie.</w:t>
      </w:r>
    </w:p>
    <w:p w:rsidR="00943C19" w:rsidRPr="00943C19" w:rsidRDefault="00943C19" w:rsidP="00943C19">
      <w:pPr>
        <w:autoSpaceDE w:val="0"/>
        <w:autoSpaceDN w:val="0"/>
        <w:adjustRightInd w:val="0"/>
        <w:ind w:left="-540" w:right="-514" w:firstLine="540"/>
        <w:contextualSpacing/>
        <w:jc w:val="both"/>
      </w:pPr>
      <w:r w:rsidRPr="00943C19">
        <w:t>În baza art. 275 alin. 3 Cod proc.pen., cheltuielile judiciare  rămân în sarcina statului.</w:t>
      </w:r>
    </w:p>
    <w:p w:rsidR="00943C19" w:rsidRPr="00943C19" w:rsidRDefault="00943C19" w:rsidP="00943C19">
      <w:pPr>
        <w:autoSpaceDE w:val="0"/>
        <w:autoSpaceDN w:val="0"/>
        <w:adjustRightInd w:val="0"/>
        <w:ind w:left="-540" w:right="-514" w:firstLine="540"/>
        <w:contextualSpacing/>
        <w:jc w:val="both"/>
      </w:pPr>
      <w:r w:rsidRPr="00943C19">
        <w:t>Fără cale de atac.</w:t>
      </w:r>
    </w:p>
    <w:p w:rsidR="00943C19" w:rsidRPr="00943C19" w:rsidRDefault="00943C19" w:rsidP="00943C19">
      <w:pPr>
        <w:autoSpaceDE w:val="0"/>
        <w:autoSpaceDN w:val="0"/>
        <w:adjustRightInd w:val="0"/>
        <w:ind w:left="-540" w:right="-514" w:firstLine="540"/>
        <w:contextualSpacing/>
        <w:jc w:val="both"/>
      </w:pPr>
      <w:r w:rsidRPr="00943C19">
        <w:t xml:space="preserve">Pronunţată în şedinţă publică, azi, </w:t>
      </w:r>
      <w:r w:rsidR="00EF4209">
        <w:t>...</w:t>
      </w:r>
    </w:p>
    <w:p w:rsidR="00943C19" w:rsidRPr="00EF4209" w:rsidRDefault="00943C19" w:rsidP="00943C19">
      <w:pPr>
        <w:ind w:left="-540" w:right="-514" w:firstLine="540"/>
        <w:contextualSpacing/>
        <w:jc w:val="both"/>
        <w:rPr>
          <w:lang w:eastAsia="en-US"/>
        </w:rPr>
      </w:pPr>
    </w:p>
    <w:p w:rsidR="00943C19" w:rsidRPr="00EF4209" w:rsidRDefault="00943C19" w:rsidP="00943C19">
      <w:pPr>
        <w:ind w:left="-540" w:right="-514" w:firstLine="540"/>
        <w:contextualSpacing/>
        <w:jc w:val="both"/>
        <w:rPr>
          <w:lang w:eastAsia="en-US"/>
        </w:rPr>
      </w:pPr>
    </w:p>
    <w:p w:rsidR="00943C19" w:rsidRPr="00943C19" w:rsidRDefault="00943C19" w:rsidP="00943C19">
      <w:pPr>
        <w:ind w:left="-540" w:right="-514" w:firstLine="540"/>
        <w:contextualSpacing/>
        <w:jc w:val="both"/>
        <w:rPr>
          <w:color w:val="000000"/>
        </w:rPr>
      </w:pPr>
      <w:r w:rsidRPr="00EF4209">
        <w:rPr>
          <w:lang w:eastAsia="en-US"/>
        </w:rPr>
        <w:tab/>
      </w:r>
      <w:r w:rsidRPr="00EF4209">
        <w:rPr>
          <w:rFonts w:eastAsia="Calibri"/>
          <w:color w:val="000000"/>
          <w:kern w:val="2"/>
          <w:lang w:eastAsia="en-US"/>
        </w:rPr>
        <w:t xml:space="preserve"> </w:t>
      </w:r>
      <w:r w:rsidRPr="00943C19">
        <w:rPr>
          <w:color w:val="000000"/>
        </w:rPr>
        <w:t>PREŞEDINTE,                                            JUDECĂTOR,</w:t>
      </w:r>
      <w:r w:rsidRPr="00943C19">
        <w:rPr>
          <w:color w:val="000000"/>
        </w:rPr>
        <w:tab/>
        <w:t xml:space="preserve">                       </w:t>
      </w:r>
    </w:p>
    <w:p w:rsidR="00943C19" w:rsidRPr="00943C19" w:rsidRDefault="00943C19" w:rsidP="00943C19">
      <w:pPr>
        <w:ind w:left="-540" w:right="-514" w:firstLine="540"/>
        <w:contextualSpacing/>
        <w:jc w:val="both"/>
        <w:rPr>
          <w:color w:val="000000"/>
        </w:rPr>
      </w:pPr>
      <w:r w:rsidRPr="00943C19">
        <w:rPr>
          <w:color w:val="000000"/>
        </w:rPr>
        <w:t xml:space="preserve">              </w:t>
      </w:r>
      <w:r w:rsidR="00755D5E">
        <w:rPr>
          <w:color w:val="000000"/>
        </w:rPr>
        <w:t>A 1003</w:t>
      </w:r>
      <w:r w:rsidRPr="00943C19">
        <w:rPr>
          <w:color w:val="000000"/>
        </w:rPr>
        <w:t xml:space="preserve">                                        </w:t>
      </w:r>
      <w:r w:rsidR="00EF4209">
        <w:rPr>
          <w:color w:val="000000"/>
        </w:rPr>
        <w:t>...</w:t>
      </w:r>
      <w:r w:rsidRPr="00943C19">
        <w:rPr>
          <w:color w:val="000000"/>
        </w:rPr>
        <w:t xml:space="preserve">        </w:t>
      </w:r>
    </w:p>
    <w:p w:rsidR="00943C19" w:rsidRPr="00943C19" w:rsidRDefault="00943C19" w:rsidP="00943C19">
      <w:pPr>
        <w:ind w:left="-540" w:right="-514" w:firstLine="540"/>
        <w:contextualSpacing/>
        <w:jc w:val="both"/>
        <w:rPr>
          <w:color w:val="000000"/>
        </w:rPr>
      </w:pPr>
      <w:r w:rsidRPr="00943C19">
        <w:rPr>
          <w:color w:val="000000"/>
        </w:rPr>
        <w:t xml:space="preserve">  </w:t>
      </w:r>
    </w:p>
    <w:p w:rsidR="00943C19" w:rsidRPr="00943C19" w:rsidRDefault="00943C19" w:rsidP="00943C19">
      <w:pPr>
        <w:ind w:left="-540" w:right="-514" w:firstLine="540"/>
        <w:contextualSpacing/>
        <w:jc w:val="both"/>
        <w:rPr>
          <w:color w:val="000000"/>
        </w:rPr>
      </w:pPr>
      <w:r w:rsidRPr="00943C19">
        <w:rPr>
          <w:color w:val="000000"/>
        </w:rPr>
        <w:t xml:space="preserve">                                                                                                      GREFIER,</w:t>
      </w:r>
    </w:p>
    <w:p w:rsidR="00943C19" w:rsidRPr="00943C19" w:rsidRDefault="00EF4209" w:rsidP="00943C19">
      <w:pPr>
        <w:ind w:left="-540" w:right="-514" w:firstLine="540"/>
        <w:contextualSpacing/>
        <w:jc w:val="both"/>
        <w:rPr>
          <w:color w:val="000000"/>
        </w:rPr>
      </w:pPr>
      <w:r>
        <w:rPr>
          <w:color w:val="000000"/>
        </w:rPr>
        <w:t>...</w:t>
      </w:r>
    </w:p>
    <w:p w:rsidR="00943C19" w:rsidRPr="00943C19" w:rsidRDefault="00943C19" w:rsidP="00943C19">
      <w:pPr>
        <w:ind w:left="-540" w:right="-514" w:firstLine="540"/>
        <w:contextualSpacing/>
        <w:jc w:val="both"/>
        <w:rPr>
          <w:color w:val="000000"/>
        </w:rPr>
      </w:pPr>
    </w:p>
    <w:p w:rsidR="00943C19" w:rsidRPr="00943C19" w:rsidRDefault="00943C19" w:rsidP="00943C19">
      <w:pPr>
        <w:ind w:left="-540" w:right="-514" w:firstLine="540"/>
        <w:contextualSpacing/>
        <w:jc w:val="both"/>
        <w:rPr>
          <w:color w:val="000000"/>
        </w:rPr>
      </w:pPr>
    </w:p>
    <w:p w:rsidR="00943C19" w:rsidRPr="00943C19" w:rsidRDefault="00943C19" w:rsidP="00943C19">
      <w:pPr>
        <w:ind w:left="-540" w:right="-514" w:firstLine="540"/>
        <w:contextualSpacing/>
        <w:jc w:val="both"/>
        <w:rPr>
          <w:color w:val="000000"/>
        </w:rPr>
      </w:pPr>
    </w:p>
    <w:p w:rsidR="00943C19" w:rsidRPr="00943C19" w:rsidRDefault="00943C19" w:rsidP="00943C19">
      <w:pPr>
        <w:ind w:left="-540" w:right="-514" w:firstLine="540"/>
        <w:contextualSpacing/>
        <w:jc w:val="both"/>
        <w:rPr>
          <w:color w:val="000000"/>
        </w:rPr>
      </w:pPr>
    </w:p>
    <w:p w:rsidR="00943C19" w:rsidRPr="00943C19" w:rsidRDefault="00943C19" w:rsidP="00943C19">
      <w:pPr>
        <w:ind w:left="-540" w:right="-514" w:firstLine="540"/>
        <w:contextualSpacing/>
        <w:jc w:val="both"/>
        <w:rPr>
          <w:color w:val="000000"/>
          <w:sz w:val="16"/>
          <w:szCs w:val="16"/>
        </w:rPr>
      </w:pPr>
      <w:r w:rsidRPr="00943C19">
        <w:rPr>
          <w:color w:val="000000"/>
          <w:sz w:val="16"/>
          <w:szCs w:val="16"/>
        </w:rPr>
        <w:t xml:space="preserve">Red./Dact. </w:t>
      </w:r>
      <w:r w:rsidR="00EF4209">
        <w:rPr>
          <w:color w:val="000000"/>
          <w:sz w:val="16"/>
          <w:szCs w:val="16"/>
        </w:rPr>
        <w:t>...</w:t>
      </w:r>
    </w:p>
    <w:p w:rsidR="00943C19" w:rsidRPr="00943C19" w:rsidRDefault="00943C19" w:rsidP="00943C19">
      <w:pPr>
        <w:ind w:left="-540" w:right="-514" w:firstLine="540"/>
        <w:contextualSpacing/>
        <w:jc w:val="both"/>
        <w:rPr>
          <w:color w:val="000000"/>
          <w:sz w:val="16"/>
          <w:szCs w:val="16"/>
        </w:rPr>
      </w:pPr>
      <w:r w:rsidRPr="00943C19">
        <w:rPr>
          <w:color w:val="000000"/>
          <w:sz w:val="16"/>
          <w:szCs w:val="16"/>
        </w:rPr>
        <w:t xml:space="preserve">Curtea de Apel </w:t>
      </w:r>
      <w:r w:rsidR="00755D5E">
        <w:rPr>
          <w:color w:val="000000"/>
          <w:sz w:val="16"/>
          <w:szCs w:val="16"/>
        </w:rPr>
        <w:t>...</w:t>
      </w:r>
      <w:r w:rsidRPr="00943C19">
        <w:rPr>
          <w:color w:val="000000"/>
          <w:sz w:val="16"/>
          <w:szCs w:val="16"/>
        </w:rPr>
        <w:t xml:space="preserve"> Secţia  </w:t>
      </w:r>
      <w:r w:rsidR="00355F84">
        <w:rPr>
          <w:color w:val="000000"/>
          <w:sz w:val="16"/>
          <w:szCs w:val="16"/>
        </w:rPr>
        <w:t>………….</w:t>
      </w:r>
      <w:bookmarkStart w:id="0" w:name="_GoBack"/>
      <w:bookmarkEnd w:id="0"/>
      <w:r w:rsidRPr="00943C19">
        <w:rPr>
          <w:color w:val="000000"/>
          <w:sz w:val="16"/>
          <w:szCs w:val="16"/>
        </w:rPr>
        <w:t xml:space="preserve"> </w:t>
      </w:r>
      <w:r w:rsidR="00B45225">
        <w:rPr>
          <w:color w:val="000000"/>
          <w:sz w:val="16"/>
          <w:szCs w:val="16"/>
        </w:rPr>
        <w:t>...</w:t>
      </w:r>
    </w:p>
    <w:p w:rsidR="00943C19" w:rsidRPr="00943C19" w:rsidRDefault="00943C19" w:rsidP="00943C19">
      <w:pPr>
        <w:ind w:left="-540" w:right="-514" w:firstLine="540"/>
        <w:contextualSpacing/>
        <w:jc w:val="both"/>
        <w:rPr>
          <w:color w:val="000000"/>
        </w:rPr>
      </w:pPr>
    </w:p>
    <w:p w:rsidR="00943C19" w:rsidRPr="00943C19" w:rsidRDefault="00943C19" w:rsidP="00943C19">
      <w:pPr>
        <w:ind w:left="-540" w:right="-514" w:firstLine="540"/>
        <w:contextualSpacing/>
        <w:jc w:val="both"/>
        <w:rPr>
          <w:color w:val="000000"/>
        </w:rPr>
      </w:pPr>
    </w:p>
    <w:p w:rsidR="00943C19" w:rsidRPr="00943C19" w:rsidRDefault="00943C19" w:rsidP="00943C19">
      <w:pPr>
        <w:ind w:left="-540" w:right="-514" w:firstLine="540"/>
        <w:contextualSpacing/>
        <w:rPr>
          <w:color w:val="000000"/>
        </w:rPr>
      </w:pPr>
    </w:p>
    <w:p w:rsidR="00943C19" w:rsidRPr="00943C19" w:rsidRDefault="00943C19" w:rsidP="00943C19">
      <w:pPr>
        <w:ind w:left="-540" w:right="-514" w:firstLine="540"/>
        <w:contextualSpacing/>
        <w:jc w:val="both"/>
      </w:pPr>
    </w:p>
    <w:p w:rsidR="00943C19" w:rsidRPr="00943C19" w:rsidRDefault="00943C19" w:rsidP="00943C19">
      <w:pPr>
        <w:pStyle w:val="NoSpacing"/>
        <w:ind w:left="-540" w:right="-514" w:firstLine="540"/>
        <w:contextualSpacing/>
        <w:jc w:val="both"/>
        <w:rPr>
          <w:rFonts w:ascii="Times New Roman" w:hAnsi="Times New Roman"/>
          <w:sz w:val="24"/>
          <w:szCs w:val="24"/>
        </w:rPr>
      </w:pPr>
    </w:p>
    <w:p w:rsidR="00943C19" w:rsidRPr="00943C19" w:rsidRDefault="00943C19" w:rsidP="00943C19">
      <w:pPr>
        <w:ind w:left="-540" w:right="-514" w:firstLine="540"/>
        <w:contextualSpacing/>
        <w:jc w:val="both"/>
      </w:pPr>
    </w:p>
    <w:p w:rsidR="00943C19" w:rsidRPr="00943C19" w:rsidRDefault="00943C19" w:rsidP="00943C19">
      <w:pPr>
        <w:ind w:left="-540" w:right="-514" w:firstLine="540"/>
        <w:contextualSpacing/>
      </w:pPr>
    </w:p>
    <w:p w:rsidR="00105B69" w:rsidRPr="00943C19" w:rsidRDefault="00105B69" w:rsidP="00943C19">
      <w:pPr>
        <w:ind w:left="-540" w:right="-514" w:firstLine="540"/>
        <w:contextualSpacing/>
      </w:pPr>
    </w:p>
    <w:sectPr w:rsidR="00105B69" w:rsidRPr="00943C1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4E87"/>
    <w:rsid w:val="00105B69"/>
    <w:rsid w:val="00355F84"/>
    <w:rsid w:val="00755D5E"/>
    <w:rsid w:val="00864E87"/>
    <w:rsid w:val="00943C19"/>
    <w:rsid w:val="00B45225"/>
    <w:rsid w:val="00EF42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D054BF-9711-4FE4-B041-08777F089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C19"/>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943C19"/>
    <w:pPr>
      <w:jc w:val="both"/>
    </w:pPr>
    <w:rPr>
      <w:rFonts w:ascii="Arial" w:hAnsi="Arial"/>
    </w:rPr>
  </w:style>
  <w:style w:type="character" w:customStyle="1" w:styleId="BodyTextChar">
    <w:name w:val="Body Text Char"/>
    <w:basedOn w:val="DefaultParagraphFont"/>
    <w:link w:val="BodyText"/>
    <w:semiHidden/>
    <w:rsid w:val="00943C19"/>
    <w:rPr>
      <w:rFonts w:ascii="Arial" w:eastAsia="Times New Roman" w:hAnsi="Arial" w:cs="Times New Roman"/>
      <w:sz w:val="24"/>
      <w:szCs w:val="24"/>
      <w:lang w:eastAsia="ro-RO"/>
    </w:rPr>
  </w:style>
  <w:style w:type="paragraph" w:styleId="NoSpacing">
    <w:name w:val="No Spacing"/>
    <w:uiPriority w:val="1"/>
    <w:qFormat/>
    <w:rsid w:val="00943C19"/>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92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761</Words>
  <Characters>4344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2020-11-23T22:33:00Z</dcterms:created>
  <dcterms:modified xsi:type="dcterms:W3CDTF">2020-11-25T14:34:00Z</dcterms:modified>
</cp:coreProperties>
</file>