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spacing w:before="0" w:after="0" w:line="240"/>
        <w:ind w:right="0" w:left="2832" w:firstLine="708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R O M Â N I A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CURTEA DE APEL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............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Sec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penală 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aps w:val="true"/>
          <w:color w:val="auto"/>
          <w:spacing w:val="0"/>
          <w:position w:val="0"/>
          <w:sz w:val="24"/>
          <w:shd w:fill="auto" w:val="clear"/>
        </w:rPr>
        <w:t xml:space="preserve">Dosar nr.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..........</w:t>
      </w: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ÎNCHEIERE</w:t>
      </w:r>
    </w:p>
    <w:p>
      <w:pPr>
        <w:spacing w:before="0" w:after="0" w:line="240"/>
        <w:ind w:right="0" w:left="0" w:firstLine="709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 xml:space="preserve">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Şedinţa din Camera de consiliu din data de ..............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 xml:space="preserve">                Instan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ţa constituită din: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Complet de judecat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ă F2-2018: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şedinte: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A1005- judecător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 xml:space="preserve"> 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                        Grefier: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.................</w:t>
      </w: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Pe rol se afl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soluţionarea cererii de abţinere formulată de doamna judecător R din cadrul Tribunalului ........., Secţia penală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dosarul penal nr.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..............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având ca obiect contesta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formulată de inculpaţii I1 şi I2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împotriva încheierii de Camer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de Consiliu nr.....din ...........a Judecătoriei ..............</w:t>
      </w:r>
    </w:p>
    <w:p>
      <w:pPr>
        <w:tabs>
          <w:tab w:val="left" w:pos="16776136" w:leader="none"/>
          <w:tab w:val="left" w:pos="16776676" w:leader="none"/>
          <w:tab w:val="left" w:pos="851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 Dezbaterile în cauza de fa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ţă s-au desfăşurat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conformitate cu dispozi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ţiile art. 369     alin. 1 Cod procedură penală.</w:t>
      </w:r>
    </w:p>
    <w:p>
      <w:pPr>
        <w:tabs>
          <w:tab w:val="left" w:pos="16776136" w:leader="none"/>
          <w:tab w:val="left" w:pos="16776676" w:leader="none"/>
          <w:tab w:val="left" w:pos="851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 La apelul nominal 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ăcut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şedinţa din camera de consiliu se constată lipsa părţilor. </w:t>
      </w:r>
    </w:p>
    <w:p>
      <w:pPr>
        <w:tabs>
          <w:tab w:val="left" w:pos="0" w:leader="none"/>
          <w:tab w:val="left" w:pos="851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 Procedura 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ără citarea părţilor.   </w:t>
      </w:r>
    </w:p>
    <w:p>
      <w:pPr>
        <w:tabs>
          <w:tab w:val="left" w:pos="0" w:leader="none"/>
        </w:tabs>
        <w:spacing w:before="0" w:after="0" w:line="240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C U R T E A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Constat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că prin adresa nr..........din 22.07.2020, Tribunalul ..........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penală, a sesizat Curtea de Apel ......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penală, pentru desemnarea altei instanţe egale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grad cu Tribunalul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din circumscrip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teritorială a Curţii de Apel ........, pentru a se proceda la soluționarea contestației, formulată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temeiul art.207 Cod procedur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penală,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complet legal constituit.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La nivelul Tribunalului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penală, nu s-a putut forma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mod legal completul de judecat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vederea solu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ţionării contestaţiei formulată de inculpaţii I1 şi I2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împotriva încheierii de Camer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de Consiliu nr........din data de ....a Judecătoriei .......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întrucât în cauz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judecători de drepturi şi libertăţi au fost doamnele judecător R şi M, doamna judecător E este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concediu de odihn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ă, iar singurul judecător compatibil la nivelul secţiei penale este doamna judecător C.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Totodat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ă, la adresa menţionată a fost anexată cererea de abţinere formulată de doamna judecător R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temeiul art.64 alin.4 Cod procedur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penală. 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Având în vedere faptul 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la nivelul Tribunalului ........, Secţia penală, nu poate fi constituit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mod legal completul de judecat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pentru soluţionarea cererii de abţinere, Curtea, lu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 în considerare 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doamna R a exercitat atribuţii de judecător de drepturi şi libertăţi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cauz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ă, făc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 parte din completul care a pronun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ţat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încheierea nr.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din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Tribunalului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(dosar nr.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), constat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că nu poate participa la soluţionarea prezentelor contestaţii fiind incident cazul de incompatibilitate prevăzut de art.64 alin.4 Cod procedură penală. drept urmare, Curtea va admite,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temeiul art.68 alin.8, raportat la art,64 alin.4 Cod procedur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penală, cererea de abţinere formulată de doamna judecător R.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Potrivit art. 68 alin.9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  <w:vertAlign w:val="superscript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din Codul de procedur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penală,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în cazul în care se admite ab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ţinerea sau recuzarea, dacă instanţa competentă pentru soluţionarea cauzei este organizată pe secţii şi nu se poate desemna un judecător de la secţia corespunzătoare a acestei instanţe, soluţionarea cauzei se realizează de o altă secţie a aceleiaşi instanţe, care are aceeaşi specializare. Dacă nu există o secţie cu aceeaşi specializare, judecătorul de la instanţa ierarhic superioară desemnează o altă instanţă egală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în grad cu instan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ţa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în fa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ţa căreia s-a formulat declaraţia de abţinere sau cererea de recuzare, din circumscripţia aceleiaşi curţi de apel sau din circumscripţia unei curţi de apel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învecinate.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Analizând situa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ivită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dosarul nr.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.........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se constat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că solicitarea adresată de Tribunalul .........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penală, este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întemeiat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ă, la nivelul acestei instanţe neput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ându-se constitui în mod legal completul de judecat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pentru soluţionarea contestaţiilor formulate de inculpaţii,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întrucât în cauz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judecători de drepturi şi libertăţi au fost doamnele judecător R şi M (ultima delegată la Curtea de Apel ....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începând cu data de 9.07.2020), doamna judec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ător E este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concediu de odihn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ă, iar singurul judecător compatibil la nivelul secţiei penale este doamna judecător C.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aceste condi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ţii,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baza art. 68 alin. 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  <w:vertAlign w:val="superscript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din Codul de procedur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penală, av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 în vedere faptul 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nu poate fi format completul de doi judecători pentru soluţionarea contestaţiei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cadrul sec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ţiei penale a Tribunalului ..., se va desemna Tribunalul ....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penală, pentru a soluţiona dosarul penal nr. ......., av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 ca obiect contesta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formulată de inculpaţii I1 şi I2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împotriva încheierii de Camer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de Consiliu nr.......din data de ......a Judecătoriei ........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prin care s-a constatat legalitatea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şi temeinicia măsurii arestării preventive, măsură care a fost menţinută.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baza art.275 alin.3 din Codul de procedur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penală, cheltuielile judiciare avansate de stat răm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 în sarcina acestuia.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8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PENTRU ACESTE MOTIVE</w:t>
      </w:r>
    </w:p>
    <w:p>
      <w:pPr>
        <w:spacing w:before="0" w:after="0" w:line="240"/>
        <w:ind w:right="0" w:left="0" w:firstLine="708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ÎN NUMELE LEGII</w:t>
      </w:r>
    </w:p>
    <w:p>
      <w:pPr>
        <w:spacing w:before="0" w:after="0" w:line="240"/>
        <w:ind w:right="0" w:left="0" w:firstLine="708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D I S P U N E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temeiul art.68 alin.8, raportat la art.64 alin.4 Cod procedur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penală, admite cererea de abţinere formulată de doamna judecător R din cadrul Tribunalului ...., Secţia penală.</w:t>
      </w:r>
    </w:p>
    <w:p>
      <w:pPr>
        <w:spacing w:before="0" w:after="0" w:line="240"/>
        <w:ind w:right="0" w:left="0" w:firstLine="708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temeiul art. 68 alin.9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  <w:vertAlign w:val="superscript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Cod de procedur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penală, desemnează Tribunalul ....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Sec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penală, pentru a soluţiona dosarul penal nr......av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ând ca obiect contesta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ţia formulată de inculpaţii  I1 şi I2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împotriva încheierii de Camer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 de Consiliu nr.....din ....a Judecătoriei .............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72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baza art.275 alin.3 Cod de procedur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ă, penală cheltuielile judiciare avansate de stat răm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ân în sarcina acestuia.</w:t>
      </w:r>
    </w:p>
    <w:p>
      <w:pPr>
        <w:spacing w:before="0" w:after="0" w:line="240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Definitiv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ă.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Pronun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ţată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în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şedinţă publică azi, ......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PRE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ŞEDINTE </w:t>
        <w:tab/>
        <w:tab/>
        <w:tab/>
        <w:tab/>
        <w:tab/>
        <w:tab/>
        <w:tab/>
        <w:t xml:space="preserve">GREFIER</w:t>
      </w: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A1005</w:t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 xml:space="preserve">.............................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