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vertAnchor="page" w:tblpY="568"/>
        <w:tblOverlap w:val="never"/>
        <w:tblW w:w="99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7"/>
        <w:gridCol w:w="2222"/>
      </w:tblGrid>
      <w:tr w:rsidR="00423E65" w:rsidRPr="00A8181B" w14:paraId="352ECEF1" w14:textId="77777777" w:rsidTr="00487BE4">
        <w:trPr>
          <w:trHeight w:hRule="exact" w:val="813"/>
        </w:trPr>
        <w:tc>
          <w:tcPr>
            <w:tcW w:w="7757" w:type="dxa"/>
          </w:tcPr>
          <w:p w14:paraId="1F8E06FB" w14:textId="77777777" w:rsidR="00423E65" w:rsidRPr="00A8181B" w:rsidRDefault="00423E65" w:rsidP="00265713">
            <w:pPr>
              <w:spacing w:after="80" w:line="264" w:lineRule="auto"/>
              <w:rPr>
                <w:lang w:val="ro-RO"/>
              </w:rPr>
            </w:pPr>
            <w:r>
              <w:rPr>
                <w:noProof/>
                <w:lang w:val="ro-RO" w:eastAsia="ro-RO"/>
              </w:rPr>
              <w:drawing>
                <wp:anchor distT="0" distB="0" distL="114300" distR="114300" simplePos="0" relativeHeight="251659264" behindDoc="0" locked="0" layoutInCell="1" allowOverlap="1" wp14:anchorId="7F30812A" wp14:editId="02D835F4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0</wp:posOffset>
                  </wp:positionV>
                  <wp:extent cx="1600200" cy="295275"/>
                  <wp:effectExtent l="0" t="0" r="0" b="9525"/>
                  <wp:wrapNone/>
                  <wp:docPr id="1" name="Picture 1" descr="Logo Reff&amp;Asociatii neg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Reff&amp;Asociatii neg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AE9C8F" w14:textId="77777777" w:rsidR="00423E65" w:rsidRPr="00A8181B" w:rsidRDefault="00423E65" w:rsidP="00265713">
            <w:pPr>
              <w:tabs>
                <w:tab w:val="left" w:pos="2505"/>
              </w:tabs>
              <w:spacing w:after="80" w:line="264" w:lineRule="auto"/>
              <w:rPr>
                <w:lang w:val="ro-RO"/>
              </w:rPr>
            </w:pPr>
            <w:r w:rsidRPr="00A8181B">
              <w:rPr>
                <w:lang w:val="ro-RO"/>
              </w:rPr>
              <w:tab/>
            </w:r>
          </w:p>
        </w:tc>
        <w:tc>
          <w:tcPr>
            <w:tcW w:w="2222" w:type="dxa"/>
          </w:tcPr>
          <w:p w14:paraId="13B8D778" w14:textId="77777777" w:rsidR="00423E65" w:rsidRPr="00A8181B" w:rsidRDefault="00423E65" w:rsidP="00265713">
            <w:pPr>
              <w:autoSpaceDE w:val="0"/>
              <w:autoSpaceDN w:val="0"/>
              <w:adjustRightInd w:val="0"/>
              <w:spacing w:after="80" w:line="264" w:lineRule="auto"/>
              <w:rPr>
                <w:sz w:val="14"/>
                <w:lang w:val="ro-RO"/>
              </w:rPr>
            </w:pPr>
          </w:p>
        </w:tc>
      </w:tr>
    </w:tbl>
    <w:p w14:paraId="22F7B139" w14:textId="66643472" w:rsidR="00CD4109" w:rsidRDefault="005A4ECB" w:rsidP="00265713">
      <w:pPr>
        <w:spacing w:after="80" w:line="264" w:lineRule="auto"/>
        <w:jc w:val="center"/>
        <w:rPr>
          <w:rFonts w:asciiTheme="majorHAnsi" w:hAnsiTheme="majorHAnsi" w:cstheme="majorHAnsi"/>
          <w:b/>
          <w:sz w:val="24"/>
          <w:szCs w:val="24"/>
          <w:lang w:val="ro-RO"/>
        </w:rPr>
      </w:pPr>
      <w:r>
        <w:rPr>
          <w:rFonts w:asciiTheme="majorHAnsi" w:hAnsiTheme="majorHAnsi" w:cstheme="majorHAnsi"/>
          <w:b/>
          <w:sz w:val="24"/>
          <w:szCs w:val="24"/>
          <w:lang w:val="ro-RO"/>
        </w:rPr>
        <w:t>Efectele pandemiei prin prisma r</w:t>
      </w:r>
      <w:r w:rsidRPr="00391318">
        <w:rPr>
          <w:rFonts w:asciiTheme="majorHAnsi" w:hAnsiTheme="majorHAnsi" w:cstheme="majorHAnsi"/>
          <w:b/>
          <w:sz w:val="24"/>
          <w:szCs w:val="24"/>
          <w:lang w:val="ro-RO"/>
        </w:rPr>
        <w:t>aportul</w:t>
      </w:r>
      <w:r>
        <w:rPr>
          <w:rFonts w:asciiTheme="majorHAnsi" w:hAnsiTheme="majorHAnsi" w:cstheme="majorHAnsi"/>
          <w:b/>
          <w:sz w:val="24"/>
          <w:szCs w:val="24"/>
          <w:lang w:val="ro-RO"/>
        </w:rPr>
        <w:t>ui</w:t>
      </w:r>
      <w:r w:rsidRPr="00391318">
        <w:rPr>
          <w:rFonts w:asciiTheme="majorHAnsi" w:hAnsiTheme="majorHAnsi" w:cstheme="majorHAnsi"/>
          <w:b/>
          <w:sz w:val="24"/>
          <w:szCs w:val="24"/>
          <w:lang w:val="ro-RO"/>
        </w:rPr>
        <w:t xml:space="preserve"> </w:t>
      </w:r>
      <w:r w:rsidR="00391318" w:rsidRPr="00391318">
        <w:rPr>
          <w:rFonts w:asciiTheme="majorHAnsi" w:hAnsiTheme="majorHAnsi" w:cstheme="majorHAnsi"/>
          <w:b/>
          <w:sz w:val="24"/>
          <w:szCs w:val="24"/>
          <w:lang w:val="ro-RO"/>
        </w:rPr>
        <w:t>CSM privind starea justiției</w:t>
      </w:r>
      <w:r>
        <w:rPr>
          <w:rFonts w:asciiTheme="majorHAnsi" w:hAnsiTheme="majorHAnsi" w:cstheme="majorHAnsi"/>
          <w:b/>
          <w:sz w:val="24"/>
          <w:szCs w:val="24"/>
          <w:lang w:val="ro-RO"/>
        </w:rPr>
        <w:t xml:space="preserve"> în 2020: scădere puternică a numărului </w:t>
      </w:r>
      <w:r w:rsidR="002C4E75">
        <w:rPr>
          <w:rFonts w:asciiTheme="majorHAnsi" w:hAnsiTheme="majorHAnsi" w:cstheme="majorHAnsi"/>
          <w:b/>
          <w:sz w:val="24"/>
          <w:szCs w:val="24"/>
          <w:lang w:val="ro-RO"/>
        </w:rPr>
        <w:t>insolvențelor</w:t>
      </w:r>
      <w:r>
        <w:rPr>
          <w:rFonts w:asciiTheme="majorHAnsi" w:hAnsiTheme="majorHAnsi" w:cstheme="majorHAnsi"/>
          <w:b/>
          <w:sz w:val="24"/>
          <w:szCs w:val="24"/>
          <w:lang w:val="ro-RO"/>
        </w:rPr>
        <w:t xml:space="preserve">, creștere a litigiilor de muncă, </w:t>
      </w:r>
      <w:proofErr w:type="spellStart"/>
      <w:r w:rsidRPr="005A4ECB">
        <w:rPr>
          <w:rFonts w:asciiTheme="majorHAnsi" w:hAnsiTheme="majorHAnsi" w:cstheme="majorHAnsi"/>
          <w:b/>
          <w:sz w:val="24"/>
          <w:szCs w:val="24"/>
          <w:lang w:val="ro-RO"/>
        </w:rPr>
        <w:t>iniţierea</w:t>
      </w:r>
      <w:proofErr w:type="spellEnd"/>
      <w:r w:rsidRPr="005A4ECB">
        <w:rPr>
          <w:rFonts w:asciiTheme="majorHAnsi" w:hAnsiTheme="majorHAnsi" w:cstheme="majorHAnsi"/>
          <w:b/>
          <w:sz w:val="24"/>
          <w:szCs w:val="24"/>
          <w:lang w:val="ro-RO"/>
        </w:rPr>
        <w:t xml:space="preserve"> procesului de digitalizare în </w:t>
      </w:r>
      <w:proofErr w:type="spellStart"/>
      <w:r w:rsidRPr="005A4ECB">
        <w:rPr>
          <w:rFonts w:asciiTheme="majorHAnsi" w:hAnsiTheme="majorHAnsi" w:cstheme="majorHAnsi"/>
          <w:b/>
          <w:sz w:val="24"/>
          <w:szCs w:val="24"/>
          <w:lang w:val="ro-RO"/>
        </w:rPr>
        <w:t>justiţie</w:t>
      </w:r>
      <w:proofErr w:type="spellEnd"/>
    </w:p>
    <w:p w14:paraId="0EA61550" w14:textId="77777777" w:rsidR="0012658A" w:rsidRDefault="0012658A" w:rsidP="00265713">
      <w:pPr>
        <w:spacing w:after="80" w:line="264" w:lineRule="auto"/>
        <w:jc w:val="both"/>
        <w:rPr>
          <w:rFonts w:asciiTheme="majorHAnsi" w:hAnsiTheme="majorHAnsi" w:cstheme="majorHAnsi"/>
          <w:i/>
          <w:sz w:val="20"/>
          <w:szCs w:val="20"/>
          <w:lang w:val="ro-RO"/>
        </w:rPr>
      </w:pPr>
    </w:p>
    <w:p w14:paraId="02CC78A1" w14:textId="3328DAB3" w:rsidR="001851EA" w:rsidRPr="009A244F" w:rsidRDefault="00423E65" w:rsidP="00265713">
      <w:pPr>
        <w:spacing w:after="80" w:line="264" w:lineRule="auto"/>
        <w:jc w:val="both"/>
        <w:rPr>
          <w:rStyle w:val="Emphasis"/>
          <w:rFonts w:asciiTheme="majorHAnsi" w:hAnsiTheme="majorHAnsi" w:cstheme="majorHAnsi"/>
          <w:color w:val="000000"/>
          <w:sz w:val="20"/>
          <w:szCs w:val="20"/>
          <w:shd w:val="clear" w:color="auto" w:fill="FFFFFF"/>
          <w:lang w:val="ro-RO"/>
        </w:rPr>
      </w:pPr>
      <w:r w:rsidRPr="001851EA">
        <w:rPr>
          <w:rFonts w:asciiTheme="majorHAnsi" w:hAnsiTheme="majorHAnsi" w:cstheme="majorHAnsi"/>
          <w:i/>
          <w:sz w:val="20"/>
          <w:szCs w:val="20"/>
          <w:lang w:val="ro-RO"/>
        </w:rPr>
        <w:t xml:space="preserve">Material de opinie de </w:t>
      </w:r>
      <w:r w:rsidR="00391318" w:rsidRPr="00391318">
        <w:rPr>
          <w:rFonts w:asciiTheme="majorHAnsi" w:hAnsiTheme="majorHAnsi" w:cstheme="majorHAnsi"/>
          <w:i/>
          <w:sz w:val="20"/>
          <w:szCs w:val="20"/>
          <w:lang w:val="ro-RO"/>
        </w:rPr>
        <w:t xml:space="preserve">Mihnea </w:t>
      </w:r>
      <w:proofErr w:type="spellStart"/>
      <w:r w:rsidR="00391318" w:rsidRPr="00391318">
        <w:rPr>
          <w:rFonts w:asciiTheme="majorHAnsi" w:hAnsiTheme="majorHAnsi" w:cstheme="majorHAnsi"/>
          <w:i/>
          <w:sz w:val="20"/>
          <w:szCs w:val="20"/>
          <w:lang w:val="ro-RO"/>
        </w:rPr>
        <w:t>Galgoţiu</w:t>
      </w:r>
      <w:proofErr w:type="spellEnd"/>
      <w:r w:rsidR="00391318" w:rsidRPr="00391318">
        <w:rPr>
          <w:rFonts w:asciiTheme="majorHAnsi" w:hAnsiTheme="majorHAnsi" w:cstheme="majorHAnsi"/>
          <w:i/>
          <w:sz w:val="20"/>
          <w:szCs w:val="20"/>
          <w:lang w:val="ro-RO"/>
        </w:rPr>
        <w:t>-Săraru</w:t>
      </w:r>
      <w:r w:rsidR="00391318">
        <w:rPr>
          <w:rFonts w:asciiTheme="majorHAnsi" w:hAnsiTheme="majorHAnsi" w:cstheme="majorHAnsi"/>
          <w:i/>
          <w:sz w:val="20"/>
          <w:szCs w:val="20"/>
          <w:lang w:val="ro-RO"/>
        </w:rPr>
        <w:t>,</w:t>
      </w:r>
      <w:r w:rsidR="00391318" w:rsidRPr="00391318">
        <w:rPr>
          <w:rFonts w:asciiTheme="majorHAnsi" w:hAnsiTheme="majorHAnsi" w:cstheme="majorHAnsi"/>
          <w:i/>
          <w:sz w:val="20"/>
          <w:szCs w:val="20"/>
          <w:lang w:val="ro-RO"/>
        </w:rPr>
        <w:t xml:space="preserve"> Partener</w:t>
      </w:r>
      <w:r w:rsidR="00391318">
        <w:rPr>
          <w:rFonts w:asciiTheme="majorHAnsi" w:hAnsiTheme="majorHAnsi" w:cstheme="majorHAnsi"/>
          <w:i/>
          <w:sz w:val="20"/>
          <w:szCs w:val="20"/>
          <w:lang w:val="ro-RO"/>
        </w:rPr>
        <w:t xml:space="preserve"> la</w:t>
      </w:r>
      <w:r w:rsidR="00391318" w:rsidRPr="00391318">
        <w:rPr>
          <w:rFonts w:asciiTheme="majorHAnsi" w:hAnsiTheme="majorHAnsi" w:cstheme="majorHAnsi"/>
          <w:i/>
          <w:sz w:val="20"/>
          <w:szCs w:val="20"/>
          <w:lang w:val="ro-RO"/>
        </w:rPr>
        <w:t xml:space="preserve"> Reff &amp; Asociații | Deloitte Legal</w:t>
      </w:r>
      <w:r w:rsidR="00391318">
        <w:rPr>
          <w:rFonts w:asciiTheme="majorHAnsi" w:hAnsiTheme="majorHAnsi" w:cstheme="majorHAnsi"/>
          <w:i/>
          <w:sz w:val="20"/>
          <w:szCs w:val="20"/>
          <w:lang w:val="ro-RO"/>
        </w:rPr>
        <w:t xml:space="preserve">, liderul practicii de </w:t>
      </w:r>
      <w:r w:rsidR="00391318" w:rsidRPr="00391318">
        <w:rPr>
          <w:rFonts w:asciiTheme="majorHAnsi" w:hAnsiTheme="majorHAnsi" w:cstheme="majorHAnsi"/>
          <w:i/>
          <w:sz w:val="20"/>
          <w:szCs w:val="20"/>
          <w:lang w:val="ro-RO"/>
        </w:rPr>
        <w:t>soluționarea disputelor</w:t>
      </w:r>
    </w:p>
    <w:p w14:paraId="654F163E" w14:textId="77777777" w:rsidR="0012658A" w:rsidRDefault="0012658A" w:rsidP="00265713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1DADA0FF" w14:textId="649E97EA" w:rsidR="00391318" w:rsidRPr="00391318" w:rsidRDefault="00391318" w:rsidP="00391318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Consiliul Superior al Magistraturii (CSM) a </w:t>
      </w:r>
      <w:r>
        <w:rPr>
          <w:rFonts w:asciiTheme="majorHAnsi" w:hAnsiTheme="majorHAnsi" w:cstheme="majorHAnsi"/>
          <w:sz w:val="20"/>
          <w:szCs w:val="20"/>
          <w:lang w:val="ro-RO"/>
        </w:rPr>
        <w:t>publicat recent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raportul anual privind starea justiției, care conține informații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statistici privind activitatea tuturor instanțelor din România în anul 2020. Concluziile raportului reflectă în primul rând </w:t>
      </w:r>
      <w:r>
        <w:rPr>
          <w:rFonts w:asciiTheme="majorHAnsi" w:hAnsiTheme="majorHAnsi" w:cstheme="majorHAnsi"/>
          <w:sz w:val="20"/>
          <w:szCs w:val="20"/>
          <w:lang w:val="ro-RO"/>
        </w:rPr>
        <w:t>efectele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major</w:t>
      </w:r>
      <w:r>
        <w:rPr>
          <w:rFonts w:asciiTheme="majorHAnsi" w:hAnsiTheme="majorHAnsi" w:cstheme="majorHAnsi"/>
          <w:sz w:val="20"/>
          <w:szCs w:val="20"/>
          <w:lang w:val="ro-RO"/>
        </w:rPr>
        <w:t>e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ale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>pandemi</w:t>
      </w:r>
      <w:r>
        <w:rPr>
          <w:rFonts w:asciiTheme="majorHAnsi" w:hAnsiTheme="majorHAnsi" w:cstheme="majorHAnsi"/>
          <w:sz w:val="20"/>
          <w:szCs w:val="20"/>
          <w:lang w:val="ro-RO"/>
        </w:rPr>
        <w:t>ei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asupra sistemului de justiție,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printre care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scăderea volumului de activitate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a indicatorilor de eficien</w:t>
      </w:r>
      <w:r>
        <w:rPr>
          <w:rFonts w:asciiTheme="majorHAnsi" w:hAnsiTheme="majorHAnsi" w:cstheme="majorHAnsi"/>
          <w:sz w:val="20"/>
          <w:szCs w:val="20"/>
          <w:lang w:val="ro-RO"/>
        </w:rPr>
        <w:t>ț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ă la nivelul tuturor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instanţelor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din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ţară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  <w:r>
        <w:rPr>
          <w:rFonts w:asciiTheme="majorHAnsi" w:hAnsiTheme="majorHAnsi" w:cstheme="majorHAnsi"/>
          <w:sz w:val="20"/>
          <w:szCs w:val="20"/>
          <w:lang w:val="ro-RO"/>
        </w:rPr>
        <w:t>Însă o analiză a r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>aportul</w:t>
      </w:r>
      <w:r>
        <w:rPr>
          <w:rFonts w:asciiTheme="majorHAnsi" w:hAnsiTheme="majorHAnsi" w:cstheme="majorHAnsi"/>
          <w:sz w:val="20"/>
          <w:szCs w:val="20"/>
          <w:lang w:val="ro-RO"/>
        </w:rPr>
        <w:t>ui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duce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la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alte concluzii interesante, </w:t>
      </w:r>
      <w:r>
        <w:rPr>
          <w:rFonts w:asciiTheme="majorHAnsi" w:hAnsiTheme="majorHAnsi" w:cstheme="majorHAnsi"/>
          <w:sz w:val="20"/>
          <w:szCs w:val="20"/>
          <w:lang w:val="ro-RO"/>
        </w:rPr>
        <w:t>cum ar fi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creşterea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unor tipuri de litigii </w:t>
      </w:r>
      <w:r>
        <w:rPr>
          <w:rFonts w:asciiTheme="majorHAnsi" w:hAnsiTheme="majorHAnsi" w:cstheme="majorHAnsi"/>
          <w:sz w:val="20"/>
          <w:szCs w:val="20"/>
          <w:lang w:val="ro-RO"/>
        </w:rPr>
        <w:t>sau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>
        <w:rPr>
          <w:rFonts w:asciiTheme="majorHAnsi" w:hAnsiTheme="majorHAnsi" w:cstheme="majorHAnsi"/>
          <w:sz w:val="20"/>
          <w:szCs w:val="20"/>
          <w:lang w:val="ro-RO"/>
        </w:rPr>
        <w:t>dimpotrivă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, scăderea </w:t>
      </w:r>
      <w:r>
        <w:rPr>
          <w:rFonts w:asciiTheme="majorHAnsi" w:hAnsiTheme="majorHAnsi" w:cstheme="majorHAnsi"/>
          <w:sz w:val="20"/>
          <w:szCs w:val="20"/>
          <w:lang w:val="ro-RO"/>
        </w:rPr>
        <w:t>unor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domenii care în trecut generau mai multă activitate judecătorească, </w:t>
      </w:r>
      <w:r w:rsidR="005A4ECB">
        <w:rPr>
          <w:rFonts w:asciiTheme="majorHAnsi" w:hAnsiTheme="majorHAnsi" w:cstheme="majorHAnsi"/>
          <w:sz w:val="20"/>
          <w:szCs w:val="20"/>
          <w:lang w:val="ro-RO"/>
        </w:rPr>
        <w:t>precum și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imaginea zonelor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țării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>unde se conce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ntrează cea mai mare parte a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activităţii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de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instanţă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. Nu în ultimul rând, se remarcă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iniţierea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procesului de digitalizare în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justiţie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pe fondul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pandemiei, dar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necesitatea sporirii fondurilor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infrastructurii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care să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>permit</w:t>
      </w:r>
      <w:r>
        <w:rPr>
          <w:rFonts w:asciiTheme="majorHAnsi" w:hAnsiTheme="majorHAnsi" w:cstheme="majorHAnsi"/>
          <w:sz w:val="20"/>
          <w:szCs w:val="20"/>
          <w:lang w:val="ro-RO"/>
        </w:rPr>
        <w:t>ă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continuarea acestei reforme. </w:t>
      </w:r>
    </w:p>
    <w:p w14:paraId="29062B3C" w14:textId="29240F27" w:rsidR="00391318" w:rsidRPr="00391318" w:rsidRDefault="00391318" w:rsidP="00391318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391318">
        <w:rPr>
          <w:rFonts w:asciiTheme="majorHAnsi" w:hAnsiTheme="majorHAnsi" w:cstheme="majorHAnsi"/>
          <w:sz w:val="20"/>
          <w:szCs w:val="20"/>
          <w:lang w:val="ro-RO"/>
        </w:rPr>
        <w:t>După ce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în ultimii </w:t>
      </w:r>
      <w:r>
        <w:rPr>
          <w:rFonts w:asciiTheme="majorHAnsi" w:hAnsiTheme="majorHAnsi" w:cstheme="majorHAnsi"/>
          <w:sz w:val="20"/>
          <w:szCs w:val="20"/>
          <w:lang w:val="ro-RO"/>
        </w:rPr>
        <w:t>patru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ani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activitatea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instanţelor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s-a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menţinut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la un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volum relativ constant, indicând un anumit nivel de maturizare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stabilizare a sistemului nostru de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justiţie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, în 2020 s-a înregistrat o scădere de aproape 10% a dosarelor nou înregistrate pe rolul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instanţelor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. De asemenea,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anul trecut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au fost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soluţionate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cu aprox</w:t>
      </w:r>
      <w:r>
        <w:rPr>
          <w:rFonts w:asciiTheme="majorHAnsi" w:hAnsiTheme="majorHAnsi" w:cstheme="majorHAnsi"/>
          <w:sz w:val="20"/>
          <w:szCs w:val="20"/>
          <w:lang w:val="ro-RO"/>
        </w:rPr>
        <w:t>imativ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240.000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de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dosare mai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puţin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decât în anul precedent (o scădere de 12%) la nivelul întregii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ţări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. Ambele situații sunt explicate de CSM prin prisma barierelor logistice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a climatului de insecuritate sanitară generate de pandemia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de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>COVID</w:t>
      </w:r>
      <w:r>
        <w:rPr>
          <w:rFonts w:asciiTheme="majorHAnsi" w:hAnsiTheme="majorHAnsi" w:cstheme="majorHAnsi"/>
          <w:sz w:val="20"/>
          <w:szCs w:val="20"/>
          <w:lang w:val="ro-RO"/>
        </w:rPr>
        <w:t>-19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. De altfel, </w:t>
      </w:r>
      <w:r>
        <w:rPr>
          <w:rFonts w:asciiTheme="majorHAnsi" w:hAnsiTheme="majorHAnsi" w:cstheme="majorHAnsi"/>
          <w:sz w:val="20"/>
          <w:szCs w:val="20"/>
          <w:lang w:val="ro-RO"/>
        </w:rPr>
        <w:t>r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aportul </w:t>
      </w:r>
      <w:r>
        <w:rPr>
          <w:rFonts w:asciiTheme="majorHAnsi" w:hAnsiTheme="majorHAnsi" w:cstheme="majorHAnsi"/>
          <w:sz w:val="20"/>
          <w:szCs w:val="20"/>
          <w:lang w:val="ro-RO"/>
        </w:rPr>
        <w:t>indică și faptul că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pandemia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>a cauzat creșterea duratei de soluționare a dosarelor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î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n </w:t>
      </w:r>
      <w:r>
        <w:rPr>
          <w:rFonts w:asciiTheme="majorHAnsi" w:hAnsiTheme="majorHAnsi" w:cstheme="majorHAnsi"/>
          <w:sz w:val="20"/>
          <w:szCs w:val="20"/>
          <w:lang w:val="ro-RO"/>
        </w:rPr>
        <w:t>2020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precum și a duratei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>de desfășurare a ședințelor de judecată sau nerespectarea termenelor de redactare a hotărârilor judecătorești.</w:t>
      </w:r>
    </w:p>
    <w:p w14:paraId="6CB5530B" w14:textId="2D3CEF5A" w:rsidR="00391318" w:rsidRPr="00391318" w:rsidRDefault="00391318" w:rsidP="00391318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Majoritatea tipurilor de litigii au înregistrat o scădere la toate nivelurile de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instanţă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din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ţară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în cursul anului trecut. În mod surprinzător, deși la începutul pandemiei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, estimările privind insolvențele erau sumbre,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>din cauza problemelor de lichiditate, în realitate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numărul procedurilor de insolvență s-a </w:t>
      </w:r>
      <w:r w:rsidR="007F0315" w:rsidRPr="00391318">
        <w:rPr>
          <w:rFonts w:asciiTheme="majorHAnsi" w:hAnsiTheme="majorHAnsi" w:cstheme="majorHAnsi"/>
          <w:sz w:val="20"/>
          <w:szCs w:val="20"/>
          <w:lang w:val="ro-RO"/>
        </w:rPr>
        <w:t>prăbușit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>, fiind înregistrate în 2020 cu aprox</w:t>
      </w:r>
      <w:r>
        <w:rPr>
          <w:rFonts w:asciiTheme="majorHAnsi" w:hAnsiTheme="majorHAnsi" w:cstheme="majorHAnsi"/>
          <w:sz w:val="20"/>
          <w:szCs w:val="20"/>
          <w:lang w:val="ro-RO"/>
        </w:rPr>
        <w:t>imativ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25% mai puține dosare de insolvență decât în anul precedent. </w:t>
      </w:r>
      <w:r w:rsidR="005A4ECB">
        <w:rPr>
          <w:rFonts w:asciiTheme="majorHAnsi" w:hAnsiTheme="majorHAnsi" w:cstheme="majorHAnsi"/>
          <w:sz w:val="20"/>
          <w:szCs w:val="20"/>
          <w:lang w:val="ro-RO"/>
        </w:rPr>
        <w:t xml:space="preserve">Este </w:t>
      </w:r>
      <w:r w:rsidR="005A4ECB" w:rsidRPr="00556CE0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cea mai puternică scădere a numărului dosarelor de </w:t>
      </w:r>
      <w:r w:rsidR="002C4E75">
        <w:rPr>
          <w:rFonts w:asciiTheme="majorHAnsi" w:hAnsiTheme="majorHAnsi" w:cstheme="majorHAnsi"/>
          <w:b/>
          <w:bCs/>
          <w:sz w:val="20"/>
          <w:szCs w:val="20"/>
          <w:lang w:val="ro-RO"/>
        </w:rPr>
        <w:t>insolvență</w:t>
      </w:r>
      <w:r w:rsidR="002C4E75" w:rsidRPr="00556CE0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</w:t>
      </w:r>
      <w:r w:rsidR="005A4ECB" w:rsidRPr="00556CE0">
        <w:rPr>
          <w:rFonts w:asciiTheme="majorHAnsi" w:hAnsiTheme="majorHAnsi" w:cstheme="majorHAnsi"/>
          <w:b/>
          <w:bCs/>
          <w:sz w:val="20"/>
          <w:szCs w:val="20"/>
          <w:lang w:val="ro-RO"/>
        </w:rPr>
        <w:t>din 2016</w:t>
      </w:r>
      <w:r w:rsidR="005A4ECB">
        <w:rPr>
          <w:rFonts w:asciiTheme="majorHAnsi" w:hAnsiTheme="majorHAnsi" w:cstheme="majorHAnsi"/>
          <w:sz w:val="20"/>
          <w:szCs w:val="20"/>
          <w:lang w:val="ro-RO"/>
        </w:rPr>
        <w:t xml:space="preserve">.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>Ace</w:t>
      </w:r>
      <w:r>
        <w:rPr>
          <w:rFonts w:asciiTheme="majorHAnsi" w:hAnsiTheme="majorHAnsi" w:cstheme="majorHAnsi"/>
          <w:sz w:val="20"/>
          <w:szCs w:val="20"/>
          <w:lang w:val="ro-RO"/>
        </w:rPr>
        <w:t>a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stă evoluție </w:t>
      </w:r>
      <w:r>
        <w:rPr>
          <w:rFonts w:asciiTheme="majorHAnsi" w:hAnsiTheme="majorHAnsi" w:cstheme="majorHAnsi"/>
          <w:sz w:val="20"/>
          <w:szCs w:val="20"/>
          <w:lang w:val="ro-RO"/>
        </w:rPr>
        <w:t>poate fi explicată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printr-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o anumită eficacitate a măsurilor </w:t>
      </w:r>
      <w:r>
        <w:rPr>
          <w:rFonts w:asciiTheme="majorHAnsi" w:hAnsiTheme="majorHAnsi" w:cstheme="majorHAnsi"/>
          <w:sz w:val="20"/>
          <w:szCs w:val="20"/>
          <w:lang w:val="ro-RO"/>
        </w:rPr>
        <w:t>s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>tatului de combatere a măsurilor economice negative ale pandemiei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, precum și prin </w:t>
      </w:r>
      <w:r w:rsidR="00C86917">
        <w:rPr>
          <w:rFonts w:asciiTheme="majorHAnsi" w:hAnsiTheme="majorHAnsi" w:cstheme="majorHAnsi"/>
          <w:sz w:val="20"/>
          <w:szCs w:val="20"/>
          <w:lang w:val="ro-RO"/>
        </w:rPr>
        <w:t xml:space="preserve">maturitatea companiilor care trecuseră și prin criza financiară globală din 2008 și </w:t>
      </w:r>
      <w:r w:rsidR="00327793">
        <w:rPr>
          <w:rFonts w:asciiTheme="majorHAnsi" w:hAnsiTheme="majorHAnsi" w:cstheme="majorHAnsi"/>
          <w:sz w:val="20"/>
          <w:szCs w:val="20"/>
          <w:lang w:val="ro-RO"/>
        </w:rPr>
        <w:t xml:space="preserve">prin </w:t>
      </w:r>
      <w:r w:rsidR="00C86917">
        <w:rPr>
          <w:rFonts w:asciiTheme="majorHAnsi" w:hAnsiTheme="majorHAnsi" w:cstheme="majorHAnsi"/>
          <w:sz w:val="20"/>
          <w:szCs w:val="20"/>
          <w:lang w:val="ro-RO"/>
        </w:rPr>
        <w:t xml:space="preserve">rapiditatea </w:t>
      </w:r>
      <w:r>
        <w:rPr>
          <w:rFonts w:asciiTheme="majorHAnsi" w:hAnsiTheme="majorHAnsi" w:cstheme="majorHAnsi"/>
          <w:sz w:val="20"/>
          <w:szCs w:val="20"/>
          <w:lang w:val="ro-RO"/>
        </w:rPr>
        <w:t>măsuril</w:t>
      </w:r>
      <w:r w:rsidR="00C86917">
        <w:rPr>
          <w:rFonts w:asciiTheme="majorHAnsi" w:hAnsiTheme="majorHAnsi" w:cstheme="majorHAnsi"/>
          <w:sz w:val="20"/>
          <w:szCs w:val="20"/>
          <w:lang w:val="ro-RO"/>
        </w:rPr>
        <w:t>or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C86917">
        <w:rPr>
          <w:rFonts w:asciiTheme="majorHAnsi" w:hAnsiTheme="majorHAnsi" w:cstheme="majorHAnsi"/>
          <w:sz w:val="20"/>
          <w:szCs w:val="20"/>
          <w:lang w:val="ro-RO"/>
        </w:rPr>
        <w:t>implementate</w:t>
      </w:r>
      <w:r w:rsidR="00327793">
        <w:rPr>
          <w:rFonts w:asciiTheme="majorHAnsi" w:hAnsiTheme="majorHAnsi" w:cstheme="majorHAnsi"/>
          <w:sz w:val="20"/>
          <w:szCs w:val="20"/>
          <w:lang w:val="ro-RO"/>
        </w:rPr>
        <w:t xml:space="preserve"> de acestea</w:t>
      </w:r>
      <w:r w:rsidR="00C86917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033FBA52" w14:textId="3C0A27F3" w:rsidR="00391318" w:rsidRPr="00391318" w:rsidRDefault="00C86917" w:rsidP="00391318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O</w:t>
      </w:r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importantă </w:t>
      </w:r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reducere de activitate se poate observa </w:t>
      </w:r>
      <w:r>
        <w:rPr>
          <w:rFonts w:asciiTheme="majorHAnsi" w:hAnsiTheme="majorHAnsi" w:cstheme="majorHAnsi"/>
          <w:sz w:val="20"/>
          <w:szCs w:val="20"/>
          <w:lang w:val="ro-RO"/>
        </w:rPr>
        <w:t>și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în ceea ce </w:t>
      </w:r>
      <w:proofErr w:type="spellStart"/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>priveşte</w:t>
      </w:r>
      <w:proofErr w:type="spellEnd"/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391318" w:rsidRPr="00556CE0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litigiile contra </w:t>
      </w:r>
      <w:proofErr w:type="spellStart"/>
      <w:r w:rsidR="00391318" w:rsidRPr="00556CE0">
        <w:rPr>
          <w:rFonts w:asciiTheme="majorHAnsi" w:hAnsiTheme="majorHAnsi" w:cstheme="majorHAnsi"/>
          <w:b/>
          <w:bCs/>
          <w:sz w:val="20"/>
          <w:szCs w:val="20"/>
          <w:lang w:val="ro-RO"/>
        </w:rPr>
        <w:t>autorităţilor</w:t>
      </w:r>
      <w:proofErr w:type="spellEnd"/>
      <w:r w:rsidR="00391318" w:rsidRPr="00556CE0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publice</w:t>
      </w:r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(contenciosul administrativ), </w:t>
      </w:r>
      <w:r>
        <w:rPr>
          <w:rFonts w:asciiTheme="majorHAnsi" w:hAnsiTheme="majorHAnsi" w:cstheme="majorHAnsi"/>
          <w:sz w:val="20"/>
          <w:szCs w:val="20"/>
          <w:lang w:val="ro-RO"/>
        </w:rPr>
        <w:t>arie în care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unele </w:t>
      </w:r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instanțe din România au înregistrat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în 2020 </w:t>
      </w:r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o </w:t>
      </w:r>
      <w:r w:rsidRPr="00556CE0">
        <w:rPr>
          <w:rFonts w:asciiTheme="majorHAnsi" w:hAnsiTheme="majorHAnsi" w:cstheme="majorHAnsi"/>
          <w:b/>
          <w:bCs/>
          <w:sz w:val="20"/>
          <w:szCs w:val="20"/>
          <w:lang w:val="ro-RO"/>
        </w:rPr>
        <w:t>scădere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a cauzelor nou </w:t>
      </w:r>
      <w:r>
        <w:rPr>
          <w:rFonts w:asciiTheme="majorHAnsi" w:hAnsiTheme="majorHAnsi" w:cstheme="majorHAnsi"/>
          <w:sz w:val="20"/>
          <w:szCs w:val="20"/>
          <w:lang w:val="ro-RO"/>
        </w:rPr>
        <w:t>înregistrate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cu până la 20% față de anul precedent. Această </w:t>
      </w:r>
      <w:r>
        <w:rPr>
          <w:rFonts w:asciiTheme="majorHAnsi" w:hAnsiTheme="majorHAnsi" w:cstheme="majorHAnsi"/>
          <w:sz w:val="20"/>
          <w:szCs w:val="20"/>
          <w:lang w:val="ro-RO"/>
        </w:rPr>
        <w:t>e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voluție </w:t>
      </w:r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nu poate fi explicată doar prin efectele pandemiei, întrucât se manifestă de mai mulți ani </w:t>
      </w:r>
      <w:proofErr w:type="spellStart"/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, deci, are mai multe cauze. Pe de o parte, </w:t>
      </w:r>
      <w:r>
        <w:rPr>
          <w:rFonts w:asciiTheme="majorHAnsi" w:hAnsiTheme="majorHAnsi" w:cstheme="majorHAnsi"/>
          <w:sz w:val="20"/>
          <w:szCs w:val="20"/>
          <w:lang w:val="ro-RO"/>
        </w:rPr>
        <w:t>ea reflectă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efectele reformei legislative din 2018 în acest domeniu,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>c</w:t>
      </w:r>
      <w:r>
        <w:rPr>
          <w:rFonts w:asciiTheme="majorHAnsi" w:hAnsiTheme="majorHAnsi" w:cstheme="majorHAnsi"/>
          <w:sz w:val="20"/>
          <w:szCs w:val="20"/>
          <w:lang w:val="ro-RO"/>
        </w:rPr>
        <w:t>are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a redus numărul litigiilor ce intră în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>competen</w:t>
      </w:r>
      <w:r>
        <w:rPr>
          <w:rFonts w:asciiTheme="majorHAnsi" w:hAnsiTheme="majorHAnsi" w:cstheme="majorHAnsi"/>
          <w:sz w:val="20"/>
          <w:szCs w:val="20"/>
          <w:lang w:val="ro-RO"/>
        </w:rPr>
        <w:t>ț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a </w:t>
      </w:r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instanțelor specializate în contencios administrativ. Pe de altă parte, activitatea de control a unor autorități a scăzut, cel mai bun exemplu fiind </w:t>
      </w:r>
      <w:r>
        <w:rPr>
          <w:rFonts w:asciiTheme="majorHAnsi" w:hAnsiTheme="majorHAnsi" w:cstheme="majorHAnsi"/>
          <w:sz w:val="20"/>
          <w:szCs w:val="20"/>
          <w:lang w:val="ro-RO"/>
        </w:rPr>
        <w:t>Agenția Națională de Administrare Fiscală</w:t>
      </w:r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, ce </w:t>
      </w:r>
      <w:proofErr w:type="spellStart"/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-a redus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constant </w:t>
      </w:r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activitatea de </w:t>
      </w:r>
      <w:proofErr w:type="spellStart"/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>inspecţie</w:t>
      </w:r>
      <w:proofErr w:type="spellEnd"/>
      <w:r>
        <w:rPr>
          <w:rFonts w:asciiTheme="majorHAnsi" w:hAnsiTheme="majorHAnsi" w:cstheme="majorHAnsi"/>
          <w:sz w:val="20"/>
          <w:szCs w:val="20"/>
          <w:lang w:val="ro-RO"/>
        </w:rPr>
        <w:t xml:space="preserve"> începând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>din 2016</w:t>
      </w:r>
      <w:r>
        <w:rPr>
          <w:rFonts w:asciiTheme="majorHAnsi" w:hAnsiTheme="majorHAnsi" w:cstheme="majorHAnsi"/>
          <w:sz w:val="20"/>
          <w:szCs w:val="20"/>
          <w:lang w:val="ro-RO"/>
        </w:rPr>
        <w:t>.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>
        <w:rPr>
          <w:rFonts w:asciiTheme="majorHAnsi" w:hAnsiTheme="majorHAnsi" w:cstheme="majorHAnsi"/>
          <w:sz w:val="20"/>
          <w:szCs w:val="20"/>
          <w:lang w:val="ro-RO"/>
        </w:rPr>
        <w:t>C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onform </w:t>
      </w:r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>rapoartelor ANAF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391318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în anul 2020 </w:t>
      </w:r>
      <w:r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au fost inițiate </w:t>
      </w:r>
      <w:r w:rsidR="00391318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cu </w:t>
      </w:r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>aprox</w:t>
      </w:r>
      <w:r w:rsidR="00327793">
        <w:rPr>
          <w:rFonts w:asciiTheme="majorHAnsi" w:hAnsiTheme="majorHAnsi" w:cstheme="majorHAnsi"/>
          <w:sz w:val="20"/>
          <w:szCs w:val="20"/>
          <w:lang w:val="ro-RO"/>
        </w:rPr>
        <w:t>imativ</w:t>
      </w:r>
      <w:r w:rsidR="00327793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>1</w:t>
      </w:r>
      <w:r w:rsidR="00391318" w:rsidRPr="00556CE0">
        <w:rPr>
          <w:rFonts w:asciiTheme="majorHAnsi" w:hAnsiTheme="majorHAnsi" w:cstheme="majorHAnsi"/>
          <w:sz w:val="20"/>
          <w:szCs w:val="20"/>
          <w:lang w:val="ro-RO"/>
        </w:rPr>
        <w:t>0% mai puține con</w:t>
      </w:r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troale decât în anii </w:t>
      </w:r>
      <w:proofErr w:type="spellStart"/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>precedenţi</w:t>
      </w:r>
      <w:proofErr w:type="spellEnd"/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. Există însă premisele unui reviriment al acestui sector, având în vedere planurile </w:t>
      </w:r>
      <w:r w:rsidR="00327793">
        <w:rPr>
          <w:rFonts w:asciiTheme="majorHAnsi" w:hAnsiTheme="majorHAnsi" w:cstheme="majorHAnsi"/>
          <w:sz w:val="20"/>
          <w:szCs w:val="20"/>
          <w:lang w:val="ro-RO"/>
        </w:rPr>
        <w:t>autorităților</w:t>
      </w:r>
      <w:r w:rsidR="00327793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de a spori numărul de controale fiscale </w:t>
      </w:r>
      <w:r w:rsidR="00327793">
        <w:rPr>
          <w:rFonts w:asciiTheme="majorHAnsi" w:hAnsiTheme="majorHAnsi" w:cstheme="majorHAnsi"/>
          <w:sz w:val="20"/>
          <w:szCs w:val="20"/>
          <w:lang w:val="ro-RO"/>
        </w:rPr>
        <w:t xml:space="preserve">- </w:t>
      </w:r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PNRR </w:t>
      </w:r>
      <w:r w:rsidR="00327793">
        <w:rPr>
          <w:rFonts w:asciiTheme="majorHAnsi" w:hAnsiTheme="majorHAnsi" w:cstheme="majorHAnsi"/>
          <w:sz w:val="20"/>
          <w:szCs w:val="20"/>
          <w:lang w:val="ro-RO"/>
        </w:rPr>
        <w:t>prevede</w:t>
      </w:r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proofErr w:type="spellStart"/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>creşterea</w:t>
      </w:r>
      <w:proofErr w:type="spellEnd"/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 numărului total de </w:t>
      </w:r>
      <w:proofErr w:type="spellStart"/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>inspecţii</w:t>
      </w:r>
      <w:proofErr w:type="spellEnd"/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 fiscale cu 10% în anii următori, iar implementarea SAF-T este văzută ca o sursă suplimentară de </w:t>
      </w:r>
      <w:proofErr w:type="spellStart"/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>informaţii</w:t>
      </w:r>
      <w:proofErr w:type="spellEnd"/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 pentru controalele fiscale documentare</w:t>
      </w:r>
      <w:r w:rsidR="00327793">
        <w:rPr>
          <w:rFonts w:asciiTheme="majorHAnsi" w:hAnsiTheme="majorHAnsi" w:cstheme="majorHAnsi"/>
          <w:sz w:val="20"/>
          <w:szCs w:val="20"/>
          <w:lang w:val="ro-RO"/>
        </w:rPr>
        <w:t xml:space="preserve"> -</w:t>
      </w:r>
      <w:r w:rsidR="00327793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precum </w:t>
      </w:r>
      <w:proofErr w:type="spellStart"/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 activitatea tot mai intensă a instituțiilor </w:t>
      </w:r>
      <w:r w:rsidR="00327793">
        <w:rPr>
          <w:rFonts w:asciiTheme="majorHAnsi" w:hAnsiTheme="majorHAnsi" w:cstheme="majorHAnsi"/>
          <w:sz w:val="20"/>
          <w:szCs w:val="20"/>
          <w:lang w:val="ro-RO"/>
        </w:rPr>
        <w:t>care pot</w:t>
      </w:r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 aplica </w:t>
      </w:r>
      <w:proofErr w:type="spellStart"/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>sancţiuni</w:t>
      </w:r>
      <w:proofErr w:type="spellEnd"/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327793">
        <w:rPr>
          <w:rFonts w:asciiTheme="majorHAnsi" w:hAnsiTheme="majorHAnsi" w:cstheme="majorHAnsi"/>
          <w:sz w:val="20"/>
          <w:szCs w:val="20"/>
          <w:lang w:val="ro-RO"/>
        </w:rPr>
        <w:t>ce pot duce la întreruperi</w:t>
      </w:r>
      <w:r w:rsidR="00327793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327793">
        <w:rPr>
          <w:rFonts w:asciiTheme="majorHAnsi" w:hAnsiTheme="majorHAnsi" w:cstheme="majorHAnsi"/>
          <w:sz w:val="20"/>
          <w:szCs w:val="20"/>
          <w:lang w:val="ro-RO"/>
        </w:rPr>
        <w:t>în</w:t>
      </w:r>
      <w:r w:rsidR="00327793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activitatea </w:t>
      </w:r>
      <w:r w:rsidR="00327793" w:rsidRPr="00556CE0">
        <w:rPr>
          <w:rFonts w:asciiTheme="majorHAnsi" w:hAnsiTheme="majorHAnsi" w:cstheme="majorHAnsi"/>
          <w:sz w:val="20"/>
          <w:szCs w:val="20"/>
          <w:lang w:val="ro-RO"/>
        </w:rPr>
        <w:t>companiilor</w:t>
      </w:r>
      <w:r w:rsidR="00327793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precum Consiliul </w:t>
      </w:r>
      <w:proofErr w:type="spellStart"/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>Concurenţei</w:t>
      </w:r>
      <w:proofErr w:type="spellEnd"/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 sau ANPC</w:t>
      </w:r>
      <w:r w:rsidR="0095592B">
        <w:rPr>
          <w:rFonts w:asciiTheme="majorHAnsi" w:hAnsiTheme="majorHAnsi" w:cstheme="majorHAnsi"/>
          <w:sz w:val="20"/>
          <w:szCs w:val="20"/>
          <w:lang w:val="ro-RO"/>
        </w:rPr>
        <w:t>. Toate acestea</w:t>
      </w:r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95592B">
        <w:rPr>
          <w:rFonts w:asciiTheme="majorHAnsi" w:hAnsiTheme="majorHAnsi" w:cstheme="majorHAnsi"/>
          <w:sz w:val="20"/>
          <w:szCs w:val="20"/>
          <w:lang w:val="ro-RO"/>
        </w:rPr>
        <w:t>vor</w:t>
      </w:r>
      <w:r w:rsidR="007F0315" w:rsidRPr="00556CE0">
        <w:rPr>
          <w:rFonts w:asciiTheme="majorHAnsi" w:hAnsiTheme="majorHAnsi" w:cstheme="majorHAnsi"/>
          <w:sz w:val="20"/>
          <w:szCs w:val="20"/>
          <w:lang w:val="ro-RO"/>
        </w:rPr>
        <w:t xml:space="preserve"> crea premisele unui posibil val de litigii administrative.</w:t>
      </w:r>
    </w:p>
    <w:p w14:paraId="3EDB8FDD" w14:textId="77777777" w:rsidR="00391318" w:rsidRPr="00391318" w:rsidRDefault="00391318" w:rsidP="00391318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Singura materie care a înregistrat o </w:t>
      </w:r>
      <w:r w:rsidRPr="00556CE0">
        <w:rPr>
          <w:rFonts w:asciiTheme="majorHAnsi" w:hAnsiTheme="majorHAnsi" w:cstheme="majorHAnsi"/>
          <w:b/>
          <w:bCs/>
          <w:sz w:val="20"/>
          <w:szCs w:val="20"/>
          <w:lang w:val="ro-RO"/>
        </w:rPr>
        <w:t>creștere notabilă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este cea </w:t>
      </w:r>
      <w:r w:rsidRPr="00556CE0">
        <w:rPr>
          <w:rFonts w:asciiTheme="majorHAnsi" w:hAnsiTheme="majorHAnsi" w:cstheme="majorHAnsi"/>
          <w:b/>
          <w:bCs/>
          <w:sz w:val="20"/>
          <w:szCs w:val="20"/>
          <w:lang w:val="ro-RO"/>
        </w:rPr>
        <w:t>a litigiilor de muncă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. În ciuda activității mai reduse a instanțelor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a piedicilor cauzate de pandemie, în anul 2020 au fost inițiate cu aproape 6% mai multe dosare față de anul precedent în ceea ce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priveşte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raporturile dintre angajați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angajatori. Această situație poate fi explicată prin numărul mare de măsuri de restructurare a forței de muncă luate de companii în această perioadă. Potențialul de creștere a acestui tip de litigii există în continuare, având în vedere că în anul 2017 nivelul era cu 40% mai ridicat decât în 2020.</w:t>
      </w:r>
    </w:p>
    <w:p w14:paraId="082AF459" w14:textId="22C34877" w:rsidR="00391318" w:rsidRPr="00391318" w:rsidRDefault="00391318" w:rsidP="00391318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391318">
        <w:rPr>
          <w:rFonts w:asciiTheme="majorHAnsi" w:hAnsiTheme="majorHAnsi" w:cstheme="majorHAnsi"/>
          <w:sz w:val="20"/>
          <w:szCs w:val="20"/>
          <w:lang w:val="ro-RO"/>
        </w:rPr>
        <w:lastRenderedPageBreak/>
        <w:t xml:space="preserve">Raportul CSM indică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alocarea teritorială a litigiilor din România</w:t>
      </w:r>
      <w:r w:rsidR="00C86917">
        <w:rPr>
          <w:rFonts w:asciiTheme="majorHAnsi" w:hAnsiTheme="majorHAnsi" w:cstheme="majorHAnsi"/>
          <w:sz w:val="20"/>
          <w:szCs w:val="20"/>
          <w:lang w:val="ro-RO"/>
        </w:rPr>
        <w:t>.</w:t>
      </w:r>
      <w:r w:rsidR="00C86917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C86917">
        <w:rPr>
          <w:rFonts w:asciiTheme="majorHAnsi" w:hAnsiTheme="majorHAnsi" w:cstheme="majorHAnsi"/>
          <w:sz w:val="20"/>
          <w:szCs w:val="20"/>
          <w:lang w:val="ro-RO"/>
        </w:rPr>
        <w:t xml:space="preserve">Astfel,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cinci Curți de Apel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instanțel</w:t>
      </w:r>
      <w:r w:rsidR="00C86917">
        <w:rPr>
          <w:rFonts w:asciiTheme="majorHAnsi" w:hAnsiTheme="majorHAnsi" w:cstheme="majorHAnsi"/>
          <w:sz w:val="20"/>
          <w:szCs w:val="20"/>
          <w:lang w:val="ro-RO"/>
        </w:rPr>
        <w:t>e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arondate acestora înregistrează peste jumătate (55%) din activitatea tuturor instanțelor din România, ceea ce reflectă o activitate socială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economică mai intensă.</w:t>
      </w:r>
      <w:r w:rsidR="00C86917">
        <w:rPr>
          <w:rFonts w:asciiTheme="majorHAnsi" w:hAnsiTheme="majorHAnsi" w:cstheme="majorHAnsi"/>
          <w:sz w:val="20"/>
          <w:szCs w:val="20"/>
          <w:lang w:val="ro-RO"/>
        </w:rPr>
        <w:t xml:space="preserve"> Este vorba despre </w:t>
      </w:r>
      <w:r w:rsidR="00C86917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Curțile de Apel din </w:t>
      </w:r>
      <w:r w:rsidR="00C86917" w:rsidRPr="00556CE0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București, Craiova, Ploiești, Cluj </w:t>
      </w:r>
      <w:proofErr w:type="spellStart"/>
      <w:r w:rsidR="00C86917" w:rsidRPr="00556CE0">
        <w:rPr>
          <w:rFonts w:asciiTheme="majorHAnsi" w:hAnsiTheme="majorHAnsi" w:cstheme="majorHAnsi"/>
          <w:b/>
          <w:bCs/>
          <w:sz w:val="20"/>
          <w:szCs w:val="20"/>
          <w:lang w:val="ro-RO"/>
        </w:rPr>
        <w:t>şi</w:t>
      </w:r>
      <w:proofErr w:type="spellEnd"/>
      <w:r w:rsidR="00C86917" w:rsidRPr="00556CE0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Timișoara</w:t>
      </w:r>
      <w:r w:rsidR="00C86917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72ECA364" w14:textId="7A4FD921" w:rsidR="00391318" w:rsidRPr="00391318" w:rsidRDefault="00391318" w:rsidP="00391318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Nu în ultimul rând, </w:t>
      </w:r>
      <w:r w:rsidR="00C86917">
        <w:rPr>
          <w:rFonts w:asciiTheme="majorHAnsi" w:hAnsiTheme="majorHAnsi" w:cstheme="majorHAnsi"/>
          <w:sz w:val="20"/>
          <w:szCs w:val="20"/>
          <w:lang w:val="ro-RO"/>
        </w:rPr>
        <w:t>r</w:t>
      </w:r>
      <w:r w:rsidR="00C86917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aportul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CSM reflectă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modul în care justiția din România a început să se adapteze la noua realitate cauzată de pandemie, în principal </w:t>
      </w:r>
      <w:r w:rsidR="00C86917">
        <w:rPr>
          <w:rFonts w:asciiTheme="majorHAnsi" w:hAnsiTheme="majorHAnsi" w:cstheme="majorHAnsi"/>
          <w:sz w:val="20"/>
          <w:szCs w:val="20"/>
          <w:lang w:val="ro-RO"/>
        </w:rPr>
        <w:t xml:space="preserve">prin </w:t>
      </w:r>
      <w:r w:rsidR="00C86917" w:rsidRPr="00556CE0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demararea </w:t>
      </w:r>
      <w:r w:rsidRPr="00556CE0">
        <w:rPr>
          <w:rFonts w:asciiTheme="majorHAnsi" w:hAnsiTheme="majorHAnsi" w:cstheme="majorHAnsi"/>
          <w:b/>
          <w:bCs/>
          <w:sz w:val="20"/>
          <w:szCs w:val="20"/>
          <w:lang w:val="ro-RO"/>
        </w:rPr>
        <w:t>procesul</w:t>
      </w:r>
      <w:r w:rsidR="00C86917" w:rsidRPr="00556CE0">
        <w:rPr>
          <w:rFonts w:asciiTheme="majorHAnsi" w:hAnsiTheme="majorHAnsi" w:cstheme="majorHAnsi"/>
          <w:b/>
          <w:bCs/>
          <w:sz w:val="20"/>
          <w:szCs w:val="20"/>
          <w:lang w:val="ro-RO"/>
        </w:rPr>
        <w:t>ui</w:t>
      </w:r>
      <w:r w:rsidRPr="00556CE0">
        <w:rPr>
          <w:rFonts w:asciiTheme="majorHAnsi" w:hAnsiTheme="majorHAnsi" w:cstheme="majorHAnsi"/>
          <w:b/>
          <w:bCs/>
          <w:sz w:val="20"/>
          <w:szCs w:val="20"/>
          <w:lang w:val="ro-RO"/>
        </w:rPr>
        <w:t xml:space="preserve"> de digitalizare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, atât din perspectiva măsurilor deja luate, cât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din perspectiva planurilor pentru viitor. CSM a evidențiat eficacitatea unor măsuri precum generalizarea utilizării </w:t>
      </w:r>
      <w:r w:rsidR="00C86917" w:rsidRPr="007F0315">
        <w:rPr>
          <w:rFonts w:asciiTheme="majorHAnsi" w:hAnsiTheme="majorHAnsi" w:cstheme="majorHAnsi"/>
          <w:iCs/>
          <w:sz w:val="20"/>
          <w:szCs w:val="20"/>
          <w:lang w:val="ro-RO"/>
        </w:rPr>
        <w:t xml:space="preserve">dosarului </w:t>
      </w:r>
      <w:r w:rsidRPr="007F0315">
        <w:rPr>
          <w:rFonts w:asciiTheme="majorHAnsi" w:hAnsiTheme="majorHAnsi" w:cstheme="majorHAnsi"/>
          <w:iCs/>
          <w:sz w:val="20"/>
          <w:szCs w:val="20"/>
          <w:lang w:val="ro-RO"/>
        </w:rPr>
        <w:t>electronic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la nivelul întregii țări, lansarea serviciului de comunicare electronică a actelor de procedură sau chiar desfășurarea ședințelor de judecată prin video-conferință (în anumite cauze penale), dar totodată a subliniat că pandemia a scos la iveală neajunsurile dotărilor tehnice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a</w:t>
      </w:r>
      <w:r w:rsidR="00C86917">
        <w:rPr>
          <w:rFonts w:asciiTheme="majorHAnsi" w:hAnsiTheme="majorHAnsi" w:cstheme="majorHAnsi"/>
          <w:sz w:val="20"/>
          <w:szCs w:val="20"/>
          <w:lang w:val="ro-RO"/>
        </w:rPr>
        <w:t>le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personalului IT din cadrul instanțelor judecătorești, cauzate de slaba finanțare a sistemului judiciar. Aceste concluzii pot fi </w:t>
      </w:r>
      <w:r w:rsidR="00C86917">
        <w:rPr>
          <w:rFonts w:asciiTheme="majorHAnsi" w:hAnsiTheme="majorHAnsi" w:cstheme="majorHAnsi"/>
          <w:sz w:val="20"/>
          <w:szCs w:val="20"/>
          <w:lang w:val="ro-RO"/>
        </w:rPr>
        <w:t>analizate</w:t>
      </w:r>
      <w:r w:rsidR="00C86917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C86917">
        <w:rPr>
          <w:rFonts w:asciiTheme="majorHAnsi" w:hAnsiTheme="majorHAnsi" w:cstheme="majorHAnsi"/>
          <w:sz w:val="20"/>
          <w:szCs w:val="20"/>
          <w:lang w:val="ro-RO"/>
        </w:rPr>
        <w:t xml:space="preserve">prin prisma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Planului </w:t>
      </w:r>
      <w:r w:rsidR="00C86917">
        <w:rPr>
          <w:rFonts w:asciiTheme="majorHAnsi" w:hAnsiTheme="majorHAnsi" w:cstheme="majorHAnsi"/>
          <w:sz w:val="20"/>
          <w:szCs w:val="20"/>
          <w:lang w:val="ro-RO"/>
        </w:rPr>
        <w:t xml:space="preserve">Național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de Redresare </w:t>
      </w:r>
      <w:proofErr w:type="spellStart"/>
      <w:r w:rsidRPr="00391318">
        <w:rPr>
          <w:rFonts w:asciiTheme="majorHAnsi" w:hAnsiTheme="majorHAnsi" w:cstheme="majorHAnsi"/>
          <w:sz w:val="20"/>
          <w:szCs w:val="20"/>
          <w:lang w:val="ro-RO"/>
        </w:rPr>
        <w:t>şi</w:t>
      </w:r>
      <w:proofErr w:type="spellEnd"/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Reziliență, </w:t>
      </w:r>
      <w:r w:rsidR="00C86917">
        <w:rPr>
          <w:rFonts w:asciiTheme="majorHAnsi" w:hAnsiTheme="majorHAnsi" w:cstheme="majorHAnsi"/>
          <w:sz w:val="20"/>
          <w:szCs w:val="20"/>
          <w:lang w:val="ro-RO"/>
        </w:rPr>
        <w:t>care prevede că</w:t>
      </w:r>
      <w:r w:rsidR="007F0315">
        <w:rPr>
          <w:rFonts w:asciiTheme="majorHAnsi" w:hAnsiTheme="majorHAnsi" w:cstheme="majorHAnsi"/>
          <w:sz w:val="20"/>
          <w:szCs w:val="20"/>
          <w:lang w:val="ro-RO"/>
        </w:rPr>
        <w:t xml:space="preserve"> aprox</w:t>
      </w:r>
      <w:r w:rsidR="0095592B">
        <w:rPr>
          <w:rFonts w:asciiTheme="majorHAnsi" w:hAnsiTheme="majorHAnsi" w:cstheme="majorHAnsi"/>
          <w:sz w:val="20"/>
          <w:szCs w:val="20"/>
          <w:lang w:val="ro-RO"/>
        </w:rPr>
        <w:t>imativ</w:t>
      </w:r>
      <w:r w:rsidR="0095592B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>75% din fondurile alocate pentru reforma sistemului judiciar (în total</w:t>
      </w:r>
      <w:r w:rsidR="00C86917"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peste 220 </w:t>
      </w:r>
      <w:r w:rsidR="00C86917">
        <w:rPr>
          <w:rFonts w:asciiTheme="majorHAnsi" w:hAnsiTheme="majorHAnsi" w:cstheme="majorHAnsi"/>
          <w:sz w:val="20"/>
          <w:szCs w:val="20"/>
          <w:lang w:val="ro-RO"/>
        </w:rPr>
        <w:t xml:space="preserve">de 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milioane </w:t>
      </w:r>
      <w:r w:rsidR="00C86917">
        <w:rPr>
          <w:rFonts w:asciiTheme="majorHAnsi" w:hAnsiTheme="majorHAnsi" w:cstheme="majorHAnsi"/>
          <w:sz w:val="20"/>
          <w:szCs w:val="20"/>
          <w:lang w:val="ro-RO"/>
        </w:rPr>
        <w:t>de e</w:t>
      </w:r>
      <w:r w:rsidR="00C86917" w:rsidRPr="00391318">
        <w:rPr>
          <w:rFonts w:asciiTheme="majorHAnsi" w:hAnsiTheme="majorHAnsi" w:cstheme="majorHAnsi"/>
          <w:sz w:val="20"/>
          <w:szCs w:val="20"/>
          <w:lang w:val="ro-RO"/>
        </w:rPr>
        <w:t>uro</w:t>
      </w:r>
      <w:r w:rsidRPr="00391318">
        <w:rPr>
          <w:rFonts w:asciiTheme="majorHAnsi" w:hAnsiTheme="majorHAnsi" w:cstheme="majorHAnsi"/>
          <w:sz w:val="20"/>
          <w:szCs w:val="20"/>
          <w:lang w:val="ro-RO"/>
        </w:rPr>
        <w:t>) vizează transformarea digitală a Justiției.</w:t>
      </w:r>
    </w:p>
    <w:p w14:paraId="7B4521D8" w14:textId="77777777" w:rsidR="00391318" w:rsidRPr="00391318" w:rsidRDefault="00391318" w:rsidP="00391318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263058AD" w14:textId="232532AA" w:rsidR="00391318" w:rsidRPr="00391318" w:rsidRDefault="00391318" w:rsidP="00391318">
      <w:pPr>
        <w:spacing w:after="80" w:line="264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</w:p>
    <w:p w14:paraId="27C6AC68" w14:textId="65157B6C" w:rsidR="00391318" w:rsidRPr="00391318" w:rsidRDefault="00E65309" w:rsidP="00391318">
      <w:pPr>
        <w:spacing w:after="80" w:line="264" w:lineRule="auto"/>
        <w:jc w:val="both"/>
        <w:rPr>
          <w:rFonts w:asciiTheme="majorHAnsi" w:hAnsiTheme="majorHAnsi" w:cstheme="majorHAnsi"/>
          <w:i/>
          <w:sz w:val="20"/>
          <w:szCs w:val="20"/>
          <w:lang w:val="ro-RO"/>
        </w:rPr>
      </w:pPr>
      <w:r w:rsidRPr="00391318">
        <w:rPr>
          <w:rFonts w:asciiTheme="majorHAnsi" w:hAnsiTheme="majorHAnsi" w:cstheme="majorHAnsi"/>
          <w:i/>
          <w:sz w:val="20"/>
          <w:szCs w:val="20"/>
          <w:lang w:val="ro-RO"/>
        </w:rPr>
        <w:t xml:space="preserve">Mihnea </w:t>
      </w:r>
      <w:proofErr w:type="spellStart"/>
      <w:r w:rsidRPr="00391318">
        <w:rPr>
          <w:rFonts w:asciiTheme="majorHAnsi" w:hAnsiTheme="majorHAnsi" w:cstheme="majorHAnsi"/>
          <w:i/>
          <w:sz w:val="20"/>
          <w:szCs w:val="20"/>
          <w:lang w:val="ro-RO"/>
        </w:rPr>
        <w:t>Galgoţiu</w:t>
      </w:r>
      <w:proofErr w:type="spellEnd"/>
      <w:r w:rsidRPr="00391318">
        <w:rPr>
          <w:rFonts w:asciiTheme="majorHAnsi" w:hAnsiTheme="majorHAnsi" w:cstheme="majorHAnsi"/>
          <w:i/>
          <w:sz w:val="20"/>
          <w:szCs w:val="20"/>
          <w:lang w:val="ro-RO"/>
        </w:rPr>
        <w:t>-Săraru</w:t>
      </w:r>
      <w:r>
        <w:rPr>
          <w:rFonts w:asciiTheme="majorHAnsi" w:hAnsiTheme="majorHAnsi" w:cstheme="majorHAnsi"/>
          <w:i/>
          <w:sz w:val="20"/>
          <w:szCs w:val="20"/>
          <w:lang w:val="ro-RO"/>
        </w:rPr>
        <w:t xml:space="preserve"> coordonează p</w:t>
      </w:r>
      <w:r w:rsidRPr="00391318">
        <w:rPr>
          <w:rFonts w:asciiTheme="majorHAnsi" w:hAnsiTheme="majorHAnsi" w:cstheme="majorHAnsi"/>
          <w:i/>
          <w:sz w:val="20"/>
          <w:szCs w:val="20"/>
          <w:lang w:val="ro-RO"/>
        </w:rPr>
        <w:t xml:space="preserve">ractica </w:t>
      </w:r>
      <w:r w:rsidR="00391318" w:rsidRPr="00391318">
        <w:rPr>
          <w:rFonts w:asciiTheme="majorHAnsi" w:hAnsiTheme="majorHAnsi" w:cstheme="majorHAnsi"/>
          <w:i/>
          <w:sz w:val="20"/>
          <w:szCs w:val="20"/>
          <w:lang w:val="ro-RO"/>
        </w:rPr>
        <w:t>de Soluționare</w:t>
      </w:r>
      <w:r w:rsidR="00391318" w:rsidRPr="00391318"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="00391318" w:rsidRPr="00391318">
        <w:rPr>
          <w:rFonts w:asciiTheme="majorHAnsi" w:hAnsiTheme="majorHAnsi" w:cstheme="majorHAnsi"/>
          <w:i/>
          <w:sz w:val="20"/>
          <w:szCs w:val="20"/>
          <w:lang w:val="ro-RO"/>
        </w:rPr>
        <w:t xml:space="preserve">a Disputelor din cadrul Reff &amp; Asociații </w:t>
      </w:r>
      <w:r w:rsidR="00391318" w:rsidRPr="00391318">
        <w:rPr>
          <w:rFonts w:asciiTheme="majorHAnsi" w:hAnsiTheme="majorHAnsi" w:cstheme="majorHAnsi"/>
          <w:i/>
          <w:sz w:val="20"/>
          <w:szCs w:val="20"/>
        </w:rPr>
        <w:t xml:space="preserve">| </w:t>
      </w:r>
      <w:r w:rsidR="00391318" w:rsidRPr="00391318">
        <w:rPr>
          <w:rFonts w:asciiTheme="majorHAnsi" w:hAnsiTheme="majorHAnsi" w:cstheme="majorHAnsi"/>
          <w:i/>
          <w:sz w:val="20"/>
          <w:szCs w:val="20"/>
          <w:lang w:val="ro-RO"/>
        </w:rPr>
        <w:t>Deloitte Legal</w:t>
      </w:r>
      <w:r>
        <w:rPr>
          <w:rFonts w:asciiTheme="majorHAnsi" w:hAnsiTheme="majorHAnsi" w:cstheme="majorHAnsi"/>
          <w:i/>
          <w:sz w:val="20"/>
          <w:szCs w:val="20"/>
          <w:lang w:val="ro-RO"/>
        </w:rPr>
        <w:t>, care</w:t>
      </w:r>
      <w:r w:rsidR="00391318" w:rsidRPr="00391318">
        <w:rPr>
          <w:rFonts w:asciiTheme="majorHAnsi" w:hAnsiTheme="majorHAnsi" w:cstheme="majorHAnsi"/>
          <w:i/>
          <w:sz w:val="20"/>
          <w:szCs w:val="20"/>
          <w:lang w:val="ro-RO"/>
        </w:rPr>
        <w:t xml:space="preserve"> cuprinde peste 20 de avocați </w:t>
      </w:r>
      <w:proofErr w:type="spellStart"/>
      <w:r w:rsidR="00391318" w:rsidRPr="00391318">
        <w:rPr>
          <w:rFonts w:asciiTheme="majorHAnsi" w:hAnsiTheme="majorHAnsi" w:cstheme="majorHAnsi"/>
          <w:i/>
          <w:sz w:val="20"/>
          <w:szCs w:val="20"/>
          <w:lang w:val="ro-RO"/>
        </w:rPr>
        <w:t>şi</w:t>
      </w:r>
      <w:proofErr w:type="spellEnd"/>
      <w:r w:rsidR="00391318" w:rsidRPr="00391318">
        <w:rPr>
          <w:rFonts w:asciiTheme="majorHAnsi" w:hAnsiTheme="majorHAnsi" w:cstheme="majorHAnsi"/>
          <w:i/>
          <w:sz w:val="20"/>
          <w:szCs w:val="20"/>
          <w:lang w:val="ro-RO"/>
        </w:rPr>
        <w:t xml:space="preserve"> acoperă toate tipurile de litigii de business, de la dispute fiscale, administrative </w:t>
      </w:r>
      <w:proofErr w:type="spellStart"/>
      <w:r w:rsidR="00391318" w:rsidRPr="00391318">
        <w:rPr>
          <w:rFonts w:asciiTheme="majorHAnsi" w:hAnsiTheme="majorHAnsi" w:cstheme="majorHAnsi"/>
          <w:i/>
          <w:sz w:val="20"/>
          <w:szCs w:val="20"/>
          <w:lang w:val="ro-RO"/>
        </w:rPr>
        <w:t>şi</w:t>
      </w:r>
      <w:proofErr w:type="spellEnd"/>
      <w:r w:rsidR="00391318" w:rsidRPr="00391318">
        <w:rPr>
          <w:rFonts w:asciiTheme="majorHAnsi" w:hAnsiTheme="majorHAnsi" w:cstheme="majorHAnsi"/>
          <w:i/>
          <w:sz w:val="20"/>
          <w:szCs w:val="20"/>
          <w:lang w:val="ro-RO"/>
        </w:rPr>
        <w:t xml:space="preserve"> comerciale, la arbitraje locale </w:t>
      </w:r>
      <w:proofErr w:type="spellStart"/>
      <w:r w:rsidR="00391318" w:rsidRPr="00391318">
        <w:rPr>
          <w:rFonts w:asciiTheme="majorHAnsi" w:hAnsiTheme="majorHAnsi" w:cstheme="majorHAnsi"/>
          <w:i/>
          <w:sz w:val="20"/>
          <w:szCs w:val="20"/>
          <w:lang w:val="ro-RO"/>
        </w:rPr>
        <w:t>şi</w:t>
      </w:r>
      <w:proofErr w:type="spellEnd"/>
      <w:r w:rsidR="00391318" w:rsidRPr="00391318">
        <w:rPr>
          <w:rFonts w:asciiTheme="majorHAnsi" w:hAnsiTheme="majorHAnsi" w:cstheme="majorHAnsi"/>
          <w:i/>
          <w:sz w:val="20"/>
          <w:szCs w:val="20"/>
          <w:lang w:val="ro-RO"/>
        </w:rPr>
        <w:t xml:space="preserve"> internaționale.</w:t>
      </w:r>
    </w:p>
    <w:p w14:paraId="1CBFA52D" w14:textId="77777777" w:rsidR="007536FA" w:rsidRPr="009A244F" w:rsidRDefault="007536FA" w:rsidP="00391318">
      <w:pPr>
        <w:spacing w:after="80" w:line="264" w:lineRule="auto"/>
        <w:jc w:val="both"/>
        <w:rPr>
          <w:lang w:val="ro-RO"/>
        </w:rPr>
      </w:pPr>
    </w:p>
    <w:sectPr w:rsidR="007536FA" w:rsidRPr="009A244F" w:rsidSect="00EC243B">
      <w:headerReference w:type="default" r:id="rId8"/>
      <w:footerReference w:type="default" r:id="rId9"/>
      <w:footerReference w:type="first" r:id="rId10"/>
      <w:pgSz w:w="12242" w:h="15842" w:code="1"/>
      <w:pgMar w:top="1350" w:right="1247" w:bottom="1134" w:left="1247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FCB9" w14:textId="77777777" w:rsidR="00C95A92" w:rsidRDefault="00C95A92">
      <w:pPr>
        <w:spacing w:line="240" w:lineRule="auto"/>
      </w:pPr>
      <w:r>
        <w:separator/>
      </w:r>
    </w:p>
  </w:endnote>
  <w:endnote w:type="continuationSeparator" w:id="0">
    <w:p w14:paraId="78497F8D" w14:textId="77777777" w:rsidR="00C95A92" w:rsidRDefault="00C95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BCDC" w14:textId="77777777" w:rsidR="00F15F5C" w:rsidRDefault="00C95A92" w:rsidP="0079305A">
    <w:pPr>
      <w:pStyle w:val="Footer"/>
      <w:tabs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B3A4" w14:textId="77777777" w:rsidR="00F15F5C" w:rsidRDefault="00C95A92">
    <w:pPr>
      <w:pStyle w:val="Footer"/>
    </w:pPr>
  </w:p>
  <w:p w14:paraId="19D67817" w14:textId="77777777" w:rsidR="00C91E9C" w:rsidRDefault="00C95A92">
    <w:pPr>
      <w:pStyle w:val="Footer"/>
    </w:pPr>
  </w:p>
  <w:p w14:paraId="53C9D835" w14:textId="77777777" w:rsidR="002823F1" w:rsidRPr="009A244F" w:rsidRDefault="00170069">
    <w:pPr>
      <w:pStyle w:val="Footer"/>
      <w:rPr>
        <w:lang w:val="fr-FR"/>
      </w:rPr>
    </w:pPr>
    <w:r w:rsidRPr="009A244F">
      <w:rPr>
        <w:lang w:val="fr-FR"/>
      </w:rPr>
      <w:t xml:space="preserve">Reff si </w:t>
    </w:r>
    <w:proofErr w:type="spellStart"/>
    <w:r w:rsidRPr="009A244F">
      <w:rPr>
        <w:lang w:val="fr-FR"/>
      </w:rPr>
      <w:t>Asociatii</w:t>
    </w:r>
    <w:proofErr w:type="spellEnd"/>
    <w:r w:rsidRPr="009A244F">
      <w:rPr>
        <w:lang w:val="fr-FR"/>
      </w:rPr>
      <w:t xml:space="preserve"> SCA este </w:t>
    </w:r>
    <w:proofErr w:type="spellStart"/>
    <w:r w:rsidRPr="009A244F">
      <w:rPr>
        <w:lang w:val="fr-FR"/>
      </w:rPr>
      <w:t>societate</w:t>
    </w:r>
    <w:proofErr w:type="spellEnd"/>
    <w:r w:rsidRPr="009A244F">
      <w:rPr>
        <w:lang w:val="fr-FR"/>
      </w:rPr>
      <w:t xml:space="preserve"> de </w:t>
    </w:r>
    <w:proofErr w:type="spellStart"/>
    <w:r w:rsidRPr="009A244F">
      <w:rPr>
        <w:lang w:val="fr-FR"/>
      </w:rPr>
      <w:t>avocati</w:t>
    </w:r>
    <w:proofErr w:type="spellEnd"/>
    <w:r w:rsidRPr="009A244F">
      <w:rPr>
        <w:lang w:val="fr-FR"/>
      </w:rPr>
      <w:t xml:space="preserve"> membra a </w:t>
    </w:r>
    <w:proofErr w:type="spellStart"/>
    <w:r w:rsidRPr="009A244F">
      <w:rPr>
        <w:lang w:val="fr-FR"/>
      </w:rPr>
      <w:t>Baroului</w:t>
    </w:r>
    <w:proofErr w:type="spellEnd"/>
    <w:r w:rsidRPr="009A244F">
      <w:rPr>
        <w:lang w:val="fr-FR"/>
      </w:rPr>
      <w:t xml:space="preserve"> Bucuresti, </w:t>
    </w:r>
    <w:proofErr w:type="spellStart"/>
    <w:r w:rsidRPr="009A244F">
      <w:rPr>
        <w:lang w:val="fr-FR"/>
      </w:rPr>
      <w:t>independenta</w:t>
    </w:r>
    <w:proofErr w:type="spellEnd"/>
    <w:r w:rsidRPr="009A244F">
      <w:rPr>
        <w:lang w:val="fr-FR"/>
      </w:rPr>
      <w:t xml:space="preserve"> in </w:t>
    </w:r>
    <w:proofErr w:type="spellStart"/>
    <w:r w:rsidRPr="009A244F">
      <w:rPr>
        <w:lang w:val="fr-FR"/>
      </w:rPr>
      <w:t>conformitate</w:t>
    </w:r>
    <w:proofErr w:type="spellEnd"/>
    <w:r w:rsidRPr="009A244F">
      <w:rPr>
        <w:lang w:val="fr-FR"/>
      </w:rPr>
      <w:t xml:space="preserve"> </w:t>
    </w:r>
    <w:proofErr w:type="spellStart"/>
    <w:r w:rsidRPr="009A244F">
      <w:rPr>
        <w:lang w:val="fr-FR"/>
      </w:rPr>
      <w:t>cu</w:t>
    </w:r>
    <w:proofErr w:type="spellEnd"/>
    <w:r w:rsidRPr="009A244F">
      <w:rPr>
        <w:lang w:val="fr-FR"/>
      </w:rPr>
      <w:t xml:space="preserve"> </w:t>
    </w:r>
    <w:proofErr w:type="spellStart"/>
    <w:r w:rsidRPr="009A244F">
      <w:rPr>
        <w:lang w:val="fr-FR"/>
      </w:rPr>
      <w:t>reglementarile</w:t>
    </w:r>
    <w:proofErr w:type="spellEnd"/>
    <w:r w:rsidRPr="009A244F">
      <w:rPr>
        <w:lang w:val="fr-FR"/>
      </w:rPr>
      <w:t xml:space="preserve"> </w:t>
    </w:r>
    <w:proofErr w:type="spellStart"/>
    <w:r w:rsidRPr="009A244F">
      <w:rPr>
        <w:lang w:val="fr-FR"/>
      </w:rPr>
      <w:t>aplicabile</w:t>
    </w:r>
    <w:proofErr w:type="spellEnd"/>
    <w:r w:rsidRPr="009A244F">
      <w:rPr>
        <w:lang w:val="fr-FR"/>
      </w:rPr>
      <w:t xml:space="preserve"> </w:t>
    </w:r>
    <w:proofErr w:type="spellStart"/>
    <w:r w:rsidRPr="009A244F">
      <w:rPr>
        <w:lang w:val="fr-FR"/>
      </w:rPr>
      <w:t>profesiei</w:t>
    </w:r>
    <w:proofErr w:type="spellEnd"/>
    <w:r w:rsidRPr="009A244F">
      <w:rPr>
        <w:lang w:val="fr-FR"/>
      </w:rPr>
      <w:t xml:space="preserve"> </w:t>
    </w:r>
    <w:proofErr w:type="gramStart"/>
    <w:r w:rsidRPr="009A244F">
      <w:rPr>
        <w:lang w:val="fr-FR"/>
      </w:rPr>
      <w:t>de avocat</w:t>
    </w:r>
    <w:proofErr w:type="gramEnd"/>
    <w:r w:rsidRPr="009A244F">
      <w:rPr>
        <w:lang w:val="fr-FR"/>
      </w:rPr>
      <w:t xml:space="preserve">, si </w:t>
    </w:r>
    <w:proofErr w:type="spellStart"/>
    <w:r w:rsidRPr="009A244F">
      <w:rPr>
        <w:lang w:val="fr-FR"/>
      </w:rPr>
      <w:t>reprezinta</w:t>
    </w:r>
    <w:proofErr w:type="spellEnd"/>
    <w:r w:rsidRPr="009A244F">
      <w:rPr>
        <w:lang w:val="fr-FR"/>
      </w:rPr>
      <w:t xml:space="preserve"> </w:t>
    </w:r>
    <w:proofErr w:type="spellStart"/>
    <w:r w:rsidRPr="009A244F">
      <w:rPr>
        <w:lang w:val="fr-FR"/>
      </w:rPr>
      <w:t>reteaua</w:t>
    </w:r>
    <w:proofErr w:type="spellEnd"/>
    <w:r w:rsidRPr="009A244F">
      <w:rPr>
        <w:lang w:val="fr-FR"/>
      </w:rPr>
      <w:t xml:space="preserve"> de </w:t>
    </w:r>
    <w:proofErr w:type="spellStart"/>
    <w:r w:rsidRPr="009A244F">
      <w:rPr>
        <w:lang w:val="fr-FR"/>
      </w:rPr>
      <w:t>societati</w:t>
    </w:r>
    <w:proofErr w:type="spellEnd"/>
    <w:r w:rsidRPr="009A244F">
      <w:rPr>
        <w:lang w:val="fr-FR"/>
      </w:rPr>
      <w:t xml:space="preserve"> de </w:t>
    </w:r>
    <w:proofErr w:type="spellStart"/>
    <w:r w:rsidRPr="009A244F">
      <w:rPr>
        <w:lang w:val="fr-FR"/>
      </w:rPr>
      <w:t>avocati</w:t>
    </w:r>
    <w:proofErr w:type="spellEnd"/>
    <w:r w:rsidRPr="009A244F">
      <w:rPr>
        <w:lang w:val="fr-FR"/>
      </w:rPr>
      <w:t xml:space="preserve"> Deloitte Legal in Romania. Deloitte Legal </w:t>
    </w:r>
    <w:proofErr w:type="spellStart"/>
    <w:r w:rsidRPr="009A244F">
      <w:rPr>
        <w:lang w:val="fr-FR"/>
      </w:rPr>
      <w:t>inseamna</w:t>
    </w:r>
    <w:proofErr w:type="spellEnd"/>
    <w:r w:rsidRPr="009A244F">
      <w:rPr>
        <w:lang w:val="fr-FR"/>
      </w:rPr>
      <w:t xml:space="preserve"> </w:t>
    </w:r>
    <w:proofErr w:type="spellStart"/>
    <w:r w:rsidRPr="009A244F">
      <w:rPr>
        <w:lang w:val="fr-FR"/>
      </w:rPr>
      <w:t>practicile</w:t>
    </w:r>
    <w:proofErr w:type="spellEnd"/>
    <w:r w:rsidRPr="009A244F">
      <w:rPr>
        <w:lang w:val="fr-FR"/>
      </w:rPr>
      <w:t xml:space="preserve"> juridice ale </w:t>
    </w:r>
    <w:proofErr w:type="spellStart"/>
    <w:r w:rsidRPr="009A244F">
      <w:rPr>
        <w:lang w:val="fr-FR"/>
      </w:rPr>
      <w:t>membrilor</w:t>
    </w:r>
    <w:proofErr w:type="spellEnd"/>
    <w:r w:rsidRPr="009A244F">
      <w:rPr>
        <w:lang w:val="fr-FR"/>
      </w:rPr>
      <w:t xml:space="preserve"> Deloitte Touche </w:t>
    </w:r>
    <w:proofErr w:type="spellStart"/>
    <w:r w:rsidRPr="009A244F">
      <w:rPr>
        <w:lang w:val="fr-FR"/>
      </w:rPr>
      <w:t>Tohmatsu</w:t>
    </w:r>
    <w:proofErr w:type="spellEnd"/>
    <w:r w:rsidRPr="009A244F">
      <w:rPr>
        <w:lang w:val="fr-FR"/>
      </w:rPr>
      <w:t xml:space="preserve"> Limited si </w:t>
    </w:r>
    <w:proofErr w:type="spellStart"/>
    <w:r w:rsidRPr="009A244F">
      <w:rPr>
        <w:lang w:val="fr-FR"/>
      </w:rPr>
      <w:t>afiliatii</w:t>
    </w:r>
    <w:proofErr w:type="spellEnd"/>
    <w:r w:rsidRPr="009A244F">
      <w:rPr>
        <w:lang w:val="fr-FR"/>
      </w:rPr>
      <w:t xml:space="preserve"> </w:t>
    </w:r>
    <w:proofErr w:type="spellStart"/>
    <w:r w:rsidRPr="009A244F">
      <w:rPr>
        <w:lang w:val="fr-FR"/>
      </w:rPr>
      <w:t>acestora</w:t>
    </w:r>
    <w:proofErr w:type="spellEnd"/>
    <w:r w:rsidRPr="009A244F">
      <w:rPr>
        <w:lang w:val="fr-FR"/>
      </w:rPr>
      <w:t xml:space="preserve"> care </w:t>
    </w:r>
    <w:proofErr w:type="spellStart"/>
    <w:r w:rsidRPr="009A244F">
      <w:rPr>
        <w:lang w:val="fr-FR"/>
      </w:rPr>
      <w:t>ofera</w:t>
    </w:r>
    <w:proofErr w:type="spellEnd"/>
    <w:r w:rsidRPr="009A244F">
      <w:rPr>
        <w:lang w:val="fr-FR"/>
      </w:rPr>
      <w:t xml:space="preserve"> </w:t>
    </w:r>
    <w:proofErr w:type="spellStart"/>
    <w:r w:rsidRPr="009A244F">
      <w:rPr>
        <w:lang w:val="fr-FR"/>
      </w:rPr>
      <w:t>servicii</w:t>
    </w:r>
    <w:proofErr w:type="spellEnd"/>
    <w:r w:rsidRPr="009A244F">
      <w:rPr>
        <w:lang w:val="fr-FR"/>
      </w:rPr>
      <w:t xml:space="preserve"> de </w:t>
    </w:r>
    <w:proofErr w:type="spellStart"/>
    <w:r w:rsidRPr="009A244F">
      <w:rPr>
        <w:lang w:val="fr-FR"/>
      </w:rPr>
      <w:t>asistenta</w:t>
    </w:r>
    <w:proofErr w:type="spellEnd"/>
    <w:r w:rsidRPr="009A244F">
      <w:rPr>
        <w:lang w:val="fr-FR"/>
      </w:rPr>
      <w:t xml:space="preserve"> </w:t>
    </w:r>
    <w:proofErr w:type="spellStart"/>
    <w:r w:rsidRPr="009A244F">
      <w:rPr>
        <w:lang w:val="fr-FR"/>
      </w:rPr>
      <w:t>juridica</w:t>
    </w:r>
    <w:proofErr w:type="spellEnd"/>
    <w:r w:rsidRPr="009A244F">
      <w:rPr>
        <w:lang w:val="fr-FR"/>
      </w:rPr>
      <w:t xml:space="preserve">. </w:t>
    </w:r>
    <w:proofErr w:type="spellStart"/>
    <w:r w:rsidRPr="009A244F">
      <w:rPr>
        <w:lang w:val="fr-FR"/>
      </w:rPr>
      <w:t>Pentru</w:t>
    </w:r>
    <w:proofErr w:type="spellEnd"/>
    <w:r w:rsidRPr="009A244F">
      <w:rPr>
        <w:lang w:val="fr-FR"/>
      </w:rPr>
      <w:t xml:space="preserve"> o </w:t>
    </w:r>
    <w:proofErr w:type="spellStart"/>
    <w:r w:rsidRPr="009A244F">
      <w:rPr>
        <w:lang w:val="fr-FR"/>
      </w:rPr>
      <w:t>descriere</w:t>
    </w:r>
    <w:proofErr w:type="spellEnd"/>
    <w:r w:rsidRPr="009A244F">
      <w:rPr>
        <w:lang w:val="fr-FR"/>
      </w:rPr>
      <w:t xml:space="preserve"> a </w:t>
    </w:r>
    <w:proofErr w:type="spellStart"/>
    <w:r w:rsidRPr="009A244F">
      <w:rPr>
        <w:lang w:val="fr-FR"/>
      </w:rPr>
      <w:t>serviciilor</w:t>
    </w:r>
    <w:proofErr w:type="spellEnd"/>
    <w:r w:rsidRPr="009A244F">
      <w:rPr>
        <w:lang w:val="fr-FR"/>
      </w:rPr>
      <w:t xml:space="preserve"> de </w:t>
    </w:r>
    <w:proofErr w:type="spellStart"/>
    <w:r w:rsidRPr="009A244F">
      <w:rPr>
        <w:lang w:val="fr-FR"/>
      </w:rPr>
      <w:t>asistenta</w:t>
    </w:r>
    <w:proofErr w:type="spellEnd"/>
    <w:r w:rsidRPr="009A244F">
      <w:rPr>
        <w:lang w:val="fr-FR"/>
      </w:rPr>
      <w:t xml:space="preserve"> </w:t>
    </w:r>
    <w:proofErr w:type="spellStart"/>
    <w:r w:rsidRPr="009A244F">
      <w:rPr>
        <w:lang w:val="fr-FR"/>
      </w:rPr>
      <w:t>juridica</w:t>
    </w:r>
    <w:proofErr w:type="spellEnd"/>
    <w:r w:rsidRPr="009A244F">
      <w:rPr>
        <w:lang w:val="fr-FR"/>
      </w:rPr>
      <w:t xml:space="preserve"> </w:t>
    </w:r>
    <w:proofErr w:type="spellStart"/>
    <w:r w:rsidRPr="009A244F">
      <w:rPr>
        <w:lang w:val="fr-FR"/>
      </w:rPr>
      <w:t>oferite</w:t>
    </w:r>
    <w:proofErr w:type="spellEnd"/>
    <w:r w:rsidRPr="009A244F">
      <w:rPr>
        <w:lang w:val="fr-FR"/>
      </w:rPr>
      <w:t xml:space="preserve"> de </w:t>
    </w:r>
    <w:proofErr w:type="spellStart"/>
    <w:r w:rsidRPr="009A244F">
      <w:rPr>
        <w:lang w:val="fr-FR"/>
      </w:rPr>
      <w:t>entitatile</w:t>
    </w:r>
    <w:proofErr w:type="spellEnd"/>
    <w:r w:rsidRPr="009A244F">
      <w:rPr>
        <w:lang w:val="fr-FR"/>
      </w:rPr>
      <w:t xml:space="preserve"> membre ale Deloitte Legal, va </w:t>
    </w:r>
    <w:proofErr w:type="spellStart"/>
    <w:r w:rsidRPr="009A244F">
      <w:rPr>
        <w:lang w:val="fr-FR"/>
      </w:rPr>
      <w:t>rugam</w:t>
    </w:r>
    <w:proofErr w:type="spellEnd"/>
    <w:r w:rsidRPr="009A244F">
      <w:rPr>
        <w:lang w:val="fr-FR"/>
      </w:rPr>
      <w:t xml:space="preserve"> </w:t>
    </w:r>
    <w:proofErr w:type="spellStart"/>
    <w:proofErr w:type="gramStart"/>
    <w:r w:rsidRPr="009A244F">
      <w:rPr>
        <w:lang w:val="fr-FR"/>
      </w:rPr>
      <w:t>accesati</w:t>
    </w:r>
    <w:proofErr w:type="spellEnd"/>
    <w:r w:rsidRPr="009A244F">
      <w:rPr>
        <w:lang w:val="fr-FR"/>
      </w:rPr>
      <w:t>:</w:t>
    </w:r>
    <w:proofErr w:type="gramEnd"/>
    <w:r w:rsidRPr="009A244F">
      <w:rPr>
        <w:lang w:val="fr-FR"/>
      </w:rPr>
      <w:t xml:space="preserve"> http://www.deloitte.com/deloittelegal.</w:t>
    </w:r>
  </w:p>
  <w:tbl>
    <w:tblPr>
      <w:tblStyle w:val="TableGrid"/>
      <w:tblW w:w="99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811"/>
      <w:gridCol w:w="2168"/>
    </w:tblGrid>
    <w:tr w:rsidR="00235E99" w:rsidRPr="0084102F" w14:paraId="10E9A023" w14:textId="77777777" w:rsidTr="00F27D51">
      <w:tc>
        <w:tcPr>
          <w:tcW w:w="7545" w:type="dxa"/>
        </w:tcPr>
        <w:p w14:paraId="01783888" w14:textId="77777777" w:rsidR="00235E99" w:rsidRPr="009A244F" w:rsidRDefault="00C95A92" w:rsidP="002823F1">
          <w:pPr>
            <w:pStyle w:val="Footer"/>
            <w:rPr>
              <w:lang w:val="fr-FR"/>
            </w:rPr>
          </w:pPr>
        </w:p>
      </w:tc>
      <w:tc>
        <w:tcPr>
          <w:tcW w:w="2094" w:type="dxa"/>
          <w:vAlign w:val="bottom"/>
        </w:tcPr>
        <w:p w14:paraId="7C1D739F" w14:textId="77777777" w:rsidR="00235E99" w:rsidRPr="009A244F" w:rsidRDefault="00C95A92" w:rsidP="001D5CF8">
          <w:pPr>
            <w:pStyle w:val="Sponsortext"/>
            <w:rPr>
              <w:lang w:val="fr-FR"/>
            </w:rPr>
          </w:pPr>
        </w:p>
      </w:tc>
    </w:tr>
  </w:tbl>
  <w:p w14:paraId="6DB12A04" w14:textId="77777777" w:rsidR="00235E99" w:rsidRPr="009A244F" w:rsidRDefault="00C95A92" w:rsidP="00E31921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DEE7" w14:textId="77777777" w:rsidR="00C95A92" w:rsidRDefault="00C95A92">
      <w:pPr>
        <w:spacing w:line="240" w:lineRule="auto"/>
      </w:pPr>
      <w:r>
        <w:separator/>
      </w:r>
    </w:p>
  </w:footnote>
  <w:footnote w:type="continuationSeparator" w:id="0">
    <w:p w14:paraId="66C399B1" w14:textId="77777777" w:rsidR="00C95A92" w:rsidRDefault="00C95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173B" w14:textId="77777777" w:rsidR="00C91E9C" w:rsidRDefault="00170069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34077F0A" wp14:editId="1EA1670B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66800" cy="200025"/>
          <wp:effectExtent l="0" t="0" r="0" b="9525"/>
          <wp:wrapNone/>
          <wp:docPr id="2" name="Picture 2" descr="Logo Reff&amp;Asociatii ne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ff&amp;Asociatii neg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A2366"/>
    <w:multiLevelType w:val="hybridMultilevel"/>
    <w:tmpl w:val="41A6D4D0"/>
    <w:lvl w:ilvl="0" w:tplc="B3985AE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cs="Calibri Ligh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F39D1"/>
    <w:multiLevelType w:val="hybridMultilevel"/>
    <w:tmpl w:val="9F9A4182"/>
    <w:lvl w:ilvl="0" w:tplc="82CAEEF2">
      <w:start w:val="1"/>
      <w:numFmt w:val="lowerLetter"/>
      <w:lvlText w:val="%1)"/>
      <w:lvlJc w:val="left"/>
      <w:pPr>
        <w:ind w:left="630" w:hanging="360"/>
      </w:pPr>
      <w:rPr>
        <w:rFonts w:hint="default"/>
        <w:b w:val="0"/>
        <w:lang w:val="ro-RO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E65"/>
    <w:rsid w:val="00021F94"/>
    <w:rsid w:val="000828E5"/>
    <w:rsid w:val="0012658A"/>
    <w:rsid w:val="00156D92"/>
    <w:rsid w:val="00170069"/>
    <w:rsid w:val="001851EA"/>
    <w:rsid w:val="00191216"/>
    <w:rsid w:val="001C0CD4"/>
    <w:rsid w:val="00207498"/>
    <w:rsid w:val="00227A82"/>
    <w:rsid w:val="00265713"/>
    <w:rsid w:val="00285131"/>
    <w:rsid w:val="00297670"/>
    <w:rsid w:val="002B31C2"/>
    <w:rsid w:val="002C4E75"/>
    <w:rsid w:val="00327793"/>
    <w:rsid w:val="00373215"/>
    <w:rsid w:val="00391318"/>
    <w:rsid w:val="0039377D"/>
    <w:rsid w:val="00420EAB"/>
    <w:rsid w:val="00423E65"/>
    <w:rsid w:val="00502757"/>
    <w:rsid w:val="00556CE0"/>
    <w:rsid w:val="005670A5"/>
    <w:rsid w:val="005A4ECB"/>
    <w:rsid w:val="005C3EFA"/>
    <w:rsid w:val="00640F61"/>
    <w:rsid w:val="00663A9D"/>
    <w:rsid w:val="006653E6"/>
    <w:rsid w:val="006E2FA0"/>
    <w:rsid w:val="00730048"/>
    <w:rsid w:val="007536FA"/>
    <w:rsid w:val="007A63A5"/>
    <w:rsid w:val="007C5420"/>
    <w:rsid w:val="007D0BA2"/>
    <w:rsid w:val="007F0315"/>
    <w:rsid w:val="007F26B4"/>
    <w:rsid w:val="0084102F"/>
    <w:rsid w:val="00852186"/>
    <w:rsid w:val="009427E8"/>
    <w:rsid w:val="0095592B"/>
    <w:rsid w:val="009A244F"/>
    <w:rsid w:val="009C392C"/>
    <w:rsid w:val="00AB0CFC"/>
    <w:rsid w:val="00AC40F7"/>
    <w:rsid w:val="00AC7E84"/>
    <w:rsid w:val="00B64996"/>
    <w:rsid w:val="00C44A0E"/>
    <w:rsid w:val="00C5033B"/>
    <w:rsid w:val="00C86917"/>
    <w:rsid w:val="00C95A92"/>
    <w:rsid w:val="00CD4109"/>
    <w:rsid w:val="00D7707C"/>
    <w:rsid w:val="00DD521B"/>
    <w:rsid w:val="00E65309"/>
    <w:rsid w:val="00FB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15026"/>
  <w15:chartTrackingRefBased/>
  <w15:docId w15:val="{FCD98DA9-058F-40CA-A5CB-B6AD0418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65"/>
    <w:pPr>
      <w:spacing w:after="0" w:line="240" w:lineRule="atLeast"/>
    </w:pPr>
    <w:rPr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E65"/>
    <w:pPr>
      <w:spacing w:after="0" w:line="240" w:lineRule="auto"/>
    </w:pPr>
    <w:rPr>
      <w:lang w:val="en-GB"/>
    </w:rPr>
    <w:tblPr/>
  </w:style>
  <w:style w:type="paragraph" w:styleId="Header">
    <w:name w:val="header"/>
    <w:link w:val="HeaderChar"/>
    <w:uiPriority w:val="99"/>
    <w:rsid w:val="00423E65"/>
    <w:pPr>
      <w:tabs>
        <w:tab w:val="center" w:pos="4513"/>
        <w:tab w:val="right" w:pos="9026"/>
      </w:tabs>
      <w:spacing w:after="0" w:line="240" w:lineRule="auto"/>
    </w:pPr>
    <w:rPr>
      <w:sz w:val="17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23E65"/>
    <w:rPr>
      <w:sz w:val="17"/>
      <w:lang w:val="en-GB"/>
    </w:rPr>
  </w:style>
  <w:style w:type="paragraph" w:styleId="Footer">
    <w:name w:val="footer"/>
    <w:link w:val="FooterChar"/>
    <w:uiPriority w:val="99"/>
    <w:rsid w:val="00423E65"/>
    <w:pPr>
      <w:tabs>
        <w:tab w:val="right" w:pos="7371"/>
      </w:tabs>
      <w:spacing w:after="0" w:line="130" w:lineRule="exact"/>
      <w:ind w:right="227"/>
    </w:pPr>
    <w:rPr>
      <w:sz w:val="11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3E65"/>
    <w:rPr>
      <w:sz w:val="11"/>
      <w:lang w:val="en-GB"/>
    </w:rPr>
  </w:style>
  <w:style w:type="paragraph" w:customStyle="1" w:styleId="Sponsortext">
    <w:name w:val="Sponsor text"/>
    <w:basedOn w:val="Footer"/>
    <w:qFormat/>
    <w:rsid w:val="00423E65"/>
    <w:pPr>
      <w:spacing w:line="170" w:lineRule="exact"/>
      <w:ind w:right="0"/>
    </w:pPr>
    <w:rPr>
      <w:sz w:val="14"/>
    </w:rPr>
  </w:style>
  <w:style w:type="paragraph" w:styleId="ListParagraph">
    <w:name w:val="List Paragraph"/>
    <w:basedOn w:val="Normal"/>
    <w:uiPriority w:val="34"/>
    <w:qFormat/>
    <w:rsid w:val="00423E65"/>
    <w:pPr>
      <w:spacing w:line="240" w:lineRule="auto"/>
      <w:ind w:left="720"/>
      <w:contextualSpacing/>
    </w:pPr>
    <w:rPr>
      <w:rFonts w:ascii="Calibri" w:hAnsi="Calibri" w:cs="Calibr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50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3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3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3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653E6"/>
    <w:rPr>
      <w:i/>
      <w:iCs/>
    </w:rPr>
  </w:style>
  <w:style w:type="character" w:styleId="Hyperlink">
    <w:name w:val="Hyperlink"/>
    <w:basedOn w:val="DefaultParagraphFont"/>
    <w:uiPriority w:val="99"/>
    <w:unhideWhenUsed/>
    <w:rsid w:val="00AB0C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Creanga, Ana</dc:creator>
  <cp:keywords/>
  <dc:description/>
  <cp:lastModifiedBy>Anghel, Oana</cp:lastModifiedBy>
  <cp:revision>5</cp:revision>
  <dcterms:created xsi:type="dcterms:W3CDTF">2021-11-09T08:21:00Z</dcterms:created>
  <dcterms:modified xsi:type="dcterms:W3CDTF">2021-11-09T08:45:00Z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2021-11-08T16:57:37Z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d7f910c0-5ffc-4cab-a580-047d370384a4</vt:lpwstr>
  </property>
  <property fmtid="{D5CDD505-2E9C-101B-9397-08002B2CF9AE}" pid="8" name="MSIP_Label_ea60d57e-af5b-4752-ac57-3e4f28ca11dc_ContentBits">
    <vt:lpwstr>0</vt:lpwstr>
  </property>
</Properties>
</file>