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629A" w14:textId="77777777" w:rsidR="009630B3" w:rsidRDefault="004A1E44" w:rsidP="004F09A5">
      <w:pPr>
        <w:spacing w:before="120" w:line="264" w:lineRule="auto"/>
        <w:jc w:val="center"/>
      </w:pPr>
      <w:r w:rsidRPr="008F129A">
        <w:rPr>
          <w:rFonts w:asciiTheme="majorHAnsi" w:hAnsiTheme="majorHAnsi" w:cstheme="majorHAnsi"/>
          <w:b/>
          <w:bCs/>
          <w:lang w:val="ro-RO"/>
        </w:rPr>
        <w:t>Eșalonarea la plată, în</w:t>
      </w:r>
      <w:r w:rsidR="009630B3">
        <w:rPr>
          <w:rFonts w:asciiTheme="majorHAnsi" w:hAnsiTheme="majorHAnsi" w:cstheme="majorHAnsi"/>
          <w:b/>
          <w:bCs/>
          <w:lang w:val="ro-RO"/>
        </w:rPr>
        <w:t xml:space="preserve"> formă simplificată – </w:t>
      </w:r>
      <w:r w:rsidRPr="008F129A">
        <w:rPr>
          <w:rFonts w:asciiTheme="majorHAnsi" w:hAnsiTheme="majorHAnsi" w:cstheme="majorHAnsi"/>
          <w:b/>
          <w:bCs/>
          <w:lang w:val="ro-RO"/>
        </w:rPr>
        <w:t xml:space="preserve">benefică </w:t>
      </w:r>
      <w:r w:rsidR="009630B3">
        <w:rPr>
          <w:rFonts w:asciiTheme="majorHAnsi" w:hAnsiTheme="majorHAnsi" w:cstheme="majorHAnsi"/>
          <w:b/>
          <w:bCs/>
          <w:lang w:val="ro-RO"/>
        </w:rPr>
        <w:t>în cazul unor dificultăți financiare temporare</w:t>
      </w:r>
    </w:p>
    <w:p w14:paraId="6F357C8C" w14:textId="77777777" w:rsidR="00BC7531" w:rsidRDefault="00BC7531" w:rsidP="004F09A5">
      <w:pPr>
        <w:spacing w:before="120" w:line="264" w:lineRule="auto"/>
        <w:rPr>
          <w:rFonts w:asciiTheme="majorHAnsi" w:hAnsiTheme="majorHAnsi" w:cstheme="majorHAnsi"/>
          <w:i/>
          <w:sz w:val="20"/>
          <w:szCs w:val="20"/>
          <w:lang w:val="ro-RO"/>
        </w:rPr>
      </w:pPr>
    </w:p>
    <w:p w14:paraId="437D2929" w14:textId="0A169148" w:rsidR="004A1E44" w:rsidRPr="008F129A" w:rsidRDefault="00ED6BCA" w:rsidP="004F09A5">
      <w:pPr>
        <w:spacing w:before="120" w:line="264" w:lineRule="auto"/>
        <w:rPr>
          <w:rFonts w:asciiTheme="majorHAnsi" w:hAnsiTheme="majorHAnsi" w:cstheme="majorHAnsi"/>
          <w:i/>
          <w:sz w:val="20"/>
          <w:szCs w:val="20"/>
          <w:lang w:val="ro-RO"/>
        </w:rPr>
      </w:pPr>
      <w:r>
        <w:rPr>
          <w:rFonts w:asciiTheme="majorHAnsi" w:hAnsiTheme="majorHAnsi" w:cstheme="majorHAnsi"/>
          <w:i/>
          <w:sz w:val="20"/>
          <w:szCs w:val="20"/>
          <w:lang w:val="ro-RO"/>
        </w:rPr>
        <w:t xml:space="preserve">Material de opinie de </w:t>
      </w:r>
      <w:r w:rsidR="004A1E44" w:rsidRPr="008F129A">
        <w:rPr>
          <w:rFonts w:asciiTheme="majorHAnsi" w:hAnsiTheme="majorHAnsi" w:cstheme="majorHAnsi"/>
          <w:i/>
          <w:sz w:val="20"/>
          <w:szCs w:val="20"/>
          <w:lang w:val="ro-RO"/>
        </w:rPr>
        <w:t>Luiza Ionescu-Donoiu</w:t>
      </w:r>
      <w:r w:rsidRPr="008F129A">
        <w:rPr>
          <w:rFonts w:asciiTheme="majorHAnsi" w:hAnsiTheme="majorHAnsi" w:cstheme="majorHAnsi"/>
          <w:i/>
          <w:sz w:val="20"/>
          <w:szCs w:val="20"/>
          <w:lang w:val="ro-RO"/>
        </w:rPr>
        <w:t>,</w:t>
      </w:r>
      <w:r>
        <w:rPr>
          <w:rFonts w:asciiTheme="majorHAnsi" w:hAnsiTheme="majorHAnsi" w:cstheme="majorHAnsi"/>
          <w:i/>
          <w:sz w:val="20"/>
          <w:szCs w:val="20"/>
          <w:lang w:val="ro-RO"/>
        </w:rPr>
        <w:t xml:space="preserve"> Senior Managing Associate,</w:t>
      </w:r>
      <w:r w:rsidR="00BC7531">
        <w:rPr>
          <w:rFonts w:asciiTheme="majorHAnsi" w:hAnsiTheme="majorHAnsi" w:cstheme="majorHAnsi"/>
          <w:i/>
          <w:sz w:val="20"/>
          <w:szCs w:val="20"/>
          <w:lang w:val="ro-RO"/>
        </w:rPr>
        <w:t xml:space="preserve"> </w:t>
      </w:r>
      <w:r w:rsidRPr="00D17385">
        <w:rPr>
          <w:rFonts w:asciiTheme="majorHAnsi" w:hAnsiTheme="majorHAnsi" w:cstheme="majorHAnsi"/>
          <w:i/>
          <w:sz w:val="20"/>
          <w:szCs w:val="20"/>
          <w:lang w:val="ro-RO"/>
        </w:rPr>
        <w:t>Laura Epure</w:t>
      </w:r>
      <w:r w:rsidR="008E52C8">
        <w:rPr>
          <w:rFonts w:asciiTheme="majorHAnsi" w:hAnsiTheme="majorHAnsi" w:cstheme="majorHAnsi"/>
          <w:i/>
          <w:sz w:val="20"/>
          <w:szCs w:val="20"/>
          <w:lang w:val="ro-RO"/>
        </w:rPr>
        <w:t xml:space="preserve"> (Spiridon)</w:t>
      </w:r>
      <w:r w:rsidRPr="00D17385">
        <w:rPr>
          <w:rFonts w:asciiTheme="majorHAnsi" w:hAnsiTheme="majorHAnsi" w:cstheme="majorHAnsi"/>
          <w:i/>
          <w:sz w:val="20"/>
          <w:szCs w:val="20"/>
          <w:lang w:val="ro-RO"/>
        </w:rPr>
        <w:t>, Senior Associate</w:t>
      </w:r>
      <w:r w:rsidRPr="008F129A">
        <w:rPr>
          <w:rFonts w:asciiTheme="majorHAnsi" w:hAnsiTheme="majorHAnsi" w:cstheme="majorHAnsi"/>
          <w:i/>
          <w:sz w:val="20"/>
          <w:szCs w:val="20"/>
          <w:lang w:val="ro-RO"/>
        </w:rPr>
        <w:t xml:space="preserve">, Reff &amp; Asociații </w:t>
      </w:r>
      <w:r w:rsidRPr="00822B48">
        <w:rPr>
          <w:rFonts w:asciiTheme="majorHAnsi" w:hAnsiTheme="majorHAnsi" w:cstheme="majorHAnsi"/>
          <w:i/>
          <w:sz w:val="20"/>
          <w:szCs w:val="20"/>
          <w:lang w:val="ro-RO"/>
        </w:rPr>
        <w:t>| Deloitte Legal</w:t>
      </w:r>
      <w:r w:rsidR="00BC7531" w:rsidRPr="00822B48">
        <w:rPr>
          <w:rFonts w:asciiTheme="majorHAnsi" w:hAnsiTheme="majorHAnsi" w:cstheme="majorHAnsi"/>
          <w:i/>
          <w:sz w:val="20"/>
          <w:szCs w:val="20"/>
          <w:lang w:val="ro-RO"/>
        </w:rPr>
        <w:t xml:space="preserve">, și </w:t>
      </w:r>
      <w:r w:rsidR="00BC7531" w:rsidRPr="008F129A">
        <w:rPr>
          <w:rFonts w:asciiTheme="majorHAnsi" w:hAnsiTheme="majorHAnsi" w:cstheme="majorHAnsi"/>
          <w:i/>
          <w:sz w:val="20"/>
          <w:szCs w:val="20"/>
          <w:lang w:val="ro-RO"/>
        </w:rPr>
        <w:t>Ana Petrescu-Mujdei, Senior Manager, Taxe Directe, Deloitte România</w:t>
      </w:r>
    </w:p>
    <w:p w14:paraId="4F6F5DE9" w14:textId="77777777" w:rsidR="00BC7531" w:rsidRDefault="00BC7531" w:rsidP="004F09A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3D591FF6" w14:textId="0F5AE999" w:rsidR="004A1E44" w:rsidRPr="000014A8" w:rsidRDefault="004A1E44" w:rsidP="004F09A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Conform </w:t>
      </w:r>
      <w:r>
        <w:rPr>
          <w:rFonts w:asciiTheme="majorHAnsi" w:hAnsiTheme="majorHAnsi" w:cstheme="majorHAnsi"/>
          <w:sz w:val="20"/>
          <w:szCs w:val="20"/>
          <w:lang w:val="ro-RO"/>
        </w:rPr>
        <w:t>celui mai recent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raport de activitate publicat de A</w:t>
      </w:r>
      <w:r>
        <w:rPr>
          <w:rFonts w:asciiTheme="majorHAnsi" w:hAnsiTheme="majorHAnsi" w:cstheme="majorHAnsi"/>
          <w:sz w:val="20"/>
          <w:szCs w:val="20"/>
          <w:lang w:val="ro-RO"/>
        </w:rPr>
        <w:t>genția Națională de Administrare Fiscală (A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>NAF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), 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>pentru primul semestru al anului 2021, direcțiile majore de acțiune ale instituției</w:t>
      </w:r>
      <w:r w:rsidR="0098397F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în următorii patru ani</w:t>
      </w:r>
      <w:r w:rsidR="0098397F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vizează continuarea parteneriatului cu contribuabilii, mediul academic și mediul de afaceri, adoptarea de soluții digitale integrate și prevenirea și combaterea evaziunii fiscale.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În acest scop, 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>ANAF a implementa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t o serie de 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>măsuri de stimulare a conformării voluntare c</w:t>
      </w:r>
      <w:r>
        <w:rPr>
          <w:rFonts w:asciiTheme="majorHAnsi" w:hAnsiTheme="majorHAnsi" w:cstheme="majorHAnsi"/>
          <w:sz w:val="20"/>
          <w:szCs w:val="20"/>
          <w:lang w:val="ro-RO"/>
        </w:rPr>
        <w:t>are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au vizat, printre altele, simplificarea procedurii de eșalonare la plată, alături de anularea obliga</w:t>
      </w:r>
      <w:r>
        <w:rPr>
          <w:rFonts w:asciiTheme="majorHAnsi" w:hAnsiTheme="majorHAnsi" w:cstheme="majorHAnsi"/>
          <w:sz w:val="20"/>
          <w:szCs w:val="20"/>
          <w:lang w:val="ro-RO"/>
        </w:rPr>
        <w:t>ț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>iilor de plată accesorii ori restructurarea obliga</w:t>
      </w:r>
      <w:r>
        <w:rPr>
          <w:rFonts w:asciiTheme="majorHAnsi" w:hAnsiTheme="majorHAnsi" w:cstheme="majorHAnsi"/>
          <w:sz w:val="20"/>
          <w:szCs w:val="20"/>
          <w:lang w:val="ro-RO"/>
        </w:rPr>
        <w:t>ț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iilor bugetare. </w:t>
      </w:r>
    </w:p>
    <w:p w14:paraId="4C60A327" w14:textId="455AC155" w:rsidR="004A1E44" w:rsidRPr="008F129A" w:rsidRDefault="004A1E44" w:rsidP="004F09A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Potrivit </w:t>
      </w:r>
      <w:r w:rsidR="00BC7531">
        <w:rPr>
          <w:rFonts w:asciiTheme="majorHAnsi" w:hAnsiTheme="majorHAnsi" w:cstheme="majorHAnsi"/>
          <w:sz w:val="20"/>
          <w:szCs w:val="20"/>
          <w:lang w:val="ro-RO"/>
        </w:rPr>
        <w:t>r</w:t>
      </w:r>
      <w:r w:rsidR="00BC7531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aportului 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>ANAF, rezultatul acestor măsuri s-a concretizat</w:t>
      </w:r>
      <w:r w:rsidR="0098397F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în</w:t>
      </w:r>
      <w:r w:rsidR="00BC7531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C7531" w:rsidRPr="000014A8">
        <w:rPr>
          <w:rFonts w:asciiTheme="majorHAnsi" w:hAnsiTheme="majorHAnsi" w:cstheme="majorHAnsi"/>
          <w:sz w:val="20"/>
          <w:szCs w:val="20"/>
          <w:lang w:val="ro-RO"/>
        </w:rPr>
        <w:t>primul semestru al anului 2021</w:t>
      </w:r>
      <w:r w:rsidR="0098397F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BC7531">
        <w:rPr>
          <w:rFonts w:asciiTheme="majorHAnsi" w:hAnsiTheme="majorHAnsi" w:cstheme="majorHAnsi"/>
          <w:sz w:val="20"/>
          <w:szCs w:val="20"/>
          <w:lang w:val="ro-RO"/>
        </w:rPr>
        <w:t xml:space="preserve"> în</w:t>
      </w:r>
      <w:r w:rsidR="00654AC2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654AC2">
        <w:rPr>
          <w:rFonts w:asciiTheme="majorHAnsi" w:hAnsiTheme="majorHAnsi" w:cstheme="majorHAnsi"/>
          <w:sz w:val="20"/>
          <w:szCs w:val="20"/>
          <w:lang w:val="ro-RO"/>
        </w:rPr>
        <w:t xml:space="preserve">menținerea gradului de conformare voluntară la plată aproape de valoarea înregistrată în perioada similară a anului 2019 </w:t>
      </w:r>
      <w:r w:rsidR="00BC7531">
        <w:rPr>
          <w:rFonts w:asciiTheme="majorHAnsi" w:hAnsiTheme="majorHAnsi" w:cstheme="majorHAnsi"/>
          <w:sz w:val="20"/>
          <w:szCs w:val="20"/>
          <w:lang w:val="ro-RO"/>
        </w:rPr>
        <w:t>(</w:t>
      </w:r>
      <w:r w:rsidRPr="00654AC2">
        <w:rPr>
          <w:rFonts w:asciiTheme="majorHAnsi" w:hAnsiTheme="majorHAnsi" w:cstheme="majorHAnsi"/>
          <w:sz w:val="20"/>
          <w:szCs w:val="20"/>
          <w:lang w:val="ro-RO"/>
        </w:rPr>
        <w:t>respectiv 85,5</w:t>
      </w:r>
      <w:r w:rsidR="00BC7531" w:rsidRPr="00654AC2">
        <w:rPr>
          <w:rFonts w:asciiTheme="majorHAnsi" w:hAnsiTheme="majorHAnsi" w:cstheme="majorHAnsi"/>
          <w:sz w:val="20"/>
          <w:szCs w:val="20"/>
          <w:lang w:val="ro-RO"/>
        </w:rPr>
        <w:t>%</w:t>
      </w:r>
      <w:r w:rsidR="00BC7531">
        <w:rPr>
          <w:rFonts w:asciiTheme="majorHAnsi" w:hAnsiTheme="majorHAnsi" w:cstheme="majorHAnsi"/>
          <w:sz w:val="20"/>
          <w:szCs w:val="20"/>
          <w:lang w:val="ro-RO"/>
        </w:rPr>
        <w:t xml:space="preserve">), </w:t>
      </w:r>
      <w:r w:rsidRPr="008F129A">
        <w:rPr>
          <w:rFonts w:asciiTheme="majorHAnsi" w:hAnsiTheme="majorHAnsi" w:cstheme="majorHAnsi"/>
          <w:sz w:val="20"/>
          <w:szCs w:val="20"/>
          <w:lang w:val="ro-RO"/>
        </w:rPr>
        <w:t xml:space="preserve">menținerea gradului de conformare voluntară la declarare la un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nivel </w:t>
      </w:r>
      <w:r w:rsidRPr="008F129A">
        <w:rPr>
          <w:rFonts w:asciiTheme="majorHAnsi" w:hAnsiTheme="majorHAnsi" w:cstheme="majorHAnsi"/>
          <w:sz w:val="20"/>
          <w:szCs w:val="20"/>
          <w:lang w:val="ro-RO"/>
        </w:rPr>
        <w:t>ridicat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C7531">
        <w:rPr>
          <w:rFonts w:asciiTheme="majorHAnsi" w:hAnsiTheme="majorHAnsi" w:cstheme="majorHAnsi"/>
          <w:sz w:val="20"/>
          <w:szCs w:val="20"/>
          <w:lang w:val="ro-RO"/>
        </w:rPr>
        <w:t>(</w:t>
      </w:r>
      <w:r w:rsidRPr="008F129A">
        <w:rPr>
          <w:rFonts w:asciiTheme="majorHAnsi" w:hAnsiTheme="majorHAnsi" w:cstheme="majorHAnsi"/>
          <w:sz w:val="20"/>
          <w:szCs w:val="20"/>
          <w:lang w:val="ro-RO"/>
        </w:rPr>
        <w:t>94,3</w:t>
      </w:r>
      <w:r w:rsidR="00BC7531" w:rsidRPr="008F129A">
        <w:rPr>
          <w:rFonts w:asciiTheme="majorHAnsi" w:hAnsiTheme="majorHAnsi" w:cstheme="majorHAnsi"/>
          <w:sz w:val="20"/>
          <w:szCs w:val="20"/>
          <w:lang w:val="ro-RO"/>
        </w:rPr>
        <w:t>%</w:t>
      </w:r>
      <w:r w:rsidR="00BC7531">
        <w:rPr>
          <w:rFonts w:asciiTheme="majorHAnsi" w:hAnsiTheme="majorHAnsi" w:cstheme="majorHAnsi"/>
          <w:sz w:val="20"/>
          <w:szCs w:val="20"/>
          <w:lang w:val="ro-RO"/>
        </w:rPr>
        <w:t xml:space="preserve">), </w:t>
      </w:r>
      <w:r w:rsidRPr="008F129A">
        <w:rPr>
          <w:rFonts w:asciiTheme="majorHAnsi" w:hAnsiTheme="majorHAnsi" w:cstheme="majorHAnsi"/>
          <w:sz w:val="20"/>
          <w:szCs w:val="20"/>
          <w:lang w:val="ro-RO"/>
        </w:rPr>
        <w:t>creșterea gradului de accesare a facilităților fiscale de la 4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8F129A">
        <w:rPr>
          <w:rFonts w:asciiTheme="majorHAnsi" w:hAnsiTheme="majorHAnsi" w:cstheme="majorHAnsi"/>
          <w:sz w:val="20"/>
          <w:szCs w:val="20"/>
          <w:lang w:val="ro-RO"/>
        </w:rPr>
        <w:t>6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miliarde de lei, </w:t>
      </w:r>
      <w:r w:rsidRPr="008F129A">
        <w:rPr>
          <w:rFonts w:asciiTheme="majorHAnsi" w:hAnsiTheme="majorHAnsi" w:cstheme="majorHAnsi"/>
          <w:sz w:val="20"/>
          <w:szCs w:val="20"/>
          <w:lang w:val="ro-RO"/>
        </w:rPr>
        <w:t>la 30 iunie 2020, la 15</w:t>
      </w:r>
      <w:r w:rsidR="009630B3">
        <w:rPr>
          <w:rFonts w:asciiTheme="majorHAnsi" w:hAnsiTheme="majorHAnsi" w:cstheme="majorHAnsi"/>
          <w:sz w:val="20"/>
          <w:szCs w:val="20"/>
          <w:lang w:val="ro-RO"/>
        </w:rPr>
        <w:t>,3 miliarde de lei</w:t>
      </w:r>
      <w:r w:rsidR="00BC7531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8F129A">
        <w:rPr>
          <w:rFonts w:asciiTheme="majorHAnsi" w:hAnsiTheme="majorHAnsi" w:cstheme="majorHAnsi"/>
          <w:sz w:val="20"/>
          <w:szCs w:val="20"/>
          <w:lang w:val="ro-RO"/>
        </w:rPr>
        <w:t xml:space="preserve"> la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sfârșitul primului </w:t>
      </w:r>
      <w:r w:rsidRPr="008F129A">
        <w:rPr>
          <w:rFonts w:asciiTheme="majorHAnsi" w:hAnsiTheme="majorHAnsi" w:cstheme="majorHAnsi"/>
          <w:sz w:val="20"/>
          <w:szCs w:val="20"/>
          <w:lang w:val="ro-RO"/>
        </w:rPr>
        <w:t>semestru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din</w:t>
      </w:r>
      <w:r w:rsidRPr="008F129A">
        <w:rPr>
          <w:rFonts w:asciiTheme="majorHAnsi" w:hAnsiTheme="majorHAnsi" w:cstheme="majorHAnsi"/>
          <w:sz w:val="20"/>
          <w:szCs w:val="20"/>
          <w:lang w:val="ro-RO"/>
        </w:rPr>
        <w:t xml:space="preserve"> 2021.</w:t>
      </w:r>
    </w:p>
    <w:p w14:paraId="325FF838" w14:textId="7777BA4F" w:rsidR="004A1E44" w:rsidRDefault="004A1E44" w:rsidP="004F09A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0014A8">
        <w:rPr>
          <w:rFonts w:asciiTheme="majorHAnsi" w:hAnsiTheme="majorHAnsi" w:cstheme="majorHAnsi"/>
          <w:sz w:val="20"/>
          <w:szCs w:val="20"/>
          <w:lang w:val="ro-RO"/>
        </w:rPr>
        <w:t>Rezultă că măsurile luate în vederea stimulării conformării voluntare și-au dovedit</w:t>
      </w:r>
      <w:r w:rsidR="002D7F7C">
        <w:rPr>
          <w:rFonts w:asciiTheme="majorHAnsi" w:hAnsiTheme="majorHAnsi" w:cstheme="majorHAnsi"/>
          <w:sz w:val="20"/>
          <w:szCs w:val="20"/>
          <w:lang w:val="ro-RO"/>
        </w:rPr>
        <w:t xml:space="preserve"> eficiența,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acesta fiind și unul dintre motivele </w:t>
      </w:r>
      <w:r w:rsidR="002D7F7C">
        <w:rPr>
          <w:rFonts w:asciiTheme="majorHAnsi" w:hAnsiTheme="majorHAnsi" w:cstheme="majorHAnsi"/>
          <w:sz w:val="20"/>
          <w:szCs w:val="20"/>
          <w:lang w:val="ro-RO"/>
        </w:rPr>
        <w:t xml:space="preserve">pentru care </w:t>
      </w:r>
      <w:r w:rsidRPr="008F129A">
        <w:rPr>
          <w:rFonts w:asciiTheme="majorHAnsi" w:hAnsiTheme="majorHAnsi" w:cstheme="majorHAnsi"/>
          <w:b/>
          <w:sz w:val="20"/>
          <w:szCs w:val="20"/>
          <w:lang w:val="ro-RO"/>
        </w:rPr>
        <w:t>eșalon</w:t>
      </w:r>
      <w:r w:rsidR="002D7F7C" w:rsidRPr="008F129A">
        <w:rPr>
          <w:rFonts w:asciiTheme="majorHAnsi" w:hAnsiTheme="majorHAnsi" w:cstheme="majorHAnsi"/>
          <w:b/>
          <w:sz w:val="20"/>
          <w:szCs w:val="20"/>
          <w:lang w:val="ro-RO"/>
        </w:rPr>
        <w:t xml:space="preserve">area </w:t>
      </w:r>
      <w:r w:rsidRPr="008F129A">
        <w:rPr>
          <w:rFonts w:asciiTheme="majorHAnsi" w:hAnsiTheme="majorHAnsi" w:cstheme="majorHAnsi"/>
          <w:b/>
          <w:sz w:val="20"/>
          <w:szCs w:val="20"/>
          <w:lang w:val="ro-RO"/>
        </w:rPr>
        <w:t>la plată în formă simplificată</w:t>
      </w:r>
      <w:r w:rsidR="002D7F7C" w:rsidRPr="008F129A">
        <w:rPr>
          <w:rFonts w:asciiTheme="majorHAnsi" w:hAnsiTheme="majorHAnsi" w:cstheme="majorHAnsi"/>
          <w:b/>
          <w:sz w:val="20"/>
          <w:szCs w:val="20"/>
          <w:lang w:val="ro-RO"/>
        </w:rPr>
        <w:t xml:space="preserve"> a devenit permanentă</w:t>
      </w:r>
      <w:r w:rsidR="002D7F7C">
        <w:rPr>
          <w:rFonts w:asciiTheme="majorHAnsi" w:hAnsiTheme="majorHAnsi" w:cstheme="majorHAnsi"/>
          <w:sz w:val="20"/>
          <w:szCs w:val="20"/>
          <w:lang w:val="ro-RO"/>
        </w:rPr>
        <w:t xml:space="preserve">, fiind introdusă în 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>Codul de procedură fiscală.</w:t>
      </w:r>
    </w:p>
    <w:p w14:paraId="2C1EF8DD" w14:textId="4CBCA43A" w:rsidR="00426FED" w:rsidRPr="000014A8" w:rsidRDefault="004A1E44" w:rsidP="004F09A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În acest context, </w:t>
      </w:r>
      <w:r w:rsidR="009630B3">
        <w:rPr>
          <w:rFonts w:asciiTheme="majorHAnsi" w:hAnsiTheme="majorHAnsi" w:cstheme="majorHAnsi"/>
          <w:sz w:val="20"/>
          <w:szCs w:val="20"/>
          <w:lang w:val="ro-RO"/>
        </w:rPr>
        <w:t>recentul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0014A8">
        <w:rPr>
          <w:rFonts w:asciiTheme="majorHAnsi" w:hAnsiTheme="majorHAnsi" w:cstheme="majorHAnsi"/>
          <w:b/>
          <w:bCs/>
          <w:sz w:val="20"/>
          <w:szCs w:val="20"/>
          <w:lang w:val="ro-RO"/>
        </w:rPr>
        <w:t>Ordin nr. 1767/2021</w:t>
      </w:r>
      <w:r w:rsidR="009630B3">
        <w:rPr>
          <w:rFonts w:asciiTheme="majorHAnsi" w:hAnsiTheme="majorHAnsi" w:cstheme="majorHAnsi"/>
          <w:sz w:val="20"/>
          <w:szCs w:val="20"/>
          <w:lang w:val="ro-RO"/>
        </w:rPr>
        <w:t xml:space="preserve"> pentru aprobarea p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>rocedurii de acordare a eșalonării la plată, în formă simplificată, de către organul fiscal central</w:t>
      </w:r>
      <w:r w:rsidR="002D7F7C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BC7531">
        <w:rPr>
          <w:rFonts w:asciiTheme="majorHAnsi" w:hAnsiTheme="majorHAnsi" w:cstheme="majorHAnsi"/>
          <w:sz w:val="20"/>
          <w:szCs w:val="20"/>
          <w:lang w:val="ro-RO"/>
        </w:rPr>
        <w:t>își propune să</w:t>
      </w:r>
      <w:r w:rsidR="002D7F7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>reduc</w:t>
      </w:r>
      <w:r w:rsidR="00BC7531">
        <w:rPr>
          <w:rFonts w:asciiTheme="majorHAnsi" w:hAnsiTheme="majorHAnsi" w:cstheme="majorHAnsi"/>
          <w:sz w:val="20"/>
          <w:szCs w:val="20"/>
          <w:lang w:val="ro-RO"/>
        </w:rPr>
        <w:t xml:space="preserve">ă 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birocrația în </w:t>
      </w:r>
      <w:r w:rsidR="002D7F7C">
        <w:rPr>
          <w:rFonts w:asciiTheme="majorHAnsi" w:hAnsiTheme="majorHAnsi" w:cstheme="majorHAnsi"/>
          <w:sz w:val="20"/>
          <w:szCs w:val="20"/>
          <w:lang w:val="ro-RO"/>
        </w:rPr>
        <w:t xml:space="preserve">procesul de 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>accesare</w:t>
      </w:r>
      <w:r w:rsidR="002D7F7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a înlesnirilor la plată și </w:t>
      </w:r>
      <w:r w:rsidR="00BC7531">
        <w:rPr>
          <w:rFonts w:asciiTheme="majorHAnsi" w:hAnsiTheme="majorHAnsi" w:cstheme="majorHAnsi"/>
          <w:sz w:val="20"/>
          <w:szCs w:val="20"/>
          <w:lang w:val="ro-RO"/>
        </w:rPr>
        <w:t>să</w:t>
      </w:r>
      <w:r w:rsidR="002D7F7C">
        <w:rPr>
          <w:rFonts w:asciiTheme="majorHAnsi" w:hAnsiTheme="majorHAnsi" w:cstheme="majorHAnsi"/>
          <w:sz w:val="20"/>
          <w:szCs w:val="20"/>
          <w:lang w:val="ro-RO"/>
        </w:rPr>
        <w:t xml:space="preserve"> ajut</w:t>
      </w:r>
      <w:r w:rsidR="00BC7531"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2D7F7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>contribuabili</w:t>
      </w:r>
      <w:r w:rsidR="002D7F7C">
        <w:rPr>
          <w:rFonts w:asciiTheme="majorHAnsi" w:hAnsiTheme="majorHAnsi" w:cstheme="majorHAnsi"/>
          <w:sz w:val="20"/>
          <w:szCs w:val="20"/>
          <w:lang w:val="ro-RO"/>
        </w:rPr>
        <w:t>i care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trec printr-o dificultate financiară temporară</w:t>
      </w:r>
      <w:r w:rsidR="002D7F7C">
        <w:rPr>
          <w:rFonts w:asciiTheme="majorHAnsi" w:hAnsiTheme="majorHAnsi" w:cstheme="majorHAnsi"/>
          <w:sz w:val="20"/>
          <w:szCs w:val="20"/>
          <w:lang w:val="ro-RO"/>
        </w:rPr>
        <w:t xml:space="preserve">. Aceștia vor avea dreptul 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>să achite obligațiile restante acumulate în ultimul an</w:t>
      </w:r>
      <w:r w:rsidR="002D7F7C">
        <w:rPr>
          <w:rFonts w:asciiTheme="majorHAnsi" w:hAnsiTheme="majorHAnsi" w:cstheme="majorHAnsi"/>
          <w:sz w:val="20"/>
          <w:szCs w:val="20"/>
          <w:lang w:val="ro-RO"/>
        </w:rPr>
        <w:t xml:space="preserve"> într-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>o perioadă rezonabilă de timp (maxim</w:t>
      </w:r>
      <w:r w:rsidR="00BC7531">
        <w:rPr>
          <w:rFonts w:asciiTheme="majorHAnsi" w:hAnsiTheme="majorHAnsi" w:cstheme="majorHAnsi"/>
          <w:sz w:val="20"/>
          <w:szCs w:val="20"/>
          <w:lang w:val="ro-RO"/>
        </w:rPr>
        <w:t>um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12 luni), fără a fi obligați să constituie acele garanții costisitoare </w:t>
      </w:r>
      <w:r w:rsidR="002D7F7C">
        <w:rPr>
          <w:rFonts w:asciiTheme="majorHAnsi" w:hAnsiTheme="majorHAnsi" w:cstheme="majorHAnsi"/>
          <w:sz w:val="20"/>
          <w:szCs w:val="20"/>
          <w:lang w:val="ro-RO"/>
        </w:rPr>
        <w:t xml:space="preserve">solicitate în cazul unei proceduri obișnuite de 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>eșalonare la plată</w:t>
      </w:r>
      <w:r w:rsidR="002D7F7C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42C47DF9" w14:textId="77777777" w:rsidR="00BC7531" w:rsidRDefault="00BC7531" w:rsidP="004F09A5">
      <w:pPr>
        <w:spacing w:before="120" w:line="264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</w:p>
    <w:p w14:paraId="63D7C8A0" w14:textId="2A48B7EB" w:rsidR="00667B64" w:rsidRPr="008F129A" w:rsidRDefault="00C54A22" w:rsidP="004F09A5">
      <w:pPr>
        <w:spacing w:before="120" w:line="264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  <w:r>
        <w:rPr>
          <w:rFonts w:asciiTheme="majorHAnsi" w:hAnsiTheme="majorHAnsi" w:cstheme="majorHAnsi"/>
          <w:b/>
          <w:sz w:val="20"/>
          <w:szCs w:val="20"/>
          <w:lang w:val="ro-RO"/>
        </w:rPr>
        <w:t>Aplicabilitate</w:t>
      </w:r>
      <w:r w:rsidRPr="008F129A">
        <w:rPr>
          <w:rFonts w:asciiTheme="majorHAnsi" w:hAnsiTheme="majorHAnsi" w:cstheme="majorHAnsi"/>
          <w:b/>
          <w:sz w:val="20"/>
          <w:szCs w:val="20"/>
          <w:lang w:val="ro-RO"/>
        </w:rPr>
        <w:t xml:space="preserve"> și incompatibil</w:t>
      </w:r>
      <w:r>
        <w:rPr>
          <w:rFonts w:asciiTheme="majorHAnsi" w:hAnsiTheme="majorHAnsi" w:cstheme="majorHAnsi"/>
          <w:b/>
          <w:sz w:val="20"/>
          <w:szCs w:val="20"/>
          <w:lang w:val="ro-RO"/>
        </w:rPr>
        <w:t>i</w:t>
      </w:r>
      <w:r w:rsidRPr="008F129A">
        <w:rPr>
          <w:rFonts w:asciiTheme="majorHAnsi" w:hAnsiTheme="majorHAnsi" w:cstheme="majorHAnsi"/>
          <w:b/>
          <w:sz w:val="20"/>
          <w:szCs w:val="20"/>
          <w:lang w:val="ro-RO"/>
        </w:rPr>
        <w:t>tăți</w:t>
      </w:r>
    </w:p>
    <w:p w14:paraId="023FF1CE" w14:textId="1DFF5B4A" w:rsidR="004A1E44" w:rsidRPr="000014A8" w:rsidRDefault="004A1E44" w:rsidP="004F09A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0014A8">
        <w:rPr>
          <w:rFonts w:asciiTheme="majorHAnsi" w:hAnsiTheme="majorHAnsi" w:cstheme="majorHAnsi"/>
          <w:sz w:val="20"/>
          <w:szCs w:val="20"/>
          <w:lang w:val="ro-RO"/>
        </w:rPr>
        <w:t>Sfera de aplicare a eșalonării simplificate</w:t>
      </w:r>
      <w:r w:rsidR="009630B3">
        <w:rPr>
          <w:rFonts w:asciiTheme="majorHAnsi" w:hAnsiTheme="majorHAnsi" w:cstheme="majorHAnsi"/>
          <w:sz w:val="20"/>
          <w:szCs w:val="20"/>
          <w:lang w:val="ro-RO"/>
        </w:rPr>
        <w:t>, astfel cum este detaliată în p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>rocedura adoptată, este una extinsă</w:t>
      </w:r>
      <w:r w:rsidR="00370A32">
        <w:rPr>
          <w:rFonts w:asciiTheme="majorHAnsi" w:hAnsiTheme="majorHAnsi" w:cstheme="majorHAnsi"/>
          <w:sz w:val="20"/>
          <w:szCs w:val="20"/>
          <w:lang w:val="ro-RO"/>
        </w:rPr>
        <w:t xml:space="preserve"> și acoperă, 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>suplimentar față de obligațiile fiscale principale și accesorii, amenzile sau creanțele bugetare stabilite de alte organe și tra</w:t>
      </w:r>
      <w:r w:rsidR="009630B3">
        <w:rPr>
          <w:rFonts w:asciiTheme="majorHAnsi" w:hAnsiTheme="majorHAnsi" w:cstheme="majorHAnsi"/>
          <w:sz w:val="20"/>
          <w:szCs w:val="20"/>
          <w:lang w:val="ro-RO"/>
        </w:rPr>
        <w:t>nsmise spre recuperare autorităților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fiscale</w:t>
      </w:r>
      <w:r w:rsidR="00370A32">
        <w:rPr>
          <w:rFonts w:asciiTheme="majorHAnsi" w:hAnsiTheme="majorHAnsi" w:cstheme="majorHAnsi"/>
          <w:sz w:val="20"/>
          <w:szCs w:val="20"/>
          <w:lang w:val="ro-RO"/>
        </w:rPr>
        <w:t xml:space="preserve"> (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>prevăzute de O</w:t>
      </w:r>
      <w:r w:rsidR="0015684E">
        <w:rPr>
          <w:rFonts w:asciiTheme="majorHAnsi" w:hAnsiTheme="majorHAnsi" w:cstheme="majorHAnsi"/>
          <w:sz w:val="20"/>
          <w:szCs w:val="20"/>
          <w:lang w:val="ro-RO"/>
        </w:rPr>
        <w:t>.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>G</w:t>
      </w:r>
      <w:r w:rsidR="0015684E">
        <w:rPr>
          <w:rFonts w:asciiTheme="majorHAnsi" w:hAnsiTheme="majorHAnsi" w:cstheme="majorHAnsi"/>
          <w:sz w:val="20"/>
          <w:szCs w:val="20"/>
          <w:lang w:val="ro-RO"/>
        </w:rPr>
        <w:t>.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nr. 11/2021</w:t>
      </w:r>
      <w:r w:rsidR="00370A32">
        <w:rPr>
          <w:rFonts w:asciiTheme="majorHAnsi" w:hAnsiTheme="majorHAnsi" w:cstheme="majorHAnsi"/>
          <w:sz w:val="20"/>
          <w:szCs w:val="20"/>
          <w:lang w:val="ro-RO"/>
        </w:rPr>
        <w:t>)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și </w:t>
      </w:r>
      <w:r w:rsidRPr="000014A8">
        <w:rPr>
          <w:rFonts w:asciiTheme="majorHAnsi" w:hAnsiTheme="majorHAnsi" w:cstheme="majorHAnsi"/>
          <w:b/>
          <w:bCs/>
          <w:sz w:val="20"/>
          <w:szCs w:val="20"/>
          <w:lang w:val="ro-RO"/>
        </w:rPr>
        <w:t>creanțele rezultate din săvârșirea unor infracțiuni, respectiv prejudicii, cheltuieli judiciare și amenzi/judiciare penale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. Cu toate acestea, nu </w:t>
      </w:r>
      <w:r w:rsidR="00370A32">
        <w:rPr>
          <w:rFonts w:asciiTheme="majorHAnsi" w:hAnsiTheme="majorHAnsi" w:cstheme="majorHAnsi"/>
          <w:sz w:val="20"/>
          <w:szCs w:val="20"/>
          <w:lang w:val="ro-RO"/>
        </w:rPr>
        <w:t xml:space="preserve">sunt vizate 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toate creanțele rezultate din infracțiuni </w:t>
      </w:r>
      <w:r w:rsidR="00370A32">
        <w:rPr>
          <w:rFonts w:asciiTheme="majorHAnsi" w:hAnsiTheme="majorHAnsi" w:cstheme="majorHAnsi"/>
          <w:sz w:val="20"/>
          <w:szCs w:val="20"/>
          <w:lang w:val="ro-RO"/>
        </w:rPr>
        <w:t xml:space="preserve">- 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>spre exemplu</w:t>
      </w:r>
      <w:r w:rsidR="00E643C5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eșalonarea nu poate fi dispusă pentru sumele ce fac obiectul confiscărilor sau cele ce reprezintă echivalentul în bani a</w:t>
      </w:r>
      <w:r w:rsidR="009630B3">
        <w:rPr>
          <w:rFonts w:asciiTheme="majorHAnsi" w:hAnsiTheme="majorHAnsi" w:cstheme="majorHAnsi"/>
          <w:sz w:val="20"/>
          <w:szCs w:val="20"/>
          <w:lang w:val="ro-RO"/>
        </w:rPr>
        <w:t>l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unor bunuri care au fost considerate produsul unei infracțiuni.</w:t>
      </w:r>
    </w:p>
    <w:p w14:paraId="34693F7E" w14:textId="178BD23A" w:rsidR="001777F7" w:rsidRDefault="00D17385" w:rsidP="004F09A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Totodată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, eșalonarea la plată, în formă simplificată, este </w:t>
      </w:r>
      <w:r w:rsidR="004A1E44" w:rsidRPr="000014A8">
        <w:rPr>
          <w:rFonts w:asciiTheme="majorHAnsi" w:hAnsiTheme="majorHAnsi" w:cstheme="majorHAnsi"/>
          <w:b/>
          <w:bCs/>
          <w:sz w:val="20"/>
          <w:szCs w:val="20"/>
          <w:lang w:val="ro-RO"/>
        </w:rPr>
        <w:t>incompatibilă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cu procedura restructurării obligațiilor bugetare sau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cu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amnisti</w:t>
      </w:r>
      <w:r>
        <w:rPr>
          <w:rFonts w:asciiTheme="majorHAnsi" w:hAnsiTheme="majorHAnsi" w:cstheme="majorHAnsi"/>
          <w:sz w:val="20"/>
          <w:szCs w:val="20"/>
          <w:lang w:val="ro-RO"/>
        </w:rPr>
        <w:t>a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fiscal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. Astfel, dacă un contribuabil c</w:t>
      </w:r>
      <w:r>
        <w:rPr>
          <w:rFonts w:asciiTheme="majorHAnsi" w:hAnsiTheme="majorHAnsi" w:cstheme="majorHAnsi"/>
          <w:sz w:val="20"/>
          <w:szCs w:val="20"/>
          <w:lang w:val="ro-RO"/>
        </w:rPr>
        <w:t>are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a depus o </w:t>
      </w:r>
      <w:r w:rsidR="004A1E44" w:rsidRPr="000014A8">
        <w:rPr>
          <w:rFonts w:asciiTheme="majorHAnsi" w:hAnsiTheme="majorHAnsi" w:cstheme="majorHAnsi"/>
          <w:b/>
          <w:bCs/>
          <w:sz w:val="20"/>
          <w:szCs w:val="20"/>
          <w:lang w:val="ro-RO"/>
        </w:rPr>
        <w:t>notificare privind intenția de a beneficia de restructurarea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A1E44" w:rsidRPr="000014A8">
        <w:rPr>
          <w:rFonts w:asciiTheme="majorHAnsi" w:hAnsiTheme="majorHAnsi" w:cstheme="majorHAnsi"/>
          <w:b/>
          <w:bCs/>
          <w:sz w:val="20"/>
          <w:szCs w:val="20"/>
          <w:lang w:val="ro-RO"/>
        </w:rPr>
        <w:t>obligațiilor bugetare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777F7">
        <w:rPr>
          <w:rFonts w:asciiTheme="majorHAnsi" w:hAnsiTheme="majorHAnsi" w:cstheme="majorHAnsi"/>
          <w:sz w:val="20"/>
          <w:szCs w:val="20"/>
          <w:lang w:val="ro-RO"/>
        </w:rPr>
        <w:t>(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în temeiul O</w:t>
      </w:r>
      <w:r w:rsidR="002B2B8E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1777F7">
        <w:rPr>
          <w:rFonts w:asciiTheme="majorHAnsi" w:hAnsiTheme="majorHAnsi" w:cstheme="majorHAnsi"/>
          <w:sz w:val="20"/>
          <w:szCs w:val="20"/>
          <w:lang w:val="ro-RO"/>
        </w:rPr>
        <w:t>G</w:t>
      </w:r>
      <w:r w:rsidR="002B2B8E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nr. 6/2018</w:t>
      </w:r>
      <w:r w:rsidR="001777F7">
        <w:rPr>
          <w:rFonts w:asciiTheme="majorHAnsi" w:hAnsiTheme="majorHAnsi" w:cstheme="majorHAnsi"/>
          <w:sz w:val="20"/>
          <w:szCs w:val="20"/>
          <w:lang w:val="ro-RO"/>
        </w:rPr>
        <w:t>)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sau </w:t>
      </w:r>
      <w:r w:rsidRPr="008F129A">
        <w:rPr>
          <w:rFonts w:asciiTheme="majorHAnsi" w:hAnsiTheme="majorHAnsi" w:cstheme="majorHAnsi"/>
          <w:b/>
          <w:bCs/>
          <w:sz w:val="20"/>
          <w:szCs w:val="20"/>
          <w:lang w:val="ro-RO"/>
        </w:rPr>
        <w:t>pentru a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A1E44" w:rsidRPr="000014A8">
        <w:rPr>
          <w:rFonts w:asciiTheme="majorHAnsi" w:hAnsiTheme="majorHAnsi" w:cstheme="majorHAnsi"/>
          <w:b/>
          <w:bCs/>
          <w:sz w:val="20"/>
          <w:szCs w:val="20"/>
          <w:lang w:val="ro-RO"/>
        </w:rPr>
        <w:t>beneficia de anularea obligațiilor accesorii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777F7">
        <w:rPr>
          <w:rFonts w:asciiTheme="majorHAnsi" w:hAnsiTheme="majorHAnsi" w:cstheme="majorHAnsi"/>
          <w:sz w:val="20"/>
          <w:szCs w:val="20"/>
          <w:lang w:val="ro-RO"/>
        </w:rPr>
        <w:t>(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în temeiul O</w:t>
      </w:r>
      <w:r w:rsidR="002B2B8E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1777F7">
        <w:rPr>
          <w:rFonts w:asciiTheme="majorHAnsi" w:hAnsiTheme="majorHAnsi" w:cstheme="majorHAnsi"/>
          <w:sz w:val="20"/>
          <w:szCs w:val="20"/>
          <w:lang w:val="ro-RO"/>
        </w:rPr>
        <w:t>U</w:t>
      </w:r>
      <w:r w:rsidR="002B2B8E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1777F7">
        <w:rPr>
          <w:rFonts w:asciiTheme="majorHAnsi" w:hAnsiTheme="majorHAnsi" w:cstheme="majorHAnsi"/>
          <w:sz w:val="20"/>
          <w:szCs w:val="20"/>
          <w:lang w:val="ro-RO"/>
        </w:rPr>
        <w:t>G</w:t>
      </w:r>
      <w:r w:rsidR="002B2B8E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nr. 69/2020</w:t>
      </w:r>
      <w:r w:rsidR="001777F7">
        <w:rPr>
          <w:rFonts w:asciiTheme="majorHAnsi" w:hAnsiTheme="majorHAnsi" w:cstheme="majorHAnsi"/>
          <w:sz w:val="20"/>
          <w:szCs w:val="20"/>
          <w:lang w:val="ro-RO"/>
        </w:rPr>
        <w:t>) solicită și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eșalonarea la plată, în formă simplificată, </w:t>
      </w:r>
      <w:r w:rsidRPr="007E7D10">
        <w:rPr>
          <w:rFonts w:asciiTheme="majorHAnsi" w:hAnsiTheme="majorHAnsi" w:cstheme="majorHAnsi"/>
          <w:b/>
          <w:bCs/>
          <w:sz w:val="20"/>
          <w:szCs w:val="20"/>
          <w:lang w:val="ro-RO"/>
        </w:rPr>
        <w:t>riscă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să piardă </w:t>
      </w:r>
      <w:r w:rsidR="001777F7">
        <w:rPr>
          <w:rFonts w:asciiTheme="majorHAnsi" w:hAnsiTheme="majorHAnsi" w:cstheme="majorHAnsi"/>
          <w:sz w:val="20"/>
          <w:szCs w:val="20"/>
          <w:lang w:val="ro-RO"/>
        </w:rPr>
        <w:t xml:space="preserve">beneficiile aferente acestor proceduri. </w:t>
      </w:r>
    </w:p>
    <w:p w14:paraId="2BE923F4" w14:textId="2613553B" w:rsidR="001777F7" w:rsidRDefault="001777F7" w:rsidP="004F09A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Așadar,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dacă un contribuabil </w:t>
      </w:r>
      <w:r w:rsidR="00D17385">
        <w:rPr>
          <w:rFonts w:asciiTheme="majorHAnsi" w:hAnsiTheme="majorHAnsi" w:cstheme="majorHAnsi"/>
          <w:sz w:val="20"/>
          <w:szCs w:val="20"/>
          <w:lang w:val="ro-RO"/>
        </w:rPr>
        <w:t xml:space="preserve">vrea să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benefici</w:t>
      </w:r>
      <w:r w:rsidR="00D17385">
        <w:rPr>
          <w:rFonts w:asciiTheme="majorHAnsi" w:hAnsiTheme="majorHAnsi" w:cstheme="majorHAnsi"/>
          <w:sz w:val="20"/>
          <w:szCs w:val="20"/>
          <w:lang w:val="ro-RO"/>
        </w:rPr>
        <w:t>eze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de restructurarea obligațiilor bugetare sau de amnistia fiscală, dar și-ar dori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din varii motive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să efectueze plata și să</w:t>
      </w:r>
      <w:r w:rsidR="00D17385">
        <w:rPr>
          <w:rFonts w:asciiTheme="majorHAnsi" w:hAnsiTheme="majorHAnsi" w:cstheme="majorHAnsi"/>
          <w:sz w:val="20"/>
          <w:szCs w:val="20"/>
          <w:lang w:val="ro-RO"/>
        </w:rPr>
        <w:t xml:space="preserve"> profite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de efectele eșalonării la plată, în formă simplificată,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trebuie să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efectueze, în prealabil, o analiză temeinică a îndeplinirii condițiilor legale de acordare</w:t>
      </w:r>
      <w:r w:rsidR="00C96313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a eșalonării simplificate.</w:t>
      </w:r>
    </w:p>
    <w:p w14:paraId="4400DFCC" w14:textId="3739683A" w:rsidR="004A1E44" w:rsidRDefault="00276743" w:rsidP="004F09A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lastRenderedPageBreak/>
        <w:t>Spre exemplu,</w:t>
      </w:r>
      <w:r w:rsidR="00370A32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dacă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un contribuabil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căruia i s-au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stabil</w:t>
      </w:r>
      <w:r>
        <w:rPr>
          <w:rFonts w:asciiTheme="majorHAnsi" w:hAnsiTheme="majorHAnsi" w:cstheme="majorHAnsi"/>
          <w:sz w:val="20"/>
          <w:szCs w:val="20"/>
          <w:lang w:val="ro-RO"/>
        </w:rPr>
        <w:t>it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obligații suplimentare de plată</w:t>
      </w:r>
      <w:r w:rsidR="00D17385">
        <w:rPr>
          <w:rFonts w:asciiTheme="majorHAnsi" w:hAnsiTheme="majorHAnsi" w:cstheme="majorHAnsi"/>
          <w:sz w:val="20"/>
          <w:szCs w:val="20"/>
          <w:lang w:val="ro-RO"/>
        </w:rPr>
        <w:t xml:space="preserve"> în urma unei </w:t>
      </w:r>
      <w:r w:rsidR="00D17385" w:rsidRPr="000014A8">
        <w:rPr>
          <w:rFonts w:asciiTheme="majorHAnsi" w:hAnsiTheme="majorHAnsi" w:cstheme="majorHAnsi"/>
          <w:sz w:val="20"/>
          <w:szCs w:val="20"/>
          <w:lang w:val="ro-RO"/>
        </w:rPr>
        <w:t>inspecții fiscal</w:t>
      </w:r>
      <w:r w:rsidR="00C3688E">
        <w:rPr>
          <w:rFonts w:asciiTheme="majorHAnsi" w:hAnsiTheme="majorHAnsi" w:cstheme="majorHAnsi"/>
          <w:sz w:val="20"/>
          <w:szCs w:val="20"/>
          <w:lang w:val="ro-RO"/>
        </w:rPr>
        <w:t>e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ar dori să </w:t>
      </w:r>
      <w:r w:rsidR="00370A32">
        <w:rPr>
          <w:rFonts w:asciiTheme="majorHAnsi" w:hAnsiTheme="majorHAnsi" w:cstheme="majorHAnsi"/>
          <w:sz w:val="20"/>
          <w:szCs w:val="20"/>
          <w:lang w:val="ro-RO"/>
        </w:rPr>
        <w:t xml:space="preserve">apeleze la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amnistie</w:t>
      </w:r>
      <w:r w:rsidR="00D17385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depunerea unei cereri </w:t>
      </w:r>
      <w:r w:rsidR="00EA46B3">
        <w:rPr>
          <w:rFonts w:asciiTheme="majorHAnsi" w:hAnsiTheme="majorHAnsi" w:cstheme="majorHAnsi"/>
          <w:sz w:val="20"/>
          <w:szCs w:val="20"/>
          <w:lang w:val="ro-RO"/>
        </w:rPr>
        <w:t xml:space="preserve">pentru a beneficia de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eșalonare la plată simplificată nu ar fi una oportună deoarece s-ar pierde beneficiul </w:t>
      </w:r>
      <w:r w:rsidR="00882999">
        <w:rPr>
          <w:rFonts w:asciiTheme="majorHAnsi" w:hAnsiTheme="majorHAnsi" w:cstheme="majorHAnsi"/>
          <w:sz w:val="20"/>
          <w:szCs w:val="20"/>
          <w:lang w:val="ro-RO"/>
        </w:rPr>
        <w:t xml:space="preserve">obținut prin </w:t>
      </w:r>
      <w:r w:rsidR="00EA46B3">
        <w:rPr>
          <w:rFonts w:asciiTheme="majorHAnsi" w:hAnsiTheme="majorHAnsi" w:cstheme="majorHAnsi"/>
          <w:sz w:val="20"/>
          <w:szCs w:val="20"/>
          <w:lang w:val="ro-RO"/>
        </w:rPr>
        <w:t xml:space="preserve">depunerea notificării privind obținerea </w:t>
      </w:r>
      <w:r w:rsidR="00882999">
        <w:rPr>
          <w:rFonts w:asciiTheme="majorHAnsi" w:hAnsiTheme="majorHAnsi" w:cstheme="majorHAnsi"/>
          <w:sz w:val="20"/>
          <w:szCs w:val="20"/>
          <w:lang w:val="ro-RO"/>
        </w:rPr>
        <w:t>amnistie</w:t>
      </w:r>
      <w:r w:rsidR="00EA46B3">
        <w:rPr>
          <w:rFonts w:asciiTheme="majorHAnsi" w:hAnsiTheme="majorHAnsi" w:cstheme="majorHAnsi"/>
          <w:sz w:val="20"/>
          <w:szCs w:val="20"/>
          <w:lang w:val="ro-RO"/>
        </w:rPr>
        <w:t>i</w:t>
      </w:r>
      <w:r w:rsidR="00882999">
        <w:rPr>
          <w:rFonts w:asciiTheme="majorHAnsi" w:hAnsiTheme="majorHAnsi" w:cstheme="majorHAnsi"/>
          <w:sz w:val="20"/>
          <w:szCs w:val="20"/>
          <w:lang w:val="ro-RO"/>
        </w:rPr>
        <w:t xml:space="preserve"> (</w:t>
      </w:r>
      <w:r w:rsidR="007E7D10">
        <w:rPr>
          <w:rFonts w:asciiTheme="majorHAnsi" w:hAnsiTheme="majorHAnsi" w:cstheme="majorHAnsi"/>
          <w:sz w:val="20"/>
          <w:szCs w:val="20"/>
          <w:lang w:val="ro-RO"/>
        </w:rPr>
        <w:t>cum ar fi</w:t>
      </w:r>
      <w:r w:rsidR="00C3688E">
        <w:rPr>
          <w:rFonts w:asciiTheme="majorHAnsi" w:hAnsiTheme="majorHAnsi" w:cstheme="majorHAnsi"/>
          <w:sz w:val="20"/>
          <w:szCs w:val="20"/>
          <w:lang w:val="ro-RO"/>
        </w:rPr>
        <w:t xml:space="preserve"> amânarea la plată a obligațiilor accesorii ce ar urma să fie anulat</w:t>
      </w:r>
      <w:r w:rsidR="007E7D10"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C3688E">
        <w:rPr>
          <w:rFonts w:asciiTheme="majorHAnsi" w:hAnsiTheme="majorHAnsi" w:cstheme="majorHAnsi"/>
          <w:sz w:val="20"/>
          <w:szCs w:val="20"/>
          <w:lang w:val="ro-RO"/>
        </w:rPr>
        <w:t xml:space="preserve"> ori suspendarea executării silite a obligațiilor accesorii amânate la plată</w:t>
      </w:r>
      <w:r w:rsidR="00882999">
        <w:rPr>
          <w:rFonts w:asciiTheme="majorHAnsi" w:hAnsiTheme="majorHAnsi" w:cstheme="majorHAnsi"/>
          <w:sz w:val="20"/>
          <w:szCs w:val="20"/>
          <w:lang w:val="ro-RO"/>
        </w:rPr>
        <w:t>)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A91DD4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Eșalonarea la plată, în formă simplificată, ar rămâne o opțiune validă, totuși, în cazul în care contribuabilul nu ar avea posibilitatea </w:t>
      </w:r>
      <w:r w:rsidR="00882999">
        <w:rPr>
          <w:rFonts w:asciiTheme="majorHAnsi" w:hAnsiTheme="majorHAnsi" w:cstheme="majorHAnsi"/>
          <w:sz w:val="20"/>
          <w:szCs w:val="20"/>
          <w:lang w:val="ro-RO"/>
        </w:rPr>
        <w:t>să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achit</w:t>
      </w:r>
      <w:r w:rsidR="00882999"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sumele stabilite suplimentar prin decizia de impunere, condiție obligatorie pentru a beneficia de amnistia fiscală.</w:t>
      </w:r>
    </w:p>
    <w:p w14:paraId="576CA221" w14:textId="77777777" w:rsidR="00BC7531" w:rsidRDefault="00BC7531" w:rsidP="004F09A5">
      <w:pPr>
        <w:spacing w:before="120" w:line="264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</w:p>
    <w:p w14:paraId="187CD4AE" w14:textId="2FB1EA0C" w:rsidR="00276743" w:rsidRPr="008F129A" w:rsidRDefault="00C54A22" w:rsidP="004F09A5">
      <w:pPr>
        <w:spacing w:before="120" w:line="264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  <w:r w:rsidRPr="008F129A">
        <w:rPr>
          <w:rFonts w:asciiTheme="majorHAnsi" w:hAnsiTheme="majorHAnsi" w:cstheme="majorHAnsi"/>
          <w:b/>
          <w:sz w:val="20"/>
          <w:szCs w:val="20"/>
          <w:lang w:val="ro-RO"/>
        </w:rPr>
        <w:t>Procedura, mai simplă și mai scurtă</w:t>
      </w:r>
    </w:p>
    <w:p w14:paraId="5C1A2EF8" w14:textId="3A59A021" w:rsidR="007338BA" w:rsidRDefault="00A91DD4" w:rsidP="004F09A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Revenind la n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ormele c</w:t>
      </w:r>
      <w:r>
        <w:rPr>
          <w:rFonts w:asciiTheme="majorHAnsi" w:hAnsiTheme="majorHAnsi" w:cstheme="majorHAnsi"/>
          <w:sz w:val="20"/>
          <w:szCs w:val="20"/>
          <w:lang w:val="ro-RO"/>
        </w:rPr>
        <w:t>are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detaliază </w:t>
      </w:r>
      <w:r w:rsidR="00C232CA">
        <w:rPr>
          <w:rFonts w:asciiTheme="majorHAnsi" w:hAnsiTheme="majorHAnsi" w:cstheme="majorHAnsi"/>
          <w:sz w:val="20"/>
          <w:szCs w:val="20"/>
          <w:lang w:val="ro-RO"/>
        </w:rPr>
        <w:t>pașii ce trebuie urmați pentru a beneficia de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eșalonare</w:t>
      </w:r>
      <w:r w:rsidR="00C232CA">
        <w:rPr>
          <w:rFonts w:asciiTheme="majorHAnsi" w:hAnsiTheme="majorHAnsi" w:cstheme="majorHAnsi"/>
          <w:sz w:val="20"/>
          <w:szCs w:val="20"/>
          <w:lang w:val="ro-RO"/>
        </w:rPr>
        <w:t>a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la plată, în formă simplificată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(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Ordinul </w:t>
      </w:r>
      <w:r w:rsidR="005758D4">
        <w:rPr>
          <w:rFonts w:asciiTheme="majorHAnsi" w:hAnsiTheme="majorHAnsi" w:cstheme="majorHAnsi"/>
          <w:sz w:val="20"/>
          <w:szCs w:val="20"/>
          <w:lang w:val="ro-RO"/>
        </w:rPr>
        <w:t xml:space="preserve">nr.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1767/2021</w:t>
      </w:r>
      <w:r>
        <w:rPr>
          <w:rFonts w:asciiTheme="majorHAnsi" w:hAnsiTheme="majorHAnsi" w:cstheme="majorHAnsi"/>
          <w:sz w:val="20"/>
          <w:szCs w:val="20"/>
          <w:lang w:val="ro-RO"/>
        </w:rPr>
        <w:t>)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>
        <w:rPr>
          <w:rFonts w:asciiTheme="majorHAnsi" w:hAnsiTheme="majorHAnsi" w:cstheme="majorHAnsi"/>
          <w:sz w:val="20"/>
          <w:szCs w:val="20"/>
          <w:lang w:val="ro-RO"/>
        </w:rPr>
        <w:t>este de menționat faptul că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cerer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ea în acest scop trebuie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depus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prin una dintre modalitățile prevăzute de lege (registratură, serviciu poștal, spațiul privat virtual), fără a fi </w:t>
      </w:r>
      <w:r w:rsidR="00D17385">
        <w:rPr>
          <w:rFonts w:asciiTheme="majorHAnsi" w:hAnsiTheme="majorHAnsi" w:cstheme="majorHAnsi"/>
          <w:sz w:val="20"/>
          <w:szCs w:val="20"/>
          <w:lang w:val="ro-RO"/>
        </w:rPr>
        <w:t xml:space="preserve">necesare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document</w:t>
      </w:r>
      <w:r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suplimentar</w:t>
      </w:r>
      <w:r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D17385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(însă cu respectarea condițiilor legale pentru a beneficia de această eșalonare), spre deosebire de procedura greoaie a eșalonării la plată obișnuite (ce presupunea, spre exemplu, dovedirea dificultății generate de lipsa</w:t>
      </w:r>
      <w:r w:rsidR="009630B3">
        <w:rPr>
          <w:rFonts w:asciiTheme="majorHAnsi" w:hAnsiTheme="majorHAnsi" w:cstheme="majorHAnsi"/>
          <w:sz w:val="20"/>
          <w:szCs w:val="20"/>
          <w:lang w:val="ro-RO"/>
        </w:rPr>
        <w:t xml:space="preserve"> temporară de disponibilități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bănești sau urmare </w:t>
      </w:r>
      <w:r w:rsidR="009630B3">
        <w:rPr>
          <w:rFonts w:asciiTheme="majorHAnsi" w:hAnsiTheme="majorHAnsi" w:cstheme="majorHAnsi"/>
          <w:sz w:val="20"/>
          <w:szCs w:val="20"/>
          <w:lang w:val="ro-RO"/>
        </w:rPr>
        <w:t xml:space="preserve">a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procedurii de emitere a unui acord de principiu). </w:t>
      </w:r>
    </w:p>
    <w:p w14:paraId="58C33413" w14:textId="707BE557" w:rsidR="004A1E44" w:rsidRPr="000014A8" w:rsidRDefault="004A1E44" w:rsidP="004F09A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Singura </w:t>
      </w:r>
      <w:r w:rsidRPr="000014A8">
        <w:rPr>
          <w:rFonts w:asciiTheme="majorHAnsi" w:hAnsiTheme="majorHAnsi" w:cstheme="majorHAnsi"/>
          <w:b/>
          <w:bCs/>
          <w:sz w:val="20"/>
          <w:szCs w:val="20"/>
          <w:lang w:val="ro-RO"/>
        </w:rPr>
        <w:t>excepție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de la această regulă este ipoteza în care contribuabilul optează pentru </w:t>
      </w:r>
      <w:r w:rsidRPr="000014A8">
        <w:rPr>
          <w:rFonts w:asciiTheme="majorHAnsi" w:hAnsiTheme="majorHAnsi" w:cstheme="majorHAnsi"/>
          <w:b/>
          <w:bCs/>
          <w:sz w:val="20"/>
          <w:szCs w:val="20"/>
          <w:lang w:val="ro-RO"/>
        </w:rPr>
        <w:t>plata diferențiată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a ratelor de eșalonare, caz în care acesta trebuie să prezinte o propunere de grafic de plată ce va cuprinde</w:t>
      </w:r>
      <w:r w:rsidR="00A91DD4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pentru fiecare rată</w:t>
      </w:r>
      <w:r w:rsidR="00A91DD4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și procentul care poate fi achitat din obligațiile ce fac obiectul facilității.</w:t>
      </w:r>
      <w:r w:rsidR="008735B4">
        <w:rPr>
          <w:rFonts w:asciiTheme="majorHAnsi" w:hAnsiTheme="majorHAnsi" w:cstheme="majorHAnsi"/>
          <w:sz w:val="20"/>
          <w:szCs w:val="20"/>
          <w:lang w:val="ro-RO"/>
        </w:rPr>
        <w:t xml:space="preserve"> Însă acesta nu poate 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să fie </w:t>
      </w:r>
      <w:r w:rsidR="008735B4">
        <w:rPr>
          <w:rFonts w:asciiTheme="majorHAnsi" w:hAnsiTheme="majorHAnsi" w:cstheme="majorHAnsi"/>
          <w:sz w:val="20"/>
          <w:szCs w:val="20"/>
          <w:lang w:val="ro-RO"/>
        </w:rPr>
        <w:t xml:space="preserve">mai mic de </w:t>
      </w:r>
      <w:r w:rsidRPr="000014A8">
        <w:rPr>
          <w:rFonts w:asciiTheme="majorHAnsi" w:hAnsiTheme="majorHAnsi" w:cstheme="majorHAnsi"/>
          <w:sz w:val="20"/>
          <w:szCs w:val="20"/>
          <w:lang w:val="ro-RO"/>
        </w:rPr>
        <w:t>5% din cuantumul obligațiilor ce pot fi eșalonate la plată, pentru jumătate din perioada de eșalonare solicitată.</w:t>
      </w:r>
    </w:p>
    <w:p w14:paraId="33186BB9" w14:textId="003B7CA9" w:rsidR="008735B4" w:rsidRDefault="008735B4" w:rsidP="004F09A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În aceste condiții,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durata de soluționare a cererii contribuabilului </w:t>
      </w:r>
      <w:r w:rsidR="008F129A">
        <w:rPr>
          <w:rFonts w:asciiTheme="majorHAnsi" w:hAnsiTheme="majorHAnsi" w:cstheme="majorHAnsi"/>
          <w:sz w:val="20"/>
          <w:szCs w:val="20"/>
          <w:lang w:val="ro-RO"/>
        </w:rPr>
        <w:t>a fost redusă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la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5 zile</w:t>
      </w:r>
      <w:r>
        <w:rPr>
          <w:rFonts w:asciiTheme="majorHAnsi" w:hAnsiTheme="majorHAnsi" w:cstheme="majorHAnsi"/>
          <w:sz w:val="20"/>
          <w:szCs w:val="20"/>
          <w:lang w:val="ro-RO"/>
        </w:rPr>
        <w:t>, de la 60 de zile în cazul procedurii anterioare.</w:t>
      </w:r>
    </w:p>
    <w:p w14:paraId="5FF37D0E" w14:textId="22B8530A" w:rsidR="004A1E44" w:rsidRPr="000014A8" w:rsidRDefault="008F129A" w:rsidP="004F09A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highlight w:val="yellow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În plus</w:t>
      </w:r>
      <w:r w:rsidR="008735B4">
        <w:rPr>
          <w:rFonts w:asciiTheme="majorHAnsi" w:hAnsiTheme="majorHAnsi" w:cstheme="majorHAnsi"/>
          <w:sz w:val="20"/>
          <w:szCs w:val="20"/>
          <w:lang w:val="ro-RO"/>
        </w:rPr>
        <w:t xml:space="preserve">, eșalonarea simplificată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vine cu o multitudine de beneficii în favoarea contribuabililor, printre care se numără inclusiv faptul că nu se impune constituirea de garanții</w:t>
      </w:r>
      <w:r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N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u trebuie uitat</w:t>
      </w:r>
      <w:r w:rsidR="00A3270B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totuși</w:t>
      </w:r>
      <w:r w:rsidR="00A3270B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de </w:t>
      </w:r>
      <w:r w:rsidR="004A1E44" w:rsidRPr="000014A8">
        <w:rPr>
          <w:rFonts w:asciiTheme="majorHAnsi" w:hAnsiTheme="majorHAnsi" w:cstheme="majorHAnsi"/>
          <w:b/>
          <w:bCs/>
          <w:sz w:val="20"/>
          <w:szCs w:val="20"/>
          <w:lang w:val="ro-RO"/>
        </w:rPr>
        <w:t>obligativitatea suportării unei dobânzi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în cuantum de 0,01% pe zi</w:t>
      </w:r>
      <w:r w:rsidR="00D36D14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calculată pentru fiecare rată începând cu data emiterii deciziei de eșalonare și până la stingerea</w:t>
      </w:r>
      <w:r w:rsidR="008735B4">
        <w:rPr>
          <w:rFonts w:asciiTheme="majorHAnsi" w:hAnsiTheme="majorHAnsi" w:cstheme="majorHAnsi"/>
          <w:sz w:val="20"/>
          <w:szCs w:val="20"/>
          <w:lang w:val="ro-RO"/>
        </w:rPr>
        <w:t xml:space="preserve"> obligațiilor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. Suplimentar,</w:t>
      </w:r>
      <w:r w:rsidR="008735B4">
        <w:rPr>
          <w:rFonts w:asciiTheme="majorHAnsi" w:hAnsiTheme="majorHAnsi" w:cstheme="majorHAnsi"/>
          <w:sz w:val="20"/>
          <w:szCs w:val="20"/>
          <w:lang w:val="ro-RO"/>
        </w:rPr>
        <w:t xml:space="preserve"> dacă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nu</w:t>
      </w:r>
      <w:r w:rsidR="008735B4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respectă graficul de eșalonare, </w:t>
      </w:r>
      <w:r w:rsidR="008735B4">
        <w:rPr>
          <w:rFonts w:asciiTheme="majorHAnsi" w:hAnsiTheme="majorHAnsi" w:cstheme="majorHAnsi"/>
          <w:sz w:val="20"/>
          <w:szCs w:val="20"/>
          <w:lang w:val="ro-RO"/>
        </w:rPr>
        <w:t xml:space="preserve">contribuabilul suportă o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penalitate de 5% aplicată, în general, </w:t>
      </w:r>
      <w:r w:rsidR="0008453D">
        <w:rPr>
          <w:rFonts w:asciiTheme="majorHAnsi" w:hAnsiTheme="majorHAnsi" w:cstheme="majorHAnsi"/>
          <w:sz w:val="20"/>
          <w:szCs w:val="20"/>
          <w:lang w:val="ro-RO"/>
        </w:rPr>
        <w:t>la suma</w:t>
      </w:r>
      <w:r w:rsidR="008735B4">
        <w:rPr>
          <w:rFonts w:asciiTheme="majorHAnsi" w:hAnsiTheme="majorHAnsi" w:cstheme="majorHAnsi"/>
          <w:sz w:val="20"/>
          <w:szCs w:val="20"/>
          <w:lang w:val="ro-RO"/>
        </w:rPr>
        <w:t xml:space="preserve"> ne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achitat</w:t>
      </w:r>
      <w:r w:rsidR="0008453D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din rata de eșalonare.</w:t>
      </w:r>
    </w:p>
    <w:p w14:paraId="05D7CF90" w14:textId="1E67FF97" w:rsidR="004A1E44" w:rsidRPr="000014A8" w:rsidRDefault="007777EC" w:rsidP="004F09A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n ceea ce privește </w:t>
      </w:r>
      <w:r w:rsidR="004A1E44" w:rsidRPr="000014A8">
        <w:rPr>
          <w:rFonts w:asciiTheme="majorHAnsi" w:hAnsiTheme="majorHAnsi" w:cstheme="majorHAnsi"/>
          <w:b/>
          <w:bCs/>
          <w:sz w:val="20"/>
          <w:szCs w:val="20"/>
          <w:lang w:val="ro-RO"/>
        </w:rPr>
        <w:t>contribuabilii care nu au domiciliul fiscal în România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, aceștia pot beneficia de eșalonarea la plată în formă simplificată numai dacă desemnează un împuternicit potrivit prevederilor din Codul de procedură fiscal</w:t>
      </w:r>
      <w:r w:rsidR="0008453D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0A0773F9" w14:textId="16C05633" w:rsidR="003111B1" w:rsidRPr="0098397F" w:rsidRDefault="00882999" w:rsidP="004F09A5">
      <w:pPr>
        <w:spacing w:before="120" w:line="264" w:lineRule="auto"/>
        <w:jc w:val="both"/>
        <w:rPr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În c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oncluzi</w:t>
      </w:r>
      <w:r>
        <w:rPr>
          <w:rFonts w:asciiTheme="majorHAnsi" w:hAnsiTheme="majorHAnsi" w:cstheme="majorHAnsi"/>
          <w:sz w:val="20"/>
          <w:szCs w:val="20"/>
          <w:lang w:val="ro-RO"/>
        </w:rPr>
        <w:t>e,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reglementarea procedurii de acordare a eșalonării la plată, în formă simplificată, reprezintă un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beneficiu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pentru contribuabili și </w:t>
      </w:r>
      <w:r w:rsidR="00DB3ED2">
        <w:rPr>
          <w:rFonts w:asciiTheme="majorHAnsi" w:hAnsiTheme="majorHAnsi" w:cstheme="majorHAnsi"/>
          <w:sz w:val="20"/>
          <w:szCs w:val="20"/>
          <w:lang w:val="ro-RO"/>
        </w:rPr>
        <w:t xml:space="preserve">un stimulent pentru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confor</w:t>
      </w:r>
      <w:r w:rsidR="00DB3ED2">
        <w:rPr>
          <w:rFonts w:asciiTheme="majorHAnsi" w:hAnsiTheme="majorHAnsi" w:cstheme="majorHAnsi"/>
          <w:sz w:val="20"/>
          <w:szCs w:val="20"/>
          <w:lang w:val="ro-RO"/>
        </w:rPr>
        <w:t>ma</w:t>
      </w:r>
      <w:r w:rsidR="007777EC">
        <w:rPr>
          <w:rFonts w:asciiTheme="majorHAnsi" w:hAnsiTheme="majorHAnsi" w:cstheme="majorHAnsi"/>
          <w:sz w:val="20"/>
          <w:szCs w:val="20"/>
          <w:lang w:val="ro-RO"/>
        </w:rPr>
        <w:t>rea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voluntar</w:t>
      </w:r>
      <w:r w:rsidR="007777EC">
        <w:rPr>
          <w:rFonts w:asciiTheme="majorHAnsi" w:hAnsiTheme="majorHAnsi" w:cstheme="majorHAnsi"/>
          <w:sz w:val="20"/>
          <w:szCs w:val="20"/>
          <w:lang w:val="ro-RO"/>
        </w:rPr>
        <w:t>ă la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obligați</w:t>
      </w:r>
      <w:r w:rsidR="007777EC">
        <w:rPr>
          <w:rFonts w:asciiTheme="majorHAnsi" w:hAnsiTheme="majorHAnsi" w:cstheme="majorHAnsi"/>
          <w:sz w:val="20"/>
          <w:szCs w:val="20"/>
          <w:lang w:val="ro-RO"/>
        </w:rPr>
        <w:t>a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de </w:t>
      </w:r>
      <w:r w:rsidR="007777EC">
        <w:rPr>
          <w:rFonts w:asciiTheme="majorHAnsi" w:hAnsiTheme="majorHAnsi" w:cstheme="majorHAnsi"/>
          <w:sz w:val="20"/>
          <w:szCs w:val="20"/>
          <w:lang w:val="ro-RO"/>
        </w:rPr>
        <w:t>plată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a creanțelor datorate. </w:t>
      </w:r>
      <w:r w:rsidR="00DB3ED2">
        <w:rPr>
          <w:rFonts w:asciiTheme="majorHAnsi" w:hAnsiTheme="majorHAnsi" w:cstheme="majorHAnsi"/>
          <w:sz w:val="20"/>
          <w:szCs w:val="20"/>
          <w:lang w:val="ro-RO"/>
        </w:rPr>
        <w:t>S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pre deosebire de eșalonarea la plată obișnuită, </w:t>
      </w:r>
      <w:r w:rsidR="00DB3ED2">
        <w:rPr>
          <w:rFonts w:asciiTheme="majorHAnsi" w:hAnsiTheme="majorHAnsi" w:cstheme="majorHAnsi"/>
          <w:sz w:val="20"/>
          <w:szCs w:val="20"/>
          <w:lang w:val="ro-RO"/>
        </w:rPr>
        <w:t>noua</w:t>
      </w:r>
      <w:r w:rsidR="00DB3ED2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procedură </w:t>
      </w:r>
      <w:r w:rsidR="00DB3ED2">
        <w:rPr>
          <w:rFonts w:asciiTheme="majorHAnsi" w:hAnsiTheme="majorHAnsi" w:cstheme="majorHAnsi"/>
          <w:sz w:val="20"/>
          <w:szCs w:val="20"/>
          <w:lang w:val="ro-RO"/>
        </w:rPr>
        <w:t>este mai puțin birocratică, are termene de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 xml:space="preserve"> soluționare a cererilor semnificativ reduse, iar </w:t>
      </w:r>
      <w:r w:rsidR="00DB3ED2">
        <w:rPr>
          <w:rFonts w:asciiTheme="majorHAnsi" w:hAnsiTheme="majorHAnsi" w:cstheme="majorHAnsi"/>
          <w:sz w:val="20"/>
          <w:szCs w:val="20"/>
          <w:lang w:val="ro-RO"/>
        </w:rPr>
        <w:t xml:space="preserve">eliminarea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obliga</w:t>
      </w:r>
      <w:r w:rsidR="00DB3ED2">
        <w:rPr>
          <w:rFonts w:asciiTheme="majorHAnsi" w:hAnsiTheme="majorHAnsi" w:cstheme="majorHAnsi"/>
          <w:sz w:val="20"/>
          <w:szCs w:val="20"/>
          <w:lang w:val="ro-RO"/>
        </w:rPr>
        <w:t xml:space="preserve">ției de a </w:t>
      </w:r>
      <w:r w:rsidR="004A1E44" w:rsidRPr="000014A8">
        <w:rPr>
          <w:rFonts w:asciiTheme="majorHAnsi" w:hAnsiTheme="majorHAnsi" w:cstheme="majorHAnsi"/>
          <w:sz w:val="20"/>
          <w:szCs w:val="20"/>
          <w:lang w:val="ro-RO"/>
        </w:rPr>
        <w:t>constitui garanții este, cu siguranță, un element determinant în alegerea acestei proceduri.</w:t>
      </w:r>
    </w:p>
    <w:sectPr w:rsidR="003111B1" w:rsidRPr="0098397F" w:rsidSect="00C619FC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1237" w14:textId="77777777" w:rsidR="002413A2" w:rsidRDefault="002413A2" w:rsidP="007A344F">
      <w:r>
        <w:separator/>
      </w:r>
    </w:p>
  </w:endnote>
  <w:endnote w:type="continuationSeparator" w:id="0">
    <w:p w14:paraId="47688BD2" w14:textId="77777777" w:rsidR="002413A2" w:rsidRDefault="002413A2" w:rsidP="007A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76476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62A1ABB8" w14:textId="754D3F14" w:rsidR="00C20617" w:rsidRPr="004F09A5" w:rsidRDefault="00F309DB">
        <w:pPr>
          <w:pStyle w:val="Footer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4F09A5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4F09A5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4F09A5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D36D14" w:rsidRPr="004F09A5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4F09A5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6F45A23C" w14:textId="77777777" w:rsidR="00C20617" w:rsidRDefault="00241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6985" w14:textId="77777777" w:rsidR="002413A2" w:rsidRDefault="002413A2" w:rsidP="007A344F">
      <w:r>
        <w:separator/>
      </w:r>
    </w:p>
  </w:footnote>
  <w:footnote w:type="continuationSeparator" w:id="0">
    <w:p w14:paraId="74607324" w14:textId="77777777" w:rsidR="002413A2" w:rsidRDefault="002413A2" w:rsidP="007A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AEB4" w14:textId="77777777" w:rsidR="00C20617" w:rsidRDefault="00F309DB">
    <w:pPr>
      <w:pStyle w:val="Header"/>
    </w:pPr>
    <w:r w:rsidRPr="00BD5748">
      <w:rPr>
        <w:noProof/>
      </w:rPr>
      <w:drawing>
        <wp:anchor distT="0" distB="0" distL="114300" distR="114300" simplePos="0" relativeHeight="251659264" behindDoc="0" locked="0" layoutInCell="1" allowOverlap="1" wp14:anchorId="56EAED71" wp14:editId="0DA3DAED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1653540" cy="314044"/>
          <wp:effectExtent l="0" t="0" r="3810" b="0"/>
          <wp:wrapThrough wrapText="bothSides">
            <wp:wrapPolygon edited="0">
              <wp:start x="0" y="0"/>
              <wp:lineTo x="0" y="19676"/>
              <wp:lineTo x="21401" y="19676"/>
              <wp:lineTo x="2140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314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05716"/>
    <w:multiLevelType w:val="hybridMultilevel"/>
    <w:tmpl w:val="ED2A0D00"/>
    <w:lvl w:ilvl="0" w:tplc="2B8263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4F"/>
    <w:rsid w:val="000014A8"/>
    <w:rsid w:val="00011F26"/>
    <w:rsid w:val="000124F5"/>
    <w:rsid w:val="000460FB"/>
    <w:rsid w:val="00053778"/>
    <w:rsid w:val="0005750D"/>
    <w:rsid w:val="00065A05"/>
    <w:rsid w:val="0007376A"/>
    <w:rsid w:val="0008453D"/>
    <w:rsid w:val="00094D4D"/>
    <w:rsid w:val="00095D45"/>
    <w:rsid w:val="00096908"/>
    <w:rsid w:val="000B1EF4"/>
    <w:rsid w:val="000B21BF"/>
    <w:rsid w:val="000B358D"/>
    <w:rsid w:val="000B61AE"/>
    <w:rsid w:val="000B7A82"/>
    <w:rsid w:val="000C57F8"/>
    <w:rsid w:val="000E09E2"/>
    <w:rsid w:val="000E4219"/>
    <w:rsid w:val="00112E41"/>
    <w:rsid w:val="00122FD7"/>
    <w:rsid w:val="0012371C"/>
    <w:rsid w:val="00140070"/>
    <w:rsid w:val="001514AD"/>
    <w:rsid w:val="00154B9D"/>
    <w:rsid w:val="0015684E"/>
    <w:rsid w:val="00161C9C"/>
    <w:rsid w:val="001642D6"/>
    <w:rsid w:val="0017171F"/>
    <w:rsid w:val="001777F7"/>
    <w:rsid w:val="001826AD"/>
    <w:rsid w:val="00185B19"/>
    <w:rsid w:val="001B00DE"/>
    <w:rsid w:val="001B01A9"/>
    <w:rsid w:val="001C3F08"/>
    <w:rsid w:val="001E3EDD"/>
    <w:rsid w:val="00216322"/>
    <w:rsid w:val="00225DCC"/>
    <w:rsid w:val="002413A2"/>
    <w:rsid w:val="00244E1A"/>
    <w:rsid w:val="00247663"/>
    <w:rsid w:val="00252790"/>
    <w:rsid w:val="00254637"/>
    <w:rsid w:val="002665AB"/>
    <w:rsid w:val="00270608"/>
    <w:rsid w:val="00276743"/>
    <w:rsid w:val="002770B4"/>
    <w:rsid w:val="00282364"/>
    <w:rsid w:val="002B2B8E"/>
    <w:rsid w:val="002B6E52"/>
    <w:rsid w:val="002D7F7C"/>
    <w:rsid w:val="00305165"/>
    <w:rsid w:val="00306CA9"/>
    <w:rsid w:val="00310752"/>
    <w:rsid w:val="003111B1"/>
    <w:rsid w:val="00312A26"/>
    <w:rsid w:val="0034435B"/>
    <w:rsid w:val="00345686"/>
    <w:rsid w:val="003478F8"/>
    <w:rsid w:val="00356E29"/>
    <w:rsid w:val="00370A32"/>
    <w:rsid w:val="0037226A"/>
    <w:rsid w:val="003A0AE1"/>
    <w:rsid w:val="003B00D8"/>
    <w:rsid w:val="003E56F8"/>
    <w:rsid w:val="00402E1A"/>
    <w:rsid w:val="0041383C"/>
    <w:rsid w:val="0042158C"/>
    <w:rsid w:val="00426FED"/>
    <w:rsid w:val="00442695"/>
    <w:rsid w:val="004426BC"/>
    <w:rsid w:val="00465403"/>
    <w:rsid w:val="00473A5C"/>
    <w:rsid w:val="00477A84"/>
    <w:rsid w:val="0049401C"/>
    <w:rsid w:val="004A1E44"/>
    <w:rsid w:val="004B3136"/>
    <w:rsid w:val="004B314D"/>
    <w:rsid w:val="004C4063"/>
    <w:rsid w:val="004C7C60"/>
    <w:rsid w:val="004D3B5D"/>
    <w:rsid w:val="004E39C5"/>
    <w:rsid w:val="004E4023"/>
    <w:rsid w:val="004E603F"/>
    <w:rsid w:val="004F09A5"/>
    <w:rsid w:val="004F1903"/>
    <w:rsid w:val="0051275D"/>
    <w:rsid w:val="00532447"/>
    <w:rsid w:val="00534BF1"/>
    <w:rsid w:val="00544F99"/>
    <w:rsid w:val="00560B0D"/>
    <w:rsid w:val="00575130"/>
    <w:rsid w:val="005758D4"/>
    <w:rsid w:val="00582894"/>
    <w:rsid w:val="005C2FF8"/>
    <w:rsid w:val="005C7D88"/>
    <w:rsid w:val="00621B91"/>
    <w:rsid w:val="00637D60"/>
    <w:rsid w:val="00654AC2"/>
    <w:rsid w:val="00667B64"/>
    <w:rsid w:val="006909E1"/>
    <w:rsid w:val="006A6861"/>
    <w:rsid w:val="006C441B"/>
    <w:rsid w:val="006D3B7F"/>
    <w:rsid w:val="006D4326"/>
    <w:rsid w:val="006E2868"/>
    <w:rsid w:val="006F02C1"/>
    <w:rsid w:val="007016FF"/>
    <w:rsid w:val="00704CE4"/>
    <w:rsid w:val="007148E9"/>
    <w:rsid w:val="00717FCC"/>
    <w:rsid w:val="0073223A"/>
    <w:rsid w:val="007338BA"/>
    <w:rsid w:val="00736C44"/>
    <w:rsid w:val="00760FFA"/>
    <w:rsid w:val="00771D74"/>
    <w:rsid w:val="007777EC"/>
    <w:rsid w:val="007950F4"/>
    <w:rsid w:val="007A344F"/>
    <w:rsid w:val="007B2AB4"/>
    <w:rsid w:val="007B2C04"/>
    <w:rsid w:val="007C2BE5"/>
    <w:rsid w:val="007E053B"/>
    <w:rsid w:val="007E1068"/>
    <w:rsid w:val="007E7D10"/>
    <w:rsid w:val="00822B48"/>
    <w:rsid w:val="00823BD8"/>
    <w:rsid w:val="00825437"/>
    <w:rsid w:val="008308EF"/>
    <w:rsid w:val="008735B4"/>
    <w:rsid w:val="00882999"/>
    <w:rsid w:val="00882E3F"/>
    <w:rsid w:val="00896E19"/>
    <w:rsid w:val="008B185C"/>
    <w:rsid w:val="008B4C95"/>
    <w:rsid w:val="008D7A5F"/>
    <w:rsid w:val="008E1BD8"/>
    <w:rsid w:val="008E444B"/>
    <w:rsid w:val="008E52C8"/>
    <w:rsid w:val="008F129A"/>
    <w:rsid w:val="00904F47"/>
    <w:rsid w:val="00937585"/>
    <w:rsid w:val="009513A9"/>
    <w:rsid w:val="00956515"/>
    <w:rsid w:val="00962215"/>
    <w:rsid w:val="009630B3"/>
    <w:rsid w:val="0098397F"/>
    <w:rsid w:val="00991D2A"/>
    <w:rsid w:val="009A2F61"/>
    <w:rsid w:val="009B344C"/>
    <w:rsid w:val="009C3729"/>
    <w:rsid w:val="009F6952"/>
    <w:rsid w:val="00A03EC2"/>
    <w:rsid w:val="00A16A6C"/>
    <w:rsid w:val="00A26A04"/>
    <w:rsid w:val="00A3270B"/>
    <w:rsid w:val="00A40DAF"/>
    <w:rsid w:val="00A4372B"/>
    <w:rsid w:val="00A63764"/>
    <w:rsid w:val="00A91DD4"/>
    <w:rsid w:val="00A94C4E"/>
    <w:rsid w:val="00AB328E"/>
    <w:rsid w:val="00AC56DE"/>
    <w:rsid w:val="00AD384C"/>
    <w:rsid w:val="00B0140F"/>
    <w:rsid w:val="00B17789"/>
    <w:rsid w:val="00B26C20"/>
    <w:rsid w:val="00B358B5"/>
    <w:rsid w:val="00B40DA1"/>
    <w:rsid w:val="00B4120B"/>
    <w:rsid w:val="00B52AF8"/>
    <w:rsid w:val="00B53A05"/>
    <w:rsid w:val="00B627AC"/>
    <w:rsid w:val="00B745DF"/>
    <w:rsid w:val="00B76D9A"/>
    <w:rsid w:val="00BC7531"/>
    <w:rsid w:val="00C0221B"/>
    <w:rsid w:val="00C05F5D"/>
    <w:rsid w:val="00C232CA"/>
    <w:rsid w:val="00C23BCF"/>
    <w:rsid w:val="00C3688E"/>
    <w:rsid w:val="00C45981"/>
    <w:rsid w:val="00C50017"/>
    <w:rsid w:val="00C54A22"/>
    <w:rsid w:val="00C75B88"/>
    <w:rsid w:val="00C8034E"/>
    <w:rsid w:val="00C96313"/>
    <w:rsid w:val="00CA36EF"/>
    <w:rsid w:val="00CA7329"/>
    <w:rsid w:val="00CB18CE"/>
    <w:rsid w:val="00CC7BB1"/>
    <w:rsid w:val="00CD5964"/>
    <w:rsid w:val="00CF3C40"/>
    <w:rsid w:val="00CF5FD5"/>
    <w:rsid w:val="00D0303C"/>
    <w:rsid w:val="00D17385"/>
    <w:rsid w:val="00D33AC0"/>
    <w:rsid w:val="00D36D14"/>
    <w:rsid w:val="00D36EC1"/>
    <w:rsid w:val="00D46977"/>
    <w:rsid w:val="00D523C9"/>
    <w:rsid w:val="00D57863"/>
    <w:rsid w:val="00D6445C"/>
    <w:rsid w:val="00D73763"/>
    <w:rsid w:val="00DB130B"/>
    <w:rsid w:val="00DB25B4"/>
    <w:rsid w:val="00DB3ED2"/>
    <w:rsid w:val="00DD36F5"/>
    <w:rsid w:val="00DD401B"/>
    <w:rsid w:val="00DE03B0"/>
    <w:rsid w:val="00DF5E55"/>
    <w:rsid w:val="00E06D5D"/>
    <w:rsid w:val="00E07741"/>
    <w:rsid w:val="00E129A5"/>
    <w:rsid w:val="00E30E8E"/>
    <w:rsid w:val="00E310A5"/>
    <w:rsid w:val="00E33D04"/>
    <w:rsid w:val="00E42D55"/>
    <w:rsid w:val="00E4554A"/>
    <w:rsid w:val="00E52DFF"/>
    <w:rsid w:val="00E55C58"/>
    <w:rsid w:val="00E634B3"/>
    <w:rsid w:val="00E643C5"/>
    <w:rsid w:val="00E77677"/>
    <w:rsid w:val="00E84B3C"/>
    <w:rsid w:val="00E85848"/>
    <w:rsid w:val="00E934EA"/>
    <w:rsid w:val="00EA46B3"/>
    <w:rsid w:val="00EA7921"/>
    <w:rsid w:val="00EC00EC"/>
    <w:rsid w:val="00EC7444"/>
    <w:rsid w:val="00ED2A1B"/>
    <w:rsid w:val="00ED6BCA"/>
    <w:rsid w:val="00EF5F3C"/>
    <w:rsid w:val="00F017C3"/>
    <w:rsid w:val="00F16F3F"/>
    <w:rsid w:val="00F309DB"/>
    <w:rsid w:val="00F53A90"/>
    <w:rsid w:val="00F617D9"/>
    <w:rsid w:val="00F64878"/>
    <w:rsid w:val="00F64DE3"/>
    <w:rsid w:val="00F70249"/>
    <w:rsid w:val="00FD0498"/>
    <w:rsid w:val="00FD7B8C"/>
    <w:rsid w:val="00FE5721"/>
    <w:rsid w:val="00FF2F97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76208"/>
  <w15:chartTrackingRefBased/>
  <w15:docId w15:val="{9DED606B-755F-4A6C-918C-0525F3D2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1B1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6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9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69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0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E44"/>
    <w:pPr>
      <w:tabs>
        <w:tab w:val="center" w:pos="4680"/>
        <w:tab w:val="right" w:pos="9360"/>
      </w:tabs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1E4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1E44"/>
    <w:pPr>
      <w:tabs>
        <w:tab w:val="center" w:pos="4680"/>
        <w:tab w:val="right" w:pos="9360"/>
      </w:tabs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1E4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FF1B-67D3-46B3-AF3A-EABFDCDB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CE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Anghel</dc:creator>
  <cp:keywords/>
  <dc:description/>
  <cp:lastModifiedBy>Codrina Apostol</cp:lastModifiedBy>
  <cp:revision>49</cp:revision>
  <dcterms:created xsi:type="dcterms:W3CDTF">2021-11-23T08:59:00Z</dcterms:created>
  <dcterms:modified xsi:type="dcterms:W3CDTF">2021-11-23T10:43:00Z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2021-11-17T05:42:06Z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9dcb072f-0b3e-4ff7-a641-697086a4c345</vt:lpwstr>
  </property>
  <property fmtid="{D5CDD505-2E9C-101B-9397-08002B2CF9AE}" pid="8" name="MSIP_Label_ea60d57e-af5b-4752-ac57-3e4f28ca11dc_ContentBits">
    <vt:lpwstr>0</vt:lpwstr>
  </property>
</Properties>
</file>