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75C7" w14:textId="15DBC00D" w:rsidR="00030873" w:rsidRPr="00007B1B" w:rsidRDefault="00DA6726" w:rsidP="00007B1B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ro-RO"/>
        </w:rPr>
      </w:pPr>
      <w:r w:rsidRPr="00007B1B">
        <w:rPr>
          <w:rFonts w:asciiTheme="majorHAnsi" w:hAnsiTheme="majorHAnsi" w:cstheme="majorHAnsi"/>
          <w:b/>
          <w:bCs/>
          <w:sz w:val="24"/>
          <w:szCs w:val="24"/>
          <w:lang w:val="ro-RO"/>
        </w:rPr>
        <w:t>România taxează drastic vânzarea creditelor neperformante. Cum se procedează în alte țări?</w:t>
      </w:r>
    </w:p>
    <w:p w14:paraId="7DF07B92" w14:textId="77777777" w:rsidR="001C6BBD" w:rsidRPr="00007B1B" w:rsidRDefault="001C6BBD" w:rsidP="00007B1B">
      <w:pPr>
        <w:spacing w:after="120" w:line="264" w:lineRule="auto"/>
        <w:jc w:val="both"/>
        <w:rPr>
          <w:rFonts w:asciiTheme="majorHAnsi" w:hAnsiTheme="majorHAnsi" w:cstheme="majorHAnsi"/>
          <w:bCs/>
          <w:i/>
          <w:lang w:val="ro-RO"/>
        </w:rPr>
      </w:pPr>
    </w:p>
    <w:p w14:paraId="1EE5B290" w14:textId="6EE5B8D3" w:rsidR="0081689E" w:rsidRPr="00007B1B" w:rsidRDefault="000521EE" w:rsidP="00007B1B">
      <w:pPr>
        <w:spacing w:after="12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  <w:lang w:val="ro-RO"/>
        </w:rPr>
      </w:pPr>
      <w:r w:rsidRPr="00007B1B">
        <w:rPr>
          <w:rFonts w:asciiTheme="majorHAnsi" w:hAnsiTheme="majorHAnsi" w:cstheme="majorHAnsi"/>
          <w:bCs/>
          <w:i/>
          <w:sz w:val="20"/>
          <w:szCs w:val="20"/>
          <w:lang w:val="ro-RO"/>
        </w:rPr>
        <w:t>Materia</w:t>
      </w:r>
      <w:r w:rsidR="00856143" w:rsidRPr="00007B1B">
        <w:rPr>
          <w:rFonts w:asciiTheme="majorHAnsi" w:hAnsiTheme="majorHAnsi" w:cstheme="majorHAnsi"/>
          <w:bCs/>
          <w:i/>
          <w:sz w:val="20"/>
          <w:szCs w:val="20"/>
          <w:lang w:val="ro-RO"/>
        </w:rPr>
        <w:t>l</w:t>
      </w:r>
      <w:r w:rsidRPr="00007B1B">
        <w:rPr>
          <w:rFonts w:asciiTheme="majorHAnsi" w:hAnsiTheme="majorHAnsi" w:cstheme="majorHAnsi"/>
          <w:bCs/>
          <w:i/>
          <w:sz w:val="20"/>
          <w:szCs w:val="20"/>
          <w:lang w:val="ro-RO"/>
        </w:rPr>
        <w:t xml:space="preserve"> de opinie de Alexandra Smedoiu, Partener, Anca Ghizdavu, Senior Manager, și Cristina Borș, Manager, Impozitare Directă, Deloitte România</w:t>
      </w:r>
    </w:p>
    <w:p w14:paraId="57205CC0" w14:textId="77777777" w:rsidR="001C6BBD" w:rsidRPr="00007B1B" w:rsidRDefault="001C6BBD" w:rsidP="00007B1B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36E39AD4" w14:textId="28CA0B61" w:rsidR="0051642D" w:rsidRPr="00007B1B" w:rsidRDefault="00EA05FC" w:rsidP="00007B1B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007B1B">
        <w:rPr>
          <w:rFonts w:asciiTheme="majorHAnsi" w:hAnsiTheme="majorHAnsi" w:cstheme="majorHAnsi"/>
          <w:sz w:val="20"/>
          <w:szCs w:val="20"/>
          <w:lang w:val="ro-RO"/>
        </w:rPr>
        <w:t>Piața cesiunii de creanțe neperformante este blocată, în România, din cauza i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mpozit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ării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excesiv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e a sumelor obținute din astfel de tranzacții,</w:t>
      </w:r>
      <w:r w:rsidR="00856143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regulă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intrat</w:t>
      </w:r>
      <w:r w:rsidR="00856143" w:rsidRPr="00007B1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î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n vigoare la 1 ianuarie 2018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. Acest tratament fiscal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a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descurajat companii</w:t>
      </w:r>
      <w:r w:rsidR="0051642D" w:rsidRPr="00007B1B">
        <w:rPr>
          <w:rFonts w:asciiTheme="majorHAnsi" w:hAnsiTheme="majorHAnsi" w:cstheme="majorHAnsi"/>
          <w:sz w:val="20"/>
          <w:szCs w:val="20"/>
          <w:lang w:val="ro-RO"/>
        </w:rPr>
        <w:t>le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din mai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mult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e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sectoare de activitate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să recurgă la cesiunea creanțelor,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dar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în mod special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institu</w:t>
      </w:r>
      <w:r w:rsidR="0051642D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țiile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financiare, </w:t>
      </w:r>
      <w:r w:rsidR="0051642D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care apelau deseori la asemenea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opera</w:t>
      </w:r>
      <w:r w:rsidR="0051642D" w:rsidRPr="00007B1B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iuni</w:t>
      </w:r>
      <w:r w:rsidR="0051642D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pentru a-și curăța bilanțul</w:t>
      </w:r>
      <w:r w:rsidR="00856143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, conform </w:t>
      </w:r>
      <w:r w:rsidR="001C6BBD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recomandărilor </w:t>
      </w:r>
      <w:r w:rsidR="00856143" w:rsidRPr="00007B1B">
        <w:rPr>
          <w:rFonts w:asciiTheme="majorHAnsi" w:hAnsiTheme="majorHAnsi" w:cstheme="majorHAnsi"/>
          <w:sz w:val="20"/>
          <w:szCs w:val="20"/>
          <w:lang w:val="ro-RO"/>
        </w:rPr>
        <w:t>oferite chiar de Banca Națională a României.</w:t>
      </w:r>
      <w:r w:rsidR="00856143" w:rsidRPr="00007B1B" w:rsidDel="00856143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51642D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De altfel, </w:t>
      </w:r>
      <w:r w:rsidR="000521E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din </w:t>
      </w:r>
      <w:hyperlink r:id="rId6" w:history="1">
        <w:r w:rsidR="00F82F46" w:rsidRPr="00007B1B">
          <w:rPr>
            <w:rStyle w:val="Hyperlink"/>
            <w:rFonts w:asciiTheme="majorHAnsi" w:hAnsiTheme="majorHAnsi" w:cstheme="majorHAnsi"/>
            <w:b/>
            <w:bCs/>
            <w:sz w:val="20"/>
            <w:szCs w:val="20"/>
            <w:lang w:val="ro-RO"/>
          </w:rPr>
          <w:t>s</w:t>
        </w:r>
        <w:proofErr w:type="spellStart"/>
        <w:r w:rsidR="0051642D" w:rsidRPr="00007B1B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tudiul</w:t>
        </w:r>
        <w:proofErr w:type="spellEnd"/>
        <w:r w:rsidR="0051642D" w:rsidRPr="00007B1B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 xml:space="preserve"> </w:t>
        </w:r>
        <w:proofErr w:type="spellStart"/>
        <w:r w:rsidR="000521EE" w:rsidRPr="00007B1B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comparativ</w:t>
        </w:r>
        <w:proofErr w:type="spellEnd"/>
        <w:r w:rsidR="000521EE" w:rsidRPr="00007B1B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 xml:space="preserve"> la </w:t>
        </w:r>
        <w:proofErr w:type="spellStart"/>
        <w:r w:rsidR="000521EE" w:rsidRPr="00007B1B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nivelul</w:t>
        </w:r>
        <w:proofErr w:type="spellEnd"/>
        <w:r w:rsidR="000521EE" w:rsidRPr="00007B1B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 xml:space="preserve"> </w:t>
        </w:r>
        <w:proofErr w:type="spellStart"/>
        <w:r w:rsidR="000521EE" w:rsidRPr="00007B1B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Europei</w:t>
        </w:r>
        <w:proofErr w:type="spellEnd"/>
        <w:r w:rsidR="000521EE" w:rsidRPr="00007B1B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 xml:space="preserve"> Centrale </w:t>
        </w:r>
        <w:r w:rsidR="00F82F46" w:rsidRPr="00007B1B">
          <w:rPr>
            <w:rStyle w:val="Hyperlink"/>
            <w:rFonts w:asciiTheme="majorHAnsi" w:hAnsiTheme="majorHAnsi" w:cstheme="majorHAnsi"/>
            <w:b/>
            <w:bCs/>
            <w:sz w:val="20"/>
            <w:szCs w:val="20"/>
            <w:lang w:val="ro-RO"/>
          </w:rPr>
          <w:t>„</w:t>
        </w:r>
        <w:proofErr w:type="spellStart"/>
        <w:r w:rsidR="000521EE" w:rsidRPr="00007B1B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Prevederi</w:t>
        </w:r>
        <w:proofErr w:type="spellEnd"/>
        <w:r w:rsidR="000521EE" w:rsidRPr="00007B1B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 xml:space="preserve"> </w:t>
        </w:r>
        <w:proofErr w:type="spellStart"/>
        <w:r w:rsidR="000521EE" w:rsidRPr="00007B1B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fiscale</w:t>
        </w:r>
        <w:proofErr w:type="spellEnd"/>
        <w:r w:rsidR="000521EE" w:rsidRPr="00007B1B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 xml:space="preserve"> </w:t>
        </w:r>
        <w:proofErr w:type="spellStart"/>
        <w:r w:rsidR="000521EE" w:rsidRPr="00007B1B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privind</w:t>
        </w:r>
        <w:proofErr w:type="spellEnd"/>
        <w:r w:rsidR="000521EE" w:rsidRPr="00007B1B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 xml:space="preserve"> </w:t>
        </w:r>
        <w:proofErr w:type="spellStart"/>
        <w:r w:rsidR="000521EE" w:rsidRPr="00007B1B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cesiunea</w:t>
        </w:r>
        <w:proofErr w:type="spellEnd"/>
        <w:r w:rsidR="000521EE" w:rsidRPr="00007B1B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 xml:space="preserve"> de </w:t>
        </w:r>
        <w:proofErr w:type="spellStart"/>
        <w:r w:rsidR="000521EE" w:rsidRPr="00007B1B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creanțe</w:t>
        </w:r>
        <w:proofErr w:type="spellEnd"/>
        <w:r w:rsidR="000521EE" w:rsidRPr="00007B1B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 xml:space="preserve"> de </w:t>
        </w:r>
        <w:proofErr w:type="spellStart"/>
        <w:r w:rsidR="000521EE" w:rsidRPr="00007B1B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către</w:t>
        </w:r>
        <w:proofErr w:type="spellEnd"/>
        <w:r w:rsidR="000521EE" w:rsidRPr="00007B1B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 xml:space="preserve"> </w:t>
        </w:r>
        <w:proofErr w:type="spellStart"/>
        <w:r w:rsidR="000521EE" w:rsidRPr="00007B1B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instituțiile</w:t>
        </w:r>
        <w:proofErr w:type="spellEnd"/>
        <w:r w:rsidR="000521EE" w:rsidRPr="00007B1B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 xml:space="preserve"> de credit</w:t>
        </w:r>
      </w:hyperlink>
      <w:r w:rsidR="00F82F46" w:rsidRPr="00007B1B">
        <w:rPr>
          <w:rFonts w:asciiTheme="majorHAnsi" w:hAnsiTheme="majorHAnsi" w:cstheme="majorHAnsi"/>
          <w:b/>
          <w:bCs/>
          <w:sz w:val="20"/>
          <w:szCs w:val="20"/>
          <w:lang w:val="ro-RO"/>
        </w:rPr>
        <w:t>”</w:t>
      </w:r>
      <w:r w:rsidR="001C6BBD" w:rsidRPr="00007B1B">
        <w:rPr>
          <w:rFonts w:asciiTheme="majorHAnsi" w:hAnsiTheme="majorHAnsi" w:cstheme="majorHAnsi"/>
          <w:i/>
          <w:iCs/>
          <w:color w:val="0070C0"/>
          <w:sz w:val="20"/>
          <w:szCs w:val="20"/>
          <w:lang w:val="ro-RO"/>
        </w:rPr>
        <w:t>,</w:t>
      </w:r>
      <w:r w:rsidR="000521E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realizat de Deloitte </w:t>
      </w:r>
      <w:r w:rsidR="001C6BBD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România, </w:t>
      </w:r>
      <w:r w:rsidR="000521EE" w:rsidRPr="00007B1B">
        <w:rPr>
          <w:rFonts w:asciiTheme="majorHAnsi" w:hAnsiTheme="majorHAnsi" w:cstheme="majorHAnsi"/>
          <w:sz w:val="20"/>
          <w:szCs w:val="20"/>
          <w:lang w:val="ro-RO"/>
        </w:rPr>
        <w:t>rei</w:t>
      </w:r>
      <w:r w:rsidR="0051642D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ese că tratamentul fiscal aplicabil în </w:t>
      </w:r>
      <w:r w:rsidR="001C6BBD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țara noastră </w:t>
      </w:r>
      <w:r w:rsidR="0051642D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în cazul cesiunii de creanțe este unul dintre cele mai costisitoare, în comparație cu </w:t>
      </w:r>
      <w:r w:rsidR="00245A78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alte </w:t>
      </w:r>
      <w:r w:rsidR="0051642D" w:rsidRPr="00007B1B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245A78" w:rsidRPr="00007B1B">
        <w:rPr>
          <w:rFonts w:asciiTheme="majorHAnsi" w:hAnsiTheme="majorHAnsi" w:cstheme="majorHAnsi"/>
          <w:sz w:val="20"/>
          <w:szCs w:val="20"/>
          <w:lang w:val="ro-RO"/>
        </w:rPr>
        <w:t>ări</w:t>
      </w:r>
      <w:r w:rsidR="0051642D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din Europa Centrală. </w:t>
      </w:r>
    </w:p>
    <w:p w14:paraId="4AA3CBDE" w14:textId="50D21841" w:rsidR="00030873" w:rsidRPr="00007B1B" w:rsidRDefault="00856143" w:rsidP="00007B1B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007B1B">
        <w:rPr>
          <w:rFonts w:asciiTheme="majorHAnsi" w:hAnsiTheme="majorHAnsi" w:cstheme="majorHAnsi"/>
          <w:sz w:val="20"/>
          <w:szCs w:val="20"/>
          <w:lang w:val="ro-RO"/>
        </w:rPr>
        <w:t>Menționăm că</w:t>
      </w:r>
      <w:r w:rsidR="001C6BBD" w:rsidRPr="00007B1B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î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nainte de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2018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>, creanțele aferente clien</w:t>
      </w:r>
      <w:r w:rsidR="0030325E" w:rsidRPr="00007B1B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ilor cu </w:t>
      </w:r>
      <w:r w:rsidR="0030325E" w:rsidRPr="00007B1B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>nt</w:t>
      </w:r>
      <w:r w:rsidR="0030325E" w:rsidRPr="00007B1B">
        <w:rPr>
          <w:rFonts w:asciiTheme="majorHAnsi" w:hAnsiTheme="majorHAnsi" w:cstheme="majorHAnsi"/>
          <w:sz w:val="20"/>
          <w:szCs w:val="20"/>
          <w:lang w:val="ro-RO"/>
        </w:rPr>
        <w:t>â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>rzieri la plat</w:t>
      </w:r>
      <w:r w:rsidR="0030325E" w:rsidRPr="00007B1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erau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, cel mai adesea,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cesionate c</w:t>
      </w:r>
      <w:r w:rsidR="0030325E" w:rsidRPr="00007B1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>tre societ</w:t>
      </w:r>
      <w:r w:rsidR="0030325E" w:rsidRPr="00007B1B">
        <w:rPr>
          <w:rFonts w:asciiTheme="majorHAnsi" w:hAnsiTheme="majorHAnsi" w:cstheme="majorHAnsi"/>
          <w:sz w:val="20"/>
          <w:szCs w:val="20"/>
          <w:lang w:val="ro-RO"/>
        </w:rPr>
        <w:t>ăț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i specializate, </w:t>
      </w:r>
      <w:r w:rsidR="0030325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dotate cu 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infrastructura </w:t>
      </w:r>
      <w:r w:rsidR="0030325E" w:rsidRPr="00007B1B">
        <w:rPr>
          <w:rFonts w:asciiTheme="majorHAnsi" w:hAnsiTheme="majorHAnsi" w:cstheme="majorHAnsi"/>
          <w:sz w:val="20"/>
          <w:szCs w:val="20"/>
          <w:lang w:val="ro-RO"/>
        </w:rPr>
        <w:t>necesară recuperării acestora. Dar</w:t>
      </w:r>
      <w:r w:rsidR="001C6BBD" w:rsidRPr="00007B1B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30325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î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n ultimii </w:t>
      </w:r>
      <w:r w:rsidR="0030325E" w:rsidRPr="00007B1B">
        <w:rPr>
          <w:rFonts w:asciiTheme="majorHAnsi" w:hAnsiTheme="majorHAnsi" w:cstheme="majorHAnsi"/>
          <w:sz w:val="20"/>
          <w:szCs w:val="20"/>
          <w:lang w:val="ro-RO"/>
        </w:rPr>
        <w:t>trei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ani </w:t>
      </w:r>
      <w:r w:rsidR="0030325E" w:rsidRPr="00007B1B">
        <w:rPr>
          <w:rFonts w:asciiTheme="majorHAnsi" w:hAnsiTheme="majorHAnsi" w:cstheme="majorHAnsi"/>
          <w:sz w:val="20"/>
          <w:szCs w:val="20"/>
          <w:lang w:val="ro-RO"/>
        </w:rPr>
        <w:t>ș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>i jum</w:t>
      </w:r>
      <w:r w:rsidR="0030325E" w:rsidRPr="00007B1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tate, </w:t>
      </w:r>
      <w:r w:rsidR="0030325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din cauza 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>nivelul</w:t>
      </w:r>
      <w:r w:rsidR="0030325E" w:rsidRPr="00007B1B">
        <w:rPr>
          <w:rFonts w:asciiTheme="majorHAnsi" w:hAnsiTheme="majorHAnsi" w:cstheme="majorHAnsi"/>
          <w:sz w:val="20"/>
          <w:szCs w:val="20"/>
          <w:lang w:val="ro-RO"/>
        </w:rPr>
        <w:t>ui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ridicat </w:t>
      </w:r>
      <w:r w:rsidR="0030325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de 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>impozit</w:t>
      </w:r>
      <w:r w:rsidR="0030325E" w:rsidRPr="00007B1B">
        <w:rPr>
          <w:rFonts w:asciiTheme="majorHAnsi" w:hAnsiTheme="majorHAnsi" w:cstheme="majorHAnsi"/>
          <w:sz w:val="20"/>
          <w:szCs w:val="20"/>
          <w:lang w:val="ro-RO"/>
        </w:rPr>
        <w:t>are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30325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piața cesiunii de creanțe neperformante s-a blocat 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>(</w:t>
      </w:r>
      <w:r w:rsidR="0030325E" w:rsidRPr="00007B1B">
        <w:rPr>
          <w:rFonts w:asciiTheme="majorHAnsi" w:hAnsiTheme="majorHAnsi" w:cstheme="majorHAnsi"/>
          <w:sz w:val="20"/>
          <w:szCs w:val="20"/>
          <w:lang w:val="ro-RO"/>
        </w:rPr>
        <w:t>s-au realizat foarte puține tranzacții de acest tip)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>, b</w:t>
      </w:r>
      <w:r w:rsidR="0030325E" w:rsidRPr="00007B1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>ncile prefer</w:t>
      </w:r>
      <w:r w:rsidR="0030325E" w:rsidRPr="00007B1B">
        <w:rPr>
          <w:rFonts w:asciiTheme="majorHAnsi" w:hAnsiTheme="majorHAnsi" w:cstheme="majorHAnsi"/>
          <w:sz w:val="20"/>
          <w:szCs w:val="20"/>
          <w:lang w:val="ro-RO"/>
        </w:rPr>
        <w:t>â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>nd s</w:t>
      </w:r>
      <w:r w:rsidR="0030325E" w:rsidRPr="00007B1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gestion</w:t>
      </w:r>
      <w:r w:rsidR="0030325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eze intern 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>recuperarea acestora</w:t>
      </w:r>
      <w:r w:rsidR="0030325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, chiar cu riscul unor costuri mai mari cu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ajustările pentru deprecierea creanțelor.</w:t>
      </w:r>
      <w:r w:rsidR="0030325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653EB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 </w:t>
      </w:r>
    </w:p>
    <w:p w14:paraId="4804C8CF" w14:textId="77777777" w:rsidR="001C6BBD" w:rsidRPr="00007B1B" w:rsidRDefault="001C6BBD" w:rsidP="00007B1B">
      <w:pPr>
        <w:spacing w:after="120" w:line="264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</w:p>
    <w:p w14:paraId="301ACB2F" w14:textId="26F960D6" w:rsidR="00030873" w:rsidRPr="00007B1B" w:rsidRDefault="00030873" w:rsidP="00007B1B">
      <w:pPr>
        <w:spacing w:after="120" w:line="264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  <w:r w:rsidRPr="00007B1B">
        <w:rPr>
          <w:rFonts w:asciiTheme="majorHAnsi" w:hAnsiTheme="majorHAnsi" w:cstheme="majorHAnsi"/>
          <w:b/>
          <w:sz w:val="20"/>
          <w:szCs w:val="20"/>
          <w:lang w:val="ro-RO"/>
        </w:rPr>
        <w:t>Limitările existente și riscul menținerii lor</w:t>
      </w:r>
    </w:p>
    <w:p w14:paraId="0F08DF4A" w14:textId="6A23454D" w:rsidR="00216661" w:rsidRPr="00007B1B" w:rsidRDefault="00CB74F6" w:rsidP="00007B1B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Concret, </w:t>
      </w:r>
      <w:r w:rsidR="0048599A" w:rsidRPr="00007B1B">
        <w:rPr>
          <w:rFonts w:asciiTheme="majorHAnsi" w:hAnsiTheme="majorHAnsi" w:cstheme="majorHAnsi"/>
          <w:sz w:val="20"/>
          <w:szCs w:val="20"/>
          <w:lang w:val="ro-RO"/>
        </w:rPr>
        <w:t>în prezent, în România</w:t>
      </w:r>
      <w:r w:rsidR="001C6BBD" w:rsidRPr="00007B1B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pierderea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înregistrată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ca urmare a cesiuni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i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de crean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e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este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deductibil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ă </w:t>
      </w:r>
      <w:r w:rsidR="00030873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doar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în proporție de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30%. Cu alte cuvinte, 70% din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această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pierdere este inclus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n baza impozabil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ș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i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taxată cu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16%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impozit pe profit. </w:t>
      </w:r>
      <w:r w:rsidR="00216661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Prin urmare, orice vânzare la un preț mai mic de 11 cenți la un dolar duce creditorul într-un impozit de plată mai mare decât venitul din cesiune. </w:t>
      </w:r>
    </w:p>
    <w:p w14:paraId="7FD9C822" w14:textId="61817820" w:rsidR="0081689E" w:rsidRPr="00007B1B" w:rsidRDefault="0048599A" w:rsidP="00007B1B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Menținerea acestor limitări este cu atât mai discutabilă cu cât este de așteptat ca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nivelului credite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lor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neperformante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să crească </w:t>
      </w:r>
      <w:r w:rsidR="00472E8A" w:rsidRPr="00007B1B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n viitorul apropiat</w:t>
      </w:r>
      <w:r w:rsidR="00472E8A" w:rsidRPr="00007B1B">
        <w:rPr>
          <w:rFonts w:asciiTheme="majorHAnsi" w:hAnsiTheme="majorHAnsi" w:cstheme="majorHAnsi"/>
          <w:sz w:val="20"/>
          <w:szCs w:val="20"/>
          <w:lang w:val="ro-RO"/>
        </w:rPr>
        <w:t>.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472E8A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Mai </w:t>
      </w:r>
      <w:r w:rsidR="00856143" w:rsidRPr="00007B1B">
        <w:rPr>
          <w:rFonts w:asciiTheme="majorHAnsi" w:hAnsiTheme="majorHAnsi" w:cstheme="majorHAnsi"/>
          <w:sz w:val="20"/>
          <w:szCs w:val="20"/>
          <w:lang w:val="ro-RO"/>
        </w:rPr>
        <w:t>exact</w:t>
      </w:r>
      <w:r w:rsidR="00472E8A" w:rsidRPr="00007B1B">
        <w:rPr>
          <w:rFonts w:asciiTheme="majorHAnsi" w:hAnsiTheme="majorHAnsi" w:cstheme="majorHAnsi"/>
          <w:sz w:val="20"/>
          <w:szCs w:val="20"/>
          <w:lang w:val="ro-RO"/>
        </w:rPr>
        <w:t>, ca urmare a derulării celor mai recente teste de stres în sectorul bancar, Banca Națională a României a estimat creșterea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rate</w:t>
      </w:r>
      <w:r w:rsidR="00472E8A" w:rsidRPr="00007B1B">
        <w:rPr>
          <w:rFonts w:asciiTheme="majorHAnsi" w:hAnsiTheme="majorHAnsi" w:cstheme="majorHAnsi"/>
          <w:sz w:val="20"/>
          <w:szCs w:val="20"/>
          <w:lang w:val="ro-RO"/>
        </w:rPr>
        <w:t>i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credite</w:t>
      </w:r>
      <w:r w:rsidR="00472E8A" w:rsidRPr="00007B1B">
        <w:rPr>
          <w:rFonts w:asciiTheme="majorHAnsi" w:hAnsiTheme="majorHAnsi" w:cstheme="majorHAnsi"/>
          <w:sz w:val="20"/>
          <w:szCs w:val="20"/>
          <w:lang w:val="ro-RO"/>
        </w:rPr>
        <w:t>lor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neperformante </w:t>
      </w:r>
      <w:r w:rsidR="00856143" w:rsidRPr="00007B1B">
        <w:rPr>
          <w:rFonts w:asciiTheme="majorHAnsi" w:hAnsiTheme="majorHAnsi" w:cstheme="majorHAnsi"/>
          <w:sz w:val="20"/>
          <w:szCs w:val="20"/>
          <w:lang w:val="ro-RO"/>
        </w:rPr>
        <w:t>pentru decembrie 2022 la 9,9% în scenariul de bază și</w:t>
      </w:r>
      <w:r w:rsidR="001C6BBD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la</w:t>
      </w:r>
      <w:r w:rsidR="00856143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19,4% în scenariul advers. </w:t>
      </w:r>
      <w:r w:rsidR="001C6BBD" w:rsidRPr="00007B1B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856143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n prezent, rata creditelor neperformante </w:t>
      </w:r>
      <w:r w:rsidR="001C6BBD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în </w:t>
      </w:r>
      <w:r w:rsidR="00856143" w:rsidRPr="00007B1B">
        <w:rPr>
          <w:rFonts w:asciiTheme="majorHAnsi" w:hAnsiTheme="majorHAnsi" w:cstheme="majorHAnsi"/>
          <w:sz w:val="20"/>
          <w:szCs w:val="20"/>
          <w:lang w:val="ro-RO"/>
        </w:rPr>
        <w:t>România este de 3,94%</w:t>
      </w:r>
      <w:r w:rsidR="001C6BBD" w:rsidRPr="00007B1B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856143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comparativ cu 2,5%</w:t>
      </w:r>
      <w:r w:rsidR="001C6BBD" w:rsidRPr="00007B1B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856143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în UE (la</w:t>
      </w:r>
      <w:r w:rsidR="001C6BBD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momentul</w:t>
      </w:r>
      <w:r w:rsidR="00856143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martie 2021), iar expirarea măsurilor de ameliorare a efectelor pandemiei (moratorii) este doar una din cauzele care </w:t>
      </w:r>
      <w:r w:rsidR="000B48E2" w:rsidRPr="00007B1B">
        <w:rPr>
          <w:rFonts w:asciiTheme="majorHAnsi" w:hAnsiTheme="majorHAnsi" w:cstheme="majorHAnsi"/>
          <w:sz w:val="20"/>
          <w:szCs w:val="20"/>
          <w:lang w:val="ro-RO"/>
        </w:rPr>
        <w:t>pot</w:t>
      </w:r>
      <w:r w:rsidR="00856143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conduce neîndoielnic la creșterea ratei de credite neperformante. Totodată, indicativ, dorim să reamintim că </w:t>
      </w:r>
      <w:r w:rsidR="00AE3572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în perioada care a urmat crizei financiare din 2008 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>aceast</w:t>
      </w:r>
      <w:r w:rsidR="00856143" w:rsidRPr="00007B1B">
        <w:rPr>
          <w:rFonts w:asciiTheme="majorHAnsi" w:hAnsiTheme="majorHAnsi" w:cstheme="majorHAnsi"/>
          <w:sz w:val="20"/>
          <w:szCs w:val="20"/>
          <w:lang w:val="ro-RO"/>
        </w:rPr>
        <w:t>ă rată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a depășit 20%.</w:t>
      </w:r>
    </w:p>
    <w:p w14:paraId="60DFC679" w14:textId="3EEA5F55" w:rsidR="0081689E" w:rsidRPr="00007B1B" w:rsidRDefault="00856143" w:rsidP="00007B1B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007B1B">
        <w:rPr>
          <w:rFonts w:asciiTheme="majorHAnsi" w:hAnsiTheme="majorHAnsi" w:cstheme="majorHAnsi"/>
          <w:sz w:val="20"/>
          <w:szCs w:val="20"/>
          <w:lang w:val="ro-RO"/>
        </w:rPr>
        <w:t>Astfel,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în 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>cazul în care regulile fiscale se mențin, bă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ncile 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vor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avea de ales 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ntre a 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menține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creditele neperformante 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n 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>bilanț, ceea ce ar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genera costuri suplimentare 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cu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ajustările pentru deprecierea creanțelor 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și cu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asigurarea resurse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>lor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necesare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pentru monitorizarea 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>ș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i recuperarea acestora</w:t>
      </w:r>
      <w:r w:rsidR="00030873" w:rsidRPr="00007B1B">
        <w:rPr>
          <w:rFonts w:asciiTheme="majorHAnsi" w:hAnsiTheme="majorHAnsi" w:cstheme="majorHAnsi"/>
          <w:sz w:val="20"/>
          <w:szCs w:val="20"/>
          <w:lang w:val="ro-RO"/>
        </w:rPr>
        <w:t>, sau a le cesiona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către firme specializate în recuperare, </w:t>
      </w:r>
      <w:r w:rsidR="00030873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dar cu costuri foarte mari impuse de taxarea 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>excesiv</w:t>
      </w:r>
      <w:r w:rsidR="00030873" w:rsidRPr="00007B1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0971CA5D" w14:textId="77777777" w:rsidR="001C6BBD" w:rsidRPr="00007B1B" w:rsidRDefault="001C6BBD" w:rsidP="00007B1B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2FB14250" w14:textId="1C0C92C5" w:rsidR="00DA6726" w:rsidRPr="00007B1B" w:rsidRDefault="00907834" w:rsidP="00007B1B">
      <w:pPr>
        <w:spacing w:after="120" w:line="264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  <w:r w:rsidRPr="00007B1B">
        <w:rPr>
          <w:rFonts w:asciiTheme="majorHAnsi" w:hAnsiTheme="majorHAnsi" w:cstheme="majorHAnsi"/>
          <w:b/>
          <w:sz w:val="20"/>
          <w:szCs w:val="20"/>
          <w:lang w:val="ro-RO"/>
        </w:rPr>
        <w:t>Unde se plasează România</w:t>
      </w:r>
      <w:r w:rsidR="00B94A57" w:rsidRPr="00007B1B">
        <w:rPr>
          <w:rFonts w:asciiTheme="majorHAnsi" w:hAnsiTheme="majorHAnsi" w:cstheme="majorHAnsi"/>
          <w:b/>
          <w:sz w:val="20"/>
          <w:szCs w:val="20"/>
          <w:lang w:val="ro-RO"/>
        </w:rPr>
        <w:t>?</w:t>
      </w:r>
    </w:p>
    <w:p w14:paraId="4CD876DF" w14:textId="40581573" w:rsidR="001568C9" w:rsidRPr="00007B1B" w:rsidRDefault="00856143" w:rsidP="00007B1B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007B1B">
        <w:rPr>
          <w:rFonts w:asciiTheme="majorHAnsi" w:hAnsiTheme="majorHAnsi" w:cstheme="majorHAnsi"/>
          <w:sz w:val="20"/>
          <w:szCs w:val="20"/>
          <w:lang w:val="ro-RO"/>
        </w:rPr>
        <w:t>M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odificarea reg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lementărilor privind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impozitare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>a în cazul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cesiuni</w:t>
      </w:r>
      <w:r w:rsidR="00030873" w:rsidRPr="00007B1B">
        <w:rPr>
          <w:rFonts w:asciiTheme="majorHAnsi" w:hAnsiTheme="majorHAnsi" w:cstheme="majorHAnsi"/>
          <w:sz w:val="20"/>
          <w:szCs w:val="20"/>
          <w:lang w:val="ro-RO"/>
        </w:rPr>
        <w:t>lor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de crean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e ar fi o m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sur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>ă benefică</w:t>
      </w:r>
      <w:r w:rsidR="00DD26A6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pentru toți agenții economici, dar mai ales pentru bănci, având în vedere că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ar 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ncuraja 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vânzarea </w:t>
      </w:r>
      <w:r w:rsidR="00030873" w:rsidRPr="00007B1B">
        <w:rPr>
          <w:rFonts w:asciiTheme="majorHAnsi" w:hAnsiTheme="majorHAnsi" w:cstheme="majorHAnsi"/>
          <w:sz w:val="20"/>
          <w:szCs w:val="20"/>
          <w:lang w:val="ro-RO"/>
        </w:rPr>
        <w:t>creditelor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neperformante c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tre societ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>ăț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i specializate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în recuperarea acestora 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>ș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i </w:t>
      </w:r>
      <w:r w:rsidR="00DD26A6" w:rsidRPr="00007B1B">
        <w:rPr>
          <w:rFonts w:asciiTheme="majorHAnsi" w:hAnsiTheme="majorHAnsi" w:cstheme="majorHAnsi"/>
          <w:sz w:val="20"/>
          <w:szCs w:val="20"/>
          <w:lang w:val="ro-RO"/>
        </w:rPr>
        <w:t>le-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ar permite s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se concentreze pe activitatea lor economic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568C9" w:rsidRPr="00007B1B">
        <w:rPr>
          <w:rFonts w:asciiTheme="majorHAnsi" w:hAnsiTheme="majorHAnsi" w:cstheme="majorHAnsi"/>
          <w:sz w:val="20"/>
          <w:szCs w:val="20"/>
          <w:lang w:val="ro-RO"/>
        </w:rPr>
        <w:t>de bază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: atragerea de depozite și acordarea de credite</w:t>
      </w:r>
      <w:r w:rsidR="001C6BBD" w:rsidRPr="00007B1B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0E5DFF79" w14:textId="02A7A0A4" w:rsidR="0081689E" w:rsidRPr="00007B1B" w:rsidRDefault="006256D5" w:rsidP="00007B1B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În acest sens, se poate urma exemplul mai multor țări din regiune cu regimuri fiscale mult mai favorabile </w:t>
      </w:r>
      <w:r w:rsidR="0041278B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aplicabile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în astfel de tra</w:t>
      </w:r>
      <w:r w:rsidR="0041278B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nzacții. Din studiul </w:t>
      </w:r>
      <w:r w:rsidR="001C6BBD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efectuat de </w:t>
      </w:r>
      <w:r w:rsidR="0041278B" w:rsidRPr="00007B1B">
        <w:rPr>
          <w:rFonts w:asciiTheme="majorHAnsi" w:hAnsiTheme="majorHAnsi" w:cstheme="majorHAnsi"/>
          <w:sz w:val="20"/>
          <w:szCs w:val="20"/>
          <w:lang w:val="ro-RO"/>
        </w:rPr>
        <w:t>Deloitte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C6BBD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România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reiese că </w:t>
      </w:r>
      <w:r w:rsidR="000521E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11 </w:t>
      </w:r>
      <w:r w:rsidR="006531FA" w:rsidRPr="00007B1B">
        <w:rPr>
          <w:rFonts w:asciiTheme="majorHAnsi" w:hAnsiTheme="majorHAnsi" w:cstheme="majorHAnsi"/>
          <w:sz w:val="20"/>
          <w:szCs w:val="20"/>
          <w:lang w:val="ro-RO"/>
        </w:rPr>
        <w:t>țări dintre cele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0521E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16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analizate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permit deductibilitatea integral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ă a pierderilor înregistrate ca urmare a cesiunii creanțelor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ș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i doar </w:t>
      </w:r>
      <w:r w:rsidR="000521EE" w:rsidRPr="00007B1B">
        <w:rPr>
          <w:rFonts w:asciiTheme="majorHAnsi" w:hAnsiTheme="majorHAnsi" w:cstheme="majorHAnsi"/>
          <w:sz w:val="20"/>
          <w:szCs w:val="20"/>
          <w:lang w:val="ro-RO"/>
        </w:rPr>
        <w:t>cinci</w:t>
      </w:r>
      <w:r w:rsidR="001C6BBD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printre care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ș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i Rom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â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nia</w:t>
      </w:r>
      <w:r w:rsidR="001C6BBD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au ales s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limiteze deductibilitatea acestora</w:t>
      </w:r>
      <w:r w:rsidR="00216661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1C6BBD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dintre care </w:t>
      </w:r>
      <w:r w:rsidR="00216661" w:rsidRPr="00007B1B">
        <w:rPr>
          <w:rFonts w:asciiTheme="majorHAnsi" w:hAnsiTheme="majorHAnsi" w:cstheme="majorHAnsi"/>
          <w:sz w:val="20"/>
          <w:szCs w:val="20"/>
          <w:lang w:val="ro-RO"/>
        </w:rPr>
        <w:t>România</w:t>
      </w:r>
      <w:r w:rsidR="001C6BBD" w:rsidRPr="00007B1B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216661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cel mai drastic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. Mai mult, </w:t>
      </w:r>
      <w:r w:rsidR="0041278B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chiar și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din cele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ș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apte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ță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ri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care aplică limite de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deductibilitate, </w:t>
      </w:r>
      <w:r w:rsidR="00216661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celelalte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ofer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216661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totuși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un tratament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fiscal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mai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favorabil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dec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â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t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cel din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Rom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â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nia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. Spre exemplu,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Polonia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acceptă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deductibilitate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integrală î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n cazul cesiunii c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tre </w:t>
      </w:r>
      <w:r w:rsidR="00216661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fonduri specializate,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iar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lastRenderedPageBreak/>
        <w:t>Letonia permite deductibilitatea pierderii atunci c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â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nd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creanțele sunt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v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â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n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dute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c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tre o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ar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din Uniu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nea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Europe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a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n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, Spa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iul Economic European sau c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tre </w:t>
      </w:r>
      <w:r w:rsidR="0041278B" w:rsidRPr="00007B1B">
        <w:rPr>
          <w:rFonts w:asciiTheme="majorHAnsi" w:hAnsiTheme="majorHAnsi" w:cstheme="majorHAnsi"/>
          <w:sz w:val="20"/>
          <w:szCs w:val="20"/>
          <w:lang w:val="ro-RO"/>
        </w:rPr>
        <w:t>un stat cu care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are 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î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ncheiat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ă o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conven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i</w:t>
      </w:r>
      <w:r w:rsidRPr="00007B1B"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de evitare a dublei impuneri. </w:t>
      </w:r>
    </w:p>
    <w:p w14:paraId="313DD4D0" w14:textId="3619FEAF" w:rsidR="00F22AED" w:rsidRPr="00007B1B" w:rsidRDefault="006256D5" w:rsidP="00007B1B">
      <w:pPr>
        <w:spacing w:after="12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În concluzie, modificarea sistemului de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impozitare </w:t>
      </w:r>
      <w:r w:rsidR="00BD69DF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în cazul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cesiunilor de crean</w:t>
      </w:r>
      <w:r w:rsidR="00BD69DF" w:rsidRPr="00007B1B">
        <w:rPr>
          <w:rFonts w:asciiTheme="majorHAnsi" w:hAnsiTheme="majorHAnsi" w:cstheme="majorHAnsi"/>
          <w:sz w:val="20"/>
          <w:szCs w:val="20"/>
          <w:lang w:val="ro-RO"/>
        </w:rPr>
        <w:t>ț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e neperformante </w:t>
      </w:r>
      <w:r w:rsidR="00BD69DF" w:rsidRPr="00007B1B">
        <w:rPr>
          <w:rFonts w:asciiTheme="majorHAnsi" w:hAnsiTheme="majorHAnsi" w:cstheme="majorHAnsi"/>
          <w:sz w:val="20"/>
          <w:szCs w:val="20"/>
          <w:lang w:val="ro-RO"/>
        </w:rPr>
        <w:t>în sensul</w:t>
      </w:r>
      <w:r w:rsidR="0041278B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 transformării </w:t>
      </w:r>
      <w:proofErr w:type="spellStart"/>
      <w:r w:rsidR="0041278B" w:rsidRPr="00007B1B">
        <w:rPr>
          <w:rFonts w:asciiTheme="majorHAnsi" w:hAnsiTheme="majorHAnsi" w:cstheme="majorHAnsi"/>
          <w:sz w:val="20"/>
          <w:szCs w:val="20"/>
          <w:lang w:val="ro-RO"/>
        </w:rPr>
        <w:t>într</w:t>
      </w:r>
      <w:proofErr w:type="spellEnd"/>
      <w:r w:rsidR="0041278B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-unul mai puțin împovărător pentru cei care oricum înregistrează pierderi din cauza neîncasării acelor creanțe,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ar </w:t>
      </w:r>
      <w:r w:rsidR="00FB53A0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ajuta la îmbunătățirea situației financiare a entităților afectate și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le-ar permite concentrarea pe </w:t>
      </w:r>
      <w:r w:rsidR="00FB53A0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activitatea </w:t>
      </w:r>
      <w:r w:rsidR="0081689E" w:rsidRPr="00007B1B">
        <w:rPr>
          <w:rFonts w:asciiTheme="majorHAnsi" w:hAnsiTheme="majorHAnsi" w:cstheme="majorHAnsi"/>
          <w:sz w:val="20"/>
          <w:szCs w:val="20"/>
          <w:lang w:val="ro-RO"/>
        </w:rPr>
        <w:t>lor principal</w:t>
      </w:r>
      <w:r w:rsidR="00FB53A0" w:rsidRPr="00007B1B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="0041278B" w:rsidRPr="00007B1B">
        <w:rPr>
          <w:rFonts w:asciiTheme="majorHAnsi" w:hAnsiTheme="majorHAnsi" w:cstheme="majorHAnsi"/>
          <w:sz w:val="20"/>
          <w:szCs w:val="20"/>
          <w:lang w:val="ro-RO"/>
        </w:rPr>
        <w:t xml:space="preserve">. Nu în ultimul rând, o astfel de măsură ar sprijini </w:t>
      </w:r>
      <w:r w:rsidR="00216661" w:rsidRPr="00007B1B">
        <w:rPr>
          <w:rFonts w:asciiTheme="majorHAnsi" w:hAnsiTheme="majorHAnsi" w:cstheme="majorHAnsi"/>
          <w:sz w:val="20"/>
          <w:szCs w:val="20"/>
          <w:lang w:val="ro-RO"/>
        </w:rPr>
        <w:t>circulația banilor în economie</w:t>
      </w:r>
      <w:r w:rsidR="001C6BBD" w:rsidRPr="00007B1B">
        <w:rPr>
          <w:rFonts w:asciiTheme="majorHAnsi" w:hAnsiTheme="majorHAnsi" w:cstheme="majorHAnsi"/>
          <w:sz w:val="20"/>
          <w:szCs w:val="20"/>
          <w:lang w:val="ro-RO"/>
        </w:rPr>
        <w:t>.</w:t>
      </w:r>
    </w:p>
    <w:sectPr w:rsidR="00F22AED" w:rsidRPr="00007B1B" w:rsidSect="006D2D98">
      <w:headerReference w:type="default" r:id="rId7"/>
      <w:headerReference w:type="first" r:id="rId8"/>
      <w:footerReference w:type="first" r:id="rId9"/>
      <w:pgSz w:w="11901" w:h="16840" w:code="9"/>
      <w:pgMar w:top="1350" w:right="1134" w:bottom="720" w:left="1418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74BD" w14:textId="77777777" w:rsidR="00F442AA" w:rsidRDefault="00F442AA" w:rsidP="0081689E">
      <w:pPr>
        <w:spacing w:after="0" w:line="240" w:lineRule="auto"/>
      </w:pPr>
      <w:r>
        <w:separator/>
      </w:r>
    </w:p>
  </w:endnote>
  <w:endnote w:type="continuationSeparator" w:id="0">
    <w:p w14:paraId="25F78BB5" w14:textId="77777777" w:rsidR="00F442AA" w:rsidRDefault="00F442AA" w:rsidP="0081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Next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8EEE" w14:textId="77777777" w:rsidR="001615F5" w:rsidRPr="001615F5" w:rsidRDefault="00F442AA" w:rsidP="005D4A30">
    <w:pPr>
      <w:pStyle w:val="Footer"/>
      <w:ind w:right="-7"/>
      <w:rPr>
        <w:rFonts w:ascii="Verdana" w:hAnsi="Verdana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93CC" w14:textId="77777777" w:rsidR="00F442AA" w:rsidRDefault="00F442AA" w:rsidP="0081689E">
      <w:pPr>
        <w:spacing w:after="0" w:line="240" w:lineRule="auto"/>
      </w:pPr>
      <w:r>
        <w:separator/>
      </w:r>
    </w:p>
  </w:footnote>
  <w:footnote w:type="continuationSeparator" w:id="0">
    <w:p w14:paraId="263BD8D5" w14:textId="77777777" w:rsidR="00F442AA" w:rsidRDefault="00F442AA" w:rsidP="0081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616A" w14:textId="77777777" w:rsidR="003A0D61" w:rsidRDefault="00B73FEE" w:rsidP="005443B3">
    <w:pPr>
      <w:pStyle w:val="Legalentity"/>
      <w:spacing w:after="140" w:line="240" w:lineRule="auto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A66E4E6" wp14:editId="586856C5">
          <wp:simplePos x="0" y="0"/>
          <wp:positionH relativeFrom="column">
            <wp:posOffset>0</wp:posOffset>
          </wp:positionH>
          <wp:positionV relativeFrom="paragraph">
            <wp:posOffset>368300</wp:posOffset>
          </wp:positionV>
          <wp:extent cx="1630680" cy="304800"/>
          <wp:effectExtent l="0" t="0" r="7620" b="0"/>
          <wp:wrapNone/>
          <wp:docPr id="14" name="Picture 14" descr="DEL_PRI_GREY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DA1B" w14:textId="77777777" w:rsidR="006A0423" w:rsidRDefault="00B73FEE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35D5B04A" wp14:editId="61D8CFDC">
          <wp:simplePos x="0" y="0"/>
          <wp:positionH relativeFrom="column">
            <wp:posOffset>-312420</wp:posOffset>
          </wp:positionH>
          <wp:positionV relativeFrom="paragraph">
            <wp:posOffset>33020</wp:posOffset>
          </wp:positionV>
          <wp:extent cx="2216150" cy="901700"/>
          <wp:effectExtent l="0" t="0" r="0" b="0"/>
          <wp:wrapNone/>
          <wp:docPr id="15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DEF75A" w14:textId="77777777" w:rsidR="006A0423" w:rsidRDefault="00F442AA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7BC424B6" w14:textId="77777777" w:rsidR="006A0423" w:rsidRDefault="00F442AA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2EC16556" w14:textId="77777777" w:rsidR="005443B3" w:rsidRPr="001615F5" w:rsidRDefault="00B73FEE">
    <w:pPr>
      <w:pStyle w:val="Header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55AB27FA" wp14:editId="222981BB">
              <wp:simplePos x="0" y="0"/>
              <wp:positionH relativeFrom="page">
                <wp:posOffset>5507355</wp:posOffset>
              </wp:positionH>
              <wp:positionV relativeFrom="page">
                <wp:posOffset>549275</wp:posOffset>
              </wp:positionV>
              <wp:extent cx="1334135" cy="4508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2A998" w14:textId="77777777" w:rsidR="006679A3" w:rsidRPr="00E57B68" w:rsidRDefault="00F442AA" w:rsidP="006679A3">
                          <w:pPr>
                            <w:autoSpaceDE w:val="0"/>
                            <w:autoSpaceDN w:val="0"/>
                            <w:adjustRightInd w:val="0"/>
                            <w:spacing w:line="180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B27F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3.65pt;margin-top:43.25pt;width:105.05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" o:allowincell="f" stroked="f">
              <v:textbox inset="0,0,0,0">
                <w:txbxContent>
                  <w:p w14:paraId="2D62A998" w14:textId="77777777" w:rsidR="006679A3" w:rsidRPr="00E57B68" w:rsidRDefault="00B73FEE" w:rsidP="006679A3">
                    <w:pPr>
                      <w:autoSpaceDE w:val="0"/>
                      <w:autoSpaceDN w:val="0"/>
                      <w:adjustRightInd w:val="0"/>
                      <w:spacing w:line="180" w:lineRule="atLea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9E"/>
    <w:rsid w:val="00007B1B"/>
    <w:rsid w:val="00030873"/>
    <w:rsid w:val="000521EE"/>
    <w:rsid w:val="000A7D02"/>
    <w:rsid w:val="000B48E2"/>
    <w:rsid w:val="001546DA"/>
    <w:rsid w:val="001568C9"/>
    <w:rsid w:val="00166E69"/>
    <w:rsid w:val="001C6BBD"/>
    <w:rsid w:val="00216661"/>
    <w:rsid w:val="00245A78"/>
    <w:rsid w:val="0028353B"/>
    <w:rsid w:val="0030325E"/>
    <w:rsid w:val="0041278B"/>
    <w:rsid w:val="00417DBF"/>
    <w:rsid w:val="00472E8A"/>
    <w:rsid w:val="0048599A"/>
    <w:rsid w:val="0051642D"/>
    <w:rsid w:val="006256D5"/>
    <w:rsid w:val="006531FA"/>
    <w:rsid w:val="007653EB"/>
    <w:rsid w:val="0081689E"/>
    <w:rsid w:val="00856143"/>
    <w:rsid w:val="00900C5F"/>
    <w:rsid w:val="00907834"/>
    <w:rsid w:val="00AE3572"/>
    <w:rsid w:val="00B73FEE"/>
    <w:rsid w:val="00B94A57"/>
    <w:rsid w:val="00BD69DF"/>
    <w:rsid w:val="00CB74F6"/>
    <w:rsid w:val="00DA6726"/>
    <w:rsid w:val="00DD26A6"/>
    <w:rsid w:val="00E9393E"/>
    <w:rsid w:val="00EA05FC"/>
    <w:rsid w:val="00F22AED"/>
    <w:rsid w:val="00F442AA"/>
    <w:rsid w:val="00F82F46"/>
    <w:rsid w:val="00FB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4413A"/>
  <w15:chartTrackingRefBased/>
  <w15:docId w15:val="{69E9BEE6-4078-45C9-ADE9-C64FC3AE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689E"/>
  </w:style>
  <w:style w:type="paragraph" w:styleId="Footer">
    <w:name w:val="footer"/>
    <w:basedOn w:val="Normal"/>
    <w:link w:val="FooterChar"/>
    <w:unhideWhenUsed/>
    <w:rsid w:val="0081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1689E"/>
  </w:style>
  <w:style w:type="paragraph" w:customStyle="1" w:styleId="Legalentity">
    <w:name w:val="Legal entity"/>
    <w:basedOn w:val="Normal"/>
    <w:rsid w:val="0081689E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 w:cs="Times New Roman"/>
      <w:color w:val="000000"/>
      <w:sz w:val="15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5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3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2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wfGzY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Creanga, Ana</dc:creator>
  <cp:keywords/>
  <dc:description/>
  <cp:lastModifiedBy>Anghel, Oana</cp:lastModifiedBy>
  <cp:revision>5</cp:revision>
  <dcterms:created xsi:type="dcterms:W3CDTF">2021-11-02T09:04:00Z</dcterms:created>
  <dcterms:modified xsi:type="dcterms:W3CDTF">2021-11-02T09:30:00Z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2021-08-12T13:19:17Z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e6cfbca4-03a6-4d8a-8778-b3b4e6c14523</vt:lpwstr>
  </property>
  <property fmtid="{D5CDD505-2E9C-101B-9397-08002B2CF9AE}" pid="8" name="MSIP_Label_ea60d57e-af5b-4752-ac57-3e4f28ca11dc_ContentBits">
    <vt:lpwstr>0</vt:lpwstr>
  </property>
</Properties>
</file>