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384D" w14:textId="77777777" w:rsidR="00623ACB" w:rsidRPr="00A4626E" w:rsidRDefault="005B5658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0C3C195" w14:textId="182A226A" w:rsidR="00882D19" w:rsidRPr="0023384F" w:rsidRDefault="000F0675" w:rsidP="00A4626E">
      <w:pPr>
        <w:spacing w:before="120" w:after="120" w:line="276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  <w:r>
        <w:rPr>
          <w:rFonts w:ascii="Calibri Light" w:hAnsi="Calibri Light" w:cs="Calibri Light"/>
          <w:b/>
          <w:sz w:val="24"/>
          <w:szCs w:val="24"/>
          <w:lang w:val="ro-RO"/>
        </w:rPr>
        <w:t>Transformarea digitală: c</w:t>
      </w:r>
      <w:r w:rsidR="00882D19" w:rsidRPr="0023384F">
        <w:rPr>
          <w:rFonts w:ascii="Calibri Light" w:hAnsi="Calibri Light" w:cs="Calibri Light"/>
          <w:b/>
          <w:sz w:val="24"/>
          <w:szCs w:val="24"/>
          <w:lang w:val="ro-RO"/>
        </w:rPr>
        <w:t xml:space="preserve">apitalizarea contractelor </w:t>
      </w:r>
      <w:r w:rsidR="00EC6539">
        <w:rPr>
          <w:rFonts w:ascii="Calibri Light" w:hAnsi="Calibri Light" w:cs="Calibri Light"/>
          <w:b/>
          <w:sz w:val="24"/>
          <w:szCs w:val="24"/>
          <w:lang w:val="ro-RO"/>
        </w:rPr>
        <w:t xml:space="preserve">pentru servicii </w:t>
      </w:r>
      <w:r w:rsidR="00882D19" w:rsidRPr="00400C5A"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>SaaS</w:t>
      </w:r>
      <w:r w:rsidR="006F5975" w:rsidRPr="0023384F">
        <w:rPr>
          <w:rFonts w:ascii="Calibri Light" w:hAnsi="Calibri Light" w:cs="Calibri Light"/>
          <w:b/>
          <w:sz w:val="24"/>
          <w:szCs w:val="24"/>
          <w:lang w:val="ro-RO"/>
        </w:rPr>
        <w:t xml:space="preserve"> </w:t>
      </w:r>
      <w:r w:rsidR="006F5975" w:rsidRPr="0023384F"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>(</w:t>
      </w:r>
      <w:r w:rsidR="00EC6539" w:rsidRPr="0023384F"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>s</w:t>
      </w:r>
      <w:r w:rsidR="006F5975" w:rsidRPr="0023384F"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>oftware as a service</w:t>
      </w:r>
      <w:r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>)</w:t>
      </w:r>
      <w:r w:rsidRPr="00EC6539" w:rsidDel="000F0675">
        <w:rPr>
          <w:rFonts w:ascii="Calibri Light" w:hAnsi="Calibri Light" w:cs="Calibri Light"/>
          <w:b/>
          <w:i/>
          <w:iCs/>
          <w:sz w:val="24"/>
          <w:szCs w:val="24"/>
          <w:lang w:val="ro-RO"/>
        </w:rPr>
        <w:t xml:space="preserve"> </w:t>
      </w:r>
    </w:p>
    <w:p w14:paraId="0E5A3CF1" w14:textId="0A6158EE" w:rsidR="00A4626E" w:rsidRPr="0023384F" w:rsidRDefault="00A4626E" w:rsidP="0023384F">
      <w:pPr>
        <w:spacing w:before="120" w:after="120" w:line="276" w:lineRule="auto"/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</w:pPr>
      <w:r w:rsidRPr="0023384F"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  <w:t>Material de opinie de Corina Dimitriu</w:t>
      </w:r>
      <w:r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  <w:t xml:space="preserve">, Partener Audit, și </w:t>
      </w:r>
      <w:r w:rsidR="00400C5A">
        <w:rPr>
          <w:rFonts w:ascii="Calibri Light" w:hAnsi="Calibri Light" w:cs="Calibri Light"/>
          <w:bCs/>
          <w:i/>
          <w:iCs/>
          <w:sz w:val="20"/>
          <w:szCs w:val="20"/>
          <w:lang w:val="ro-RO"/>
        </w:rPr>
        <w:t>Cosmin Păun, Senior Manager Audit, Deloitte România</w:t>
      </w:r>
    </w:p>
    <w:p w14:paraId="7A7D282B" w14:textId="77777777" w:rsidR="00A4626E" w:rsidRDefault="00A4626E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10E64248" w14:textId="68D781B7" w:rsidR="00821D14" w:rsidRPr="00A4626E" w:rsidRDefault="00821D14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Contextul pandemic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a contribuit suplimentar la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acceler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area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transform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ării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digital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în mediul de afaceri, aspect care a presupus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crearea unei infrastructuri IT care s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permit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integrarea diverselor solu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ii de software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pe care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companiile</w:t>
      </w:r>
      <w:r w:rsidR="00C17E56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le adopt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menite să amplifice planurile </w:t>
      </w:r>
      <w:r w:rsidR="00400C5A">
        <w:rPr>
          <w:rFonts w:ascii="Calibri Light" w:hAnsi="Calibri Light" w:cs="Calibri Light"/>
          <w:sz w:val="20"/>
          <w:szCs w:val="20"/>
          <w:lang w:val="ro-RO"/>
        </w:rPr>
        <w:t>lor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 strategice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. Transformarea digital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este realitatea de ast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zi </w:t>
      </w:r>
      <w:r w:rsidR="00F40CD0" w:rsidRPr="00A4626E">
        <w:rPr>
          <w:rFonts w:ascii="Calibri Light" w:hAnsi="Calibri Light" w:cs="Calibri Light"/>
          <w:sz w:val="20"/>
          <w:szCs w:val="20"/>
          <w:lang w:val="ro-RO"/>
        </w:rPr>
        <w:t xml:space="preserve">care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presupune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alocarea unor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bugete de inves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t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i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i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 în acest sens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ș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colaborarea cu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exper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i care 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 xml:space="preserve">să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ajut</w:t>
      </w:r>
      <w:r w:rsidR="00C17E56">
        <w:rPr>
          <w:rFonts w:ascii="Calibri Light" w:hAnsi="Calibri Light" w:cs="Calibri Light"/>
          <w:sz w:val="20"/>
          <w:szCs w:val="20"/>
          <w:lang w:val="ro-RO"/>
        </w:rPr>
        <w:t>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n procesul de implementare. </w:t>
      </w:r>
    </w:p>
    <w:p w14:paraId="6C896CC4" w14:textId="1DF30BB3" w:rsidR="00821D14" w:rsidRPr="00A4626E" w:rsidRDefault="00A4626E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Î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ns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, c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um se vede transformarea digital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 din punct de vedere 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 xml:space="preserve">financiar - 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contabil? Ce capitaliz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m </w:t>
      </w:r>
      <w:r>
        <w:rPr>
          <w:rFonts w:ascii="Calibri Light" w:hAnsi="Calibri Light" w:cs="Calibri Light"/>
          <w:sz w:val="20"/>
          <w:szCs w:val="20"/>
          <w:lang w:val="ro-RO"/>
        </w:rPr>
        <w:t>ș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i ce </w:t>
      </w:r>
      <w:r>
        <w:rPr>
          <w:rFonts w:ascii="Calibri Light" w:hAnsi="Calibri Light" w:cs="Calibri Light"/>
          <w:sz w:val="20"/>
          <w:szCs w:val="20"/>
          <w:lang w:val="ro-RO"/>
        </w:rPr>
        <w:t>î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nregistr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m 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 xml:space="preserve">ca </w:t>
      </w:r>
      <w:r w:rsidR="00400C5A">
        <w:rPr>
          <w:rFonts w:ascii="Calibri Light" w:hAnsi="Calibri Light" w:cs="Calibri Light"/>
          <w:sz w:val="20"/>
          <w:szCs w:val="20"/>
          <w:lang w:val="ro-RO"/>
        </w:rPr>
        <w:t>ș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>i cheltuial</w:t>
      </w:r>
      <w:r w:rsidR="00400C5A">
        <w:rPr>
          <w:rFonts w:ascii="Calibri Light" w:hAnsi="Calibri Light" w:cs="Calibri Light"/>
          <w:sz w:val="20"/>
          <w:szCs w:val="20"/>
          <w:lang w:val="ro-RO"/>
        </w:rPr>
        <w:t>ă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7725B">
        <w:rPr>
          <w:rFonts w:ascii="Calibri Light" w:hAnsi="Calibri Light" w:cs="Calibri Light"/>
          <w:sz w:val="20"/>
          <w:szCs w:val="20"/>
          <w:lang w:val="ro-RO"/>
        </w:rPr>
        <w:t>în contabilitate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? Aceasta este o decizie care afecteaz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 at</w:t>
      </w:r>
      <w:r>
        <w:rPr>
          <w:rFonts w:ascii="Calibri Light" w:hAnsi="Calibri Light" w:cs="Calibri Light"/>
          <w:sz w:val="20"/>
          <w:szCs w:val="20"/>
          <w:lang w:val="ro-RO"/>
        </w:rPr>
        <w:t>â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t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rezultatul opera</w:t>
      </w:r>
      <w:r>
        <w:rPr>
          <w:rFonts w:ascii="Calibri Light" w:hAnsi="Calibri Light" w:cs="Calibri Light"/>
          <w:sz w:val="20"/>
          <w:szCs w:val="20"/>
          <w:lang w:val="ro-RO"/>
        </w:rPr>
        <w:t>ț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ional, 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>baza de impozitare calculat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821D14" w:rsidRPr="00A4626E">
        <w:rPr>
          <w:rFonts w:ascii="Calibri Light" w:hAnsi="Calibri Light" w:cs="Calibri Light"/>
          <w:sz w:val="20"/>
          <w:szCs w:val="20"/>
          <w:lang w:val="ro-RO"/>
        </w:rPr>
        <w:t xml:space="preserve"> pentru dete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rminarea impozitului pe profit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>
        <w:rPr>
          <w:rFonts w:ascii="Calibri Light" w:hAnsi="Calibri Light" w:cs="Calibri Light"/>
          <w:sz w:val="20"/>
          <w:szCs w:val="20"/>
          <w:lang w:val="ro-RO"/>
        </w:rPr>
        <w:t>cât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>ș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al</w:t>
      </w:r>
      <w:r>
        <w:rPr>
          <w:rFonts w:ascii="Calibri Light" w:hAnsi="Calibri Light" w:cs="Calibri Light"/>
          <w:sz w:val="20"/>
          <w:szCs w:val="20"/>
          <w:lang w:val="ro-RO"/>
        </w:rPr>
        <w:t>ț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i indicatori economici ai societ</w:t>
      </w:r>
      <w:r>
        <w:rPr>
          <w:rFonts w:ascii="Calibri Light" w:hAnsi="Calibri Light" w:cs="Calibri Light"/>
          <w:sz w:val="20"/>
          <w:szCs w:val="20"/>
          <w:lang w:val="ro-RO"/>
        </w:rPr>
        <w:t>ăț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ii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6F1E8646" w14:textId="1FD51B7B" w:rsidR="00E74A53" w:rsidRPr="00A4626E" w:rsidRDefault="00821D14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>Av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â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nd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n vedere inter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sul crescut 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>asupra digitaliz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="00AB139D" w:rsidRPr="00A4626E">
        <w:rPr>
          <w:rFonts w:ascii="Calibri Light" w:hAnsi="Calibri Light" w:cs="Calibri Light"/>
          <w:sz w:val="20"/>
          <w:szCs w:val="20"/>
          <w:lang w:val="ro-RO"/>
        </w:rPr>
        <w:t xml:space="preserve">rii,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este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oportun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reamintirea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principiile care stau 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l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a baza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nregistr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rii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acestor tipuri de tranzac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ii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, respectiv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a </w:t>
      </w:r>
      <w:hyperlink r:id="rId8" w:history="1">
        <w:r w:rsidR="0034511D" w:rsidRPr="002D2EB1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>contractelor</w:t>
        </w:r>
        <w:r w:rsidR="00EF1B82" w:rsidRPr="002D2EB1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 xml:space="preserve"> de tip</w:t>
        </w:r>
        <w:r w:rsidR="0034511D" w:rsidRPr="002D2EB1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 xml:space="preserve"> </w:t>
        </w:r>
        <w:r w:rsidR="0034511D" w:rsidRPr="002D2EB1">
          <w:rPr>
            <w:rStyle w:val="Hyperlink"/>
            <w:rFonts w:ascii="Calibri Light" w:hAnsi="Calibri Light" w:cs="Calibri Light"/>
            <w:i/>
            <w:iCs/>
            <w:sz w:val="20"/>
            <w:szCs w:val="20"/>
            <w:lang w:val="ro-RO"/>
          </w:rPr>
          <w:t>SaaS</w:t>
        </w:r>
        <w:r w:rsidR="00EF1B82" w:rsidRPr="002D2EB1">
          <w:rPr>
            <w:rStyle w:val="Hyperlink"/>
            <w:rFonts w:ascii="Calibri Light" w:hAnsi="Calibri Light" w:cs="Calibri Light"/>
            <w:sz w:val="20"/>
            <w:szCs w:val="20"/>
            <w:lang w:val="ro-RO"/>
          </w:rPr>
          <w:t xml:space="preserve"> (</w:t>
        </w:r>
        <w:r w:rsidR="00EF1B82" w:rsidRPr="002D2EB1">
          <w:rPr>
            <w:rStyle w:val="Hyperlink"/>
            <w:rFonts w:ascii="Calibri Light" w:hAnsi="Calibri Light" w:cs="Calibri Light"/>
            <w:i/>
            <w:iCs/>
            <w:sz w:val="20"/>
            <w:szCs w:val="20"/>
            <w:lang w:val="ro-RO"/>
          </w:rPr>
          <w:t>software as a service</w:t>
        </w:r>
      </w:hyperlink>
      <w:r w:rsidR="00EF1B82">
        <w:rPr>
          <w:rFonts w:ascii="Calibri Light" w:hAnsi="Calibri Light" w:cs="Calibri Light"/>
          <w:i/>
          <w:iCs/>
          <w:sz w:val="20"/>
          <w:szCs w:val="20"/>
          <w:lang w:val="ro-RO"/>
        </w:rPr>
        <w:t>)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din prisma 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S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tandardelor 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I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nterna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ionale de 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R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aportare 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F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inanciar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>ă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Aceste principii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 pot fi folosite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ș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i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n sprijinul determin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rii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nregistr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ăr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ilor contabile conform O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>rdinul ministrului finanțelor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 1802/2014.</w:t>
      </w:r>
    </w:p>
    <w:p w14:paraId="01121B01" w14:textId="586AE983" w:rsidR="0034511D" w:rsidRPr="00A4626E" w:rsidRDefault="00EF1B82" w:rsidP="00A4626E">
      <w:pPr>
        <w:spacing w:before="120" w:after="120" w:line="276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>
        <w:rPr>
          <w:rFonts w:ascii="Calibri Light" w:hAnsi="Calibri Light" w:cs="Calibri Light"/>
          <w:b/>
          <w:sz w:val="20"/>
          <w:szCs w:val="20"/>
          <w:lang w:val="ro-RO"/>
        </w:rPr>
        <w:t>Caracteristicile m</w:t>
      </w:r>
      <w:r w:rsidR="0034511D" w:rsidRPr="00A4626E">
        <w:rPr>
          <w:rFonts w:ascii="Calibri Light" w:hAnsi="Calibri Light" w:cs="Calibri Light"/>
          <w:b/>
          <w:sz w:val="20"/>
          <w:szCs w:val="20"/>
          <w:lang w:val="ro-RO"/>
        </w:rPr>
        <w:t>odel</w:t>
      </w:r>
      <w:r w:rsidR="00210557">
        <w:rPr>
          <w:rFonts w:ascii="Calibri Light" w:hAnsi="Calibri Light" w:cs="Calibri Light"/>
          <w:b/>
          <w:sz w:val="20"/>
          <w:szCs w:val="20"/>
          <w:lang w:val="ro-RO"/>
        </w:rPr>
        <w:t xml:space="preserve">elor de furnizare a software-urilor: </w:t>
      </w:r>
      <w:r w:rsidR="0034511D" w:rsidRPr="00A4626E">
        <w:rPr>
          <w:rFonts w:ascii="Calibri Light" w:hAnsi="Calibri Light" w:cs="Calibri Light"/>
          <w:b/>
          <w:sz w:val="20"/>
          <w:szCs w:val="20"/>
          <w:lang w:val="ro-RO"/>
        </w:rPr>
        <w:t>tradi</w:t>
      </w:r>
      <w:r w:rsidR="00A4626E">
        <w:rPr>
          <w:rFonts w:ascii="Calibri Light" w:hAnsi="Calibri Light" w:cs="Calibri Light"/>
          <w:b/>
          <w:sz w:val="20"/>
          <w:szCs w:val="20"/>
          <w:lang w:val="ro-RO"/>
        </w:rPr>
        <w:t>ț</w:t>
      </w:r>
      <w:r w:rsidR="0034511D"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ional </w:t>
      </w:r>
      <w:r w:rsidR="00A4626E">
        <w:rPr>
          <w:rFonts w:ascii="Calibri Light" w:hAnsi="Calibri Light" w:cs="Calibri Light"/>
          <w:b/>
          <w:sz w:val="20"/>
          <w:szCs w:val="20"/>
          <w:lang w:val="ro-RO"/>
        </w:rPr>
        <w:t>ș</w:t>
      </w:r>
      <w:r w:rsidR="0034511D"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i </w:t>
      </w:r>
      <w:r>
        <w:rPr>
          <w:rFonts w:ascii="Calibri Light" w:hAnsi="Calibri Light" w:cs="Calibri Light"/>
          <w:b/>
          <w:sz w:val="20"/>
          <w:szCs w:val="20"/>
          <w:lang w:val="ro-RO"/>
        </w:rPr>
        <w:t>de tip</w:t>
      </w:r>
      <w:r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  <w:r w:rsidR="0034511D" w:rsidRPr="0023384F">
        <w:rPr>
          <w:rFonts w:ascii="Calibri Light" w:hAnsi="Calibri Light" w:cs="Calibri Light"/>
          <w:b/>
          <w:i/>
          <w:iCs/>
          <w:sz w:val="20"/>
          <w:szCs w:val="20"/>
          <w:lang w:val="ro-RO"/>
        </w:rPr>
        <w:t>cloud</w:t>
      </w:r>
      <w:r w:rsidR="0034511D"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 </w:t>
      </w:r>
    </w:p>
    <w:p w14:paraId="4C6AF951" w14:textId="53C2C6E9" w:rsidR="00E74A53" w:rsidRPr="00A4626E" w:rsidRDefault="00E74A53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Modelul tradi</w:t>
      </w:r>
      <w:r w:rsidR="00A4626E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ț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ional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presupune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F1B82" w:rsidRPr="00EF1B82">
        <w:rPr>
          <w:rFonts w:ascii="Calibri Light" w:hAnsi="Calibri Light" w:cs="Calibri Light"/>
          <w:sz w:val="20"/>
          <w:szCs w:val="20"/>
          <w:lang w:val="ro-RO"/>
        </w:rPr>
        <w:t>a</w:t>
      </w:r>
      <w:r w:rsidRPr="00EF1B82">
        <w:rPr>
          <w:rFonts w:ascii="Calibri Light" w:hAnsi="Calibri Light" w:cs="Calibri Light"/>
          <w:sz w:val="20"/>
          <w:szCs w:val="20"/>
          <w:lang w:val="ro-RO"/>
        </w:rPr>
        <w:t>chizi</w:t>
      </w:r>
      <w:r w:rsidR="00A4626E" w:rsidRPr="00EF1B82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EF1B82">
        <w:rPr>
          <w:rFonts w:ascii="Calibri Light" w:hAnsi="Calibri Light" w:cs="Calibri Light"/>
          <w:sz w:val="20"/>
          <w:szCs w:val="20"/>
          <w:lang w:val="ro-RO"/>
        </w:rPr>
        <w:t>ia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de 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 xml:space="preserve">soluții de tip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hardware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aplicați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>i și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licențe software</w:t>
      </w:r>
      <w:r w:rsidR="00EF1B82">
        <w:rPr>
          <w:rFonts w:ascii="Calibri Light" w:hAnsi="Calibri Light" w:cs="Calibri Light"/>
          <w:sz w:val="20"/>
          <w:szCs w:val="20"/>
          <w:lang w:val="ro-RO"/>
        </w:rPr>
        <w:t xml:space="preserve">. Acestea sunt protejare de </w:t>
      </w:r>
      <w:r w:rsidRPr="0023384F">
        <w:rPr>
          <w:rFonts w:ascii="Calibri Light" w:hAnsi="Calibri Light" w:cs="Calibri Light"/>
          <w:i/>
          <w:iCs/>
          <w:sz w:val="20"/>
          <w:szCs w:val="20"/>
        </w:rPr>
        <w:t>firewall</w:t>
      </w:r>
      <w:r w:rsidRPr="0023384F">
        <w:rPr>
          <w:rFonts w:ascii="Calibri Light" w:hAnsi="Calibri Light" w:cs="Calibri Light"/>
          <w:sz w:val="20"/>
          <w:szCs w:val="20"/>
        </w:rPr>
        <w:t>-</w:t>
      </w:r>
      <w:r w:rsidRPr="0023384F">
        <w:rPr>
          <w:rFonts w:ascii="Calibri Light" w:hAnsi="Calibri Light" w:cs="Calibri Light"/>
          <w:sz w:val="20"/>
          <w:szCs w:val="20"/>
          <w:lang w:val="ro-RO"/>
        </w:rPr>
        <w:t>ul</w:t>
      </w:r>
      <w:r w:rsidR="00EF1B82" w:rsidRPr="00EF1B82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 xml:space="preserve">(paravanul de protecție) 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 xml:space="preserve">propriu, </w:t>
      </w:r>
      <w:r w:rsidRPr="0023384F">
        <w:rPr>
          <w:rFonts w:ascii="Calibri Light" w:hAnsi="Calibri Light" w:cs="Calibri Light"/>
          <w:sz w:val="20"/>
          <w:szCs w:val="20"/>
          <w:lang w:val="ro-RO"/>
        </w:rPr>
        <w:t>societ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>atea</w:t>
      </w:r>
      <w:r w:rsidR="00EF1B82" w:rsidRPr="00EF1B82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obțin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>ând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controlul asupra IP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>-ului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 xml:space="preserve"> (</w:t>
      </w:r>
      <w:r w:rsidR="00162F21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Internet Protocol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>)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.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 xml:space="preserve"> Pe de altă parte, </w:t>
      </w:r>
      <w:r w:rsidR="002048D8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m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odelul </w:t>
      </w:r>
      <w:r w:rsidR="002048D8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de tip </w:t>
      </w:r>
      <w:r w:rsidRPr="0023384F">
        <w:rPr>
          <w:rFonts w:ascii="Calibri Light" w:hAnsi="Calibri Light" w:cs="Calibri Light"/>
          <w:b/>
          <w:bCs/>
          <w:i/>
          <w:iCs/>
          <w:sz w:val="20"/>
          <w:szCs w:val="20"/>
          <w:lang w:val="ro-RO"/>
        </w:rPr>
        <w:t>cloud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>implică d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rep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turi de acces numai 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>pentru</w:t>
      </w:r>
      <w:r w:rsidR="002048D8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aplicația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software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 xml:space="preserve">, soluțiile de tehnologie fiind protejate de </w:t>
      </w:r>
      <w:r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firewall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-ul furnizorului de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 xml:space="preserve"> servicii de tip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 xml:space="preserve">, acesta păstrând și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controlul asupra IP</w:t>
      </w:r>
      <w:r w:rsidR="002048D8">
        <w:rPr>
          <w:rFonts w:ascii="Calibri Light" w:hAnsi="Calibri Light" w:cs="Calibri Light"/>
          <w:sz w:val="20"/>
          <w:szCs w:val="20"/>
          <w:lang w:val="ro-RO"/>
        </w:rPr>
        <w:t>-ului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3EEB69CC" w14:textId="2D4D3411" w:rsidR="00B95381" w:rsidRPr="00A4626E" w:rsidRDefault="00B344B4" w:rsidP="00A4626E">
      <w:pPr>
        <w:spacing w:before="120" w:after="120" w:line="276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>
        <w:rPr>
          <w:rFonts w:ascii="Calibri Light" w:hAnsi="Calibri Light" w:cs="Calibri Light"/>
          <w:b/>
          <w:sz w:val="20"/>
          <w:szCs w:val="20"/>
          <w:lang w:val="ro-RO"/>
        </w:rPr>
        <w:t xml:space="preserve">Tipuri de contracte </w:t>
      </w:r>
      <w:r w:rsidR="00EC6539">
        <w:rPr>
          <w:rFonts w:ascii="Calibri Light" w:hAnsi="Calibri Light" w:cs="Calibri Light"/>
          <w:b/>
          <w:sz w:val="20"/>
          <w:szCs w:val="20"/>
          <w:lang w:val="ro-RO"/>
        </w:rPr>
        <w:t xml:space="preserve">pentru servicii </w:t>
      </w:r>
      <w:r w:rsidR="00E74A53" w:rsidRPr="00400C5A">
        <w:rPr>
          <w:rFonts w:ascii="Calibri Light" w:hAnsi="Calibri Light" w:cs="Calibri Light"/>
          <w:b/>
          <w:i/>
          <w:iCs/>
          <w:sz w:val="20"/>
          <w:szCs w:val="20"/>
          <w:lang w:val="ro-RO"/>
        </w:rPr>
        <w:t>SaaS</w:t>
      </w:r>
      <w:r w:rsidR="00E74A53"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 – </w:t>
      </w:r>
      <w:r w:rsidR="00A4626E">
        <w:rPr>
          <w:rFonts w:ascii="Calibri Light" w:hAnsi="Calibri Light" w:cs="Calibri Light"/>
          <w:b/>
          <w:sz w:val="20"/>
          <w:szCs w:val="20"/>
          <w:lang w:val="ro-RO"/>
        </w:rPr>
        <w:t>„</w:t>
      </w:r>
      <w:r w:rsidR="00E74A53" w:rsidRPr="0023384F">
        <w:rPr>
          <w:rFonts w:ascii="Calibri Light" w:hAnsi="Calibri Light" w:cs="Calibri Light"/>
          <w:b/>
          <w:i/>
          <w:iCs/>
          <w:sz w:val="20"/>
          <w:szCs w:val="20"/>
          <w:lang w:val="ro-RO"/>
        </w:rPr>
        <w:t>software as a service</w:t>
      </w:r>
      <w:r w:rsidR="00E74A53" w:rsidRPr="00A4626E">
        <w:rPr>
          <w:rFonts w:ascii="Calibri Light" w:hAnsi="Calibri Light" w:cs="Calibri Light"/>
          <w:b/>
          <w:sz w:val="20"/>
          <w:szCs w:val="20"/>
          <w:lang w:val="ro-RO"/>
        </w:rPr>
        <w:t xml:space="preserve">” </w:t>
      </w:r>
    </w:p>
    <w:p w14:paraId="68469AFD" w14:textId="2F94BD44" w:rsidR="00E74A53" w:rsidRPr="00A4626E" w:rsidRDefault="00210557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S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pecific 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acestor tipuri de contracte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este c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 xml:space="preserve"> societatea </w:t>
      </w:r>
      <w:r w:rsidR="00F6768F">
        <w:rPr>
          <w:rFonts w:ascii="Calibri Light" w:hAnsi="Calibri Light" w:cs="Calibri Light"/>
          <w:sz w:val="20"/>
          <w:szCs w:val="20"/>
          <w:lang w:val="ro-RO"/>
        </w:rPr>
        <w:t>contracteaz</w:t>
      </w:r>
      <w:r w:rsidR="00400C5A">
        <w:rPr>
          <w:rFonts w:ascii="Calibri Light" w:hAnsi="Calibri Light" w:cs="Calibri Light"/>
          <w:sz w:val="20"/>
          <w:szCs w:val="20"/>
          <w:lang w:val="ro-RO"/>
        </w:rPr>
        <w:t>ă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î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n substan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ță</w:t>
      </w:r>
      <w:r w:rsidR="00BA24F8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A02B4" w:rsidRPr="00A4626E">
        <w:rPr>
          <w:rFonts w:ascii="Calibri Light" w:hAnsi="Calibri Light" w:cs="Calibri Light"/>
          <w:sz w:val="20"/>
          <w:szCs w:val="20"/>
          <w:lang w:val="ro-RO"/>
        </w:rPr>
        <w:t>servicii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ș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i nu inten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ioneaz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ă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 achizi</w:t>
      </w:r>
      <w:r w:rsidR="00A4626E">
        <w:rPr>
          <w:rFonts w:ascii="Calibri Light" w:hAnsi="Calibri Light" w:cs="Calibri Light"/>
          <w:sz w:val="20"/>
          <w:szCs w:val="20"/>
          <w:lang w:val="ro-RO"/>
        </w:rPr>
        <w:t>ț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ia sau leasingul de active software. Acest lucru se datorează faptului că, într-un mediu bazat pe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servicii de tip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74A53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, contractul SaaS oferă, în general, dreptul de a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primi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 xml:space="preserve"> acces la software-ul aplicației furnizorului de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servicii </w:t>
      </w:r>
      <w:r w:rsidR="00E74A53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E74A53" w:rsidRPr="00A4626E">
        <w:rPr>
          <w:rFonts w:ascii="Calibri Light" w:hAnsi="Calibri Light" w:cs="Calibri Light"/>
          <w:sz w:val="20"/>
          <w:szCs w:val="20"/>
          <w:lang w:val="ro-RO"/>
        </w:rPr>
        <w:t>, mai degrabă decât o licență prin IP, adică controlul asupra codului software.</w:t>
      </w:r>
    </w:p>
    <w:p w14:paraId="451CE932" w14:textId="045BB088" w:rsidR="00B95381" w:rsidRPr="00A4626E" w:rsidRDefault="00BA5509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9E28D7">
        <w:rPr>
          <w:rFonts w:ascii="Calibri Light" w:hAnsi="Calibri Light" w:cs="Calibri Light"/>
          <w:sz w:val="20"/>
          <w:szCs w:val="20"/>
          <w:lang w:val="ro-RO"/>
        </w:rPr>
        <w:t>Comitetul pentru Interpretări Internaționale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de Raportare Financiară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 xml:space="preserve"> (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„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>IFRIC”)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a observat că dreptul </w:t>
      </w:r>
      <w:r w:rsidR="0070789A" w:rsidRPr="00A4626E">
        <w:rPr>
          <w:rFonts w:ascii="Calibri Light" w:hAnsi="Calibri Light" w:cs="Calibri Light"/>
          <w:sz w:val="20"/>
          <w:szCs w:val="20"/>
          <w:lang w:val="ro-RO"/>
        </w:rPr>
        <w:t>de a accesa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software-ul furnizorului care rulează pe infrastructura </w:t>
      </w:r>
      <w:r w:rsidR="0034511D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a </w:t>
      </w:r>
      <w:r w:rsidR="0070789A" w:rsidRPr="00A4626E">
        <w:rPr>
          <w:rFonts w:ascii="Calibri Light" w:hAnsi="Calibri Light" w:cs="Calibri Light"/>
          <w:sz w:val="20"/>
          <w:szCs w:val="20"/>
          <w:lang w:val="ro-RO"/>
        </w:rPr>
        <w:t xml:space="preserve">acestuia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nu oferă, în sine, societ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ăț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ii drept</w:t>
      </w:r>
      <w:r w:rsidR="00D9438D" w:rsidRPr="00A4626E">
        <w:rPr>
          <w:rFonts w:ascii="Calibri Light" w:hAnsi="Calibri Light" w:cs="Calibri Light"/>
          <w:sz w:val="20"/>
          <w:szCs w:val="20"/>
          <w:lang w:val="ro-RO"/>
        </w:rPr>
        <w:t>ul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de </w:t>
      </w:r>
      <w:r w:rsidR="00D9438D" w:rsidRPr="00A4626E">
        <w:rPr>
          <w:rFonts w:ascii="Calibri Light" w:hAnsi="Calibri Light" w:cs="Calibri Light"/>
          <w:sz w:val="20"/>
          <w:szCs w:val="20"/>
          <w:lang w:val="ro-RO"/>
        </w:rPr>
        <w:t xml:space="preserve">a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lua decizii cu privire la modul și scop</w:t>
      </w:r>
      <w:r w:rsidR="00D9438D" w:rsidRPr="00A4626E">
        <w:rPr>
          <w:rFonts w:ascii="Calibri Light" w:hAnsi="Calibri Light" w:cs="Calibri Light"/>
          <w:sz w:val="20"/>
          <w:szCs w:val="20"/>
          <w:lang w:val="ro-RO"/>
        </w:rPr>
        <w:t xml:space="preserve">ul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î</w:t>
      </w:r>
      <w:r w:rsidR="00D9438D" w:rsidRPr="00A4626E">
        <w:rPr>
          <w:rFonts w:ascii="Calibri Light" w:hAnsi="Calibri Light" w:cs="Calibri Light"/>
          <w:sz w:val="20"/>
          <w:szCs w:val="20"/>
          <w:lang w:val="ro-RO"/>
        </w:rPr>
        <w:t>n care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 xml:space="preserve"> este utilizat software-ul. 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>Mai mult dec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â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>t at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â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t, societatea nu are </w:t>
      </w:r>
      <w:r w:rsidR="0034511D" w:rsidRPr="00A4626E">
        <w:rPr>
          <w:rFonts w:ascii="Calibri Light" w:hAnsi="Calibri Light" w:cs="Calibri Light"/>
          <w:sz w:val="20"/>
          <w:szCs w:val="20"/>
          <w:lang w:val="ro-RO"/>
        </w:rPr>
        <w:t>dreptul de a obține beneficiile economice viitoare din software-ul în sine și de a restricționa accesul altora la aceste beneficii.</w:t>
      </w:r>
    </w:p>
    <w:p w14:paraId="012AEEEC" w14:textId="61A42D38" w:rsidR="00B95381" w:rsidRPr="00A4626E" w:rsidRDefault="00B95381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Un contract care transmite clientului doar dreptul de a primi acces la aplicația software nu este nici un contract de închiriere de software, nici un </w:t>
      </w:r>
      <w:r w:rsidR="00CB590F" w:rsidRPr="00A4626E">
        <w:rPr>
          <w:rFonts w:ascii="Calibri Light" w:hAnsi="Calibri Light" w:cs="Calibri Light"/>
          <w:sz w:val="20"/>
          <w:szCs w:val="20"/>
          <w:lang w:val="ro-RO"/>
        </w:rPr>
        <w:t xml:space="preserve">activ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software necorporal, ci mai degrabă un serviciu pe care societatea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î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l primește pe durata contractului.</w:t>
      </w:r>
    </w:p>
    <w:p w14:paraId="197519F7" w14:textId="07D993D6" w:rsidR="00B95381" w:rsidRDefault="00B95381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Cu toate acestea, o situație în care 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ar putea exista o imobilizare necorporală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pentru o licență software într-un aranjament </w:t>
      </w:r>
      <w:r w:rsidR="00210557">
        <w:rPr>
          <w:rFonts w:ascii="Calibri Light" w:hAnsi="Calibri Light" w:cs="Calibri Light"/>
          <w:sz w:val="20"/>
          <w:szCs w:val="20"/>
          <w:lang w:val="ro-RO"/>
        </w:rPr>
        <w:t xml:space="preserve">bazat pe servicii de tip </w:t>
      </w:r>
      <w:r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este când, la începutul aranjamentului</w:t>
      </w:r>
      <w:r w:rsidR="00210557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210557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c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lientul are dreptul contractual de a intra în posesia software-ului fără costuri semnificative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și</w:t>
      </w:r>
      <w:r w:rsidR="00210557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10557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e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ste fezabil pentru </w:t>
      </w:r>
      <w:r w:rsidR="00B20B48">
        <w:rPr>
          <w:rFonts w:ascii="Calibri Light" w:hAnsi="Calibri Light" w:cs="Calibri Light"/>
          <w:b/>
          <w:bCs/>
          <w:sz w:val="20"/>
          <w:szCs w:val="20"/>
          <w:lang w:val="ro-RO"/>
        </w:rPr>
        <w:t>companie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să ruleze software-ul pe propriul hardware sau să </w:t>
      </w:r>
      <w:r w:rsidR="00210557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încheie un contract 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cu o altă parte</w:t>
      </w:r>
      <w:r w:rsidR="00210557">
        <w:rPr>
          <w:rFonts w:ascii="Calibri Light" w:hAnsi="Calibri Light" w:cs="Calibri Light"/>
          <w:sz w:val="20"/>
          <w:szCs w:val="20"/>
          <w:lang w:val="ro-RO"/>
        </w:rPr>
        <w:t>,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independent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de furnizorul </w:t>
      </w:r>
      <w:r w:rsidR="00210557">
        <w:rPr>
          <w:rFonts w:ascii="Calibri Light" w:hAnsi="Calibri Light" w:cs="Calibri Light"/>
          <w:sz w:val="20"/>
          <w:szCs w:val="20"/>
          <w:lang w:val="ro-RO"/>
        </w:rPr>
        <w:t xml:space="preserve">serviciilor de tip </w:t>
      </w:r>
      <w:r w:rsidRPr="0023384F">
        <w:rPr>
          <w:rFonts w:ascii="Calibri Light" w:hAnsi="Calibri Light" w:cs="Calibri Light"/>
          <w:i/>
          <w:iCs/>
          <w:sz w:val="20"/>
          <w:szCs w:val="20"/>
          <w:u w:val="single"/>
          <w:lang w:val="ro-RO"/>
        </w:rPr>
        <w:t>cloud</w:t>
      </w:r>
      <w:r w:rsidR="00210557">
        <w:rPr>
          <w:rFonts w:ascii="Calibri Light" w:hAnsi="Calibri Light" w:cs="Calibri Light"/>
          <w:i/>
          <w:iCs/>
          <w:sz w:val="20"/>
          <w:szCs w:val="20"/>
          <w:u w:val="single"/>
          <w:lang w:val="ro-RO"/>
        </w:rPr>
        <w:t>,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pentru a găzdui software-ul achizi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ionat.</w:t>
      </w:r>
    </w:p>
    <w:p w14:paraId="41092B78" w14:textId="17D57350" w:rsidR="00B20B48" w:rsidRDefault="00B20B48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72B579EF" w14:textId="77777777" w:rsidR="00B20B48" w:rsidRPr="00A4626E" w:rsidRDefault="00B20B48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</w:p>
    <w:p w14:paraId="3C71E65B" w14:textId="1836464A" w:rsidR="00B95381" w:rsidRPr="00A4626E" w:rsidRDefault="00B95381" w:rsidP="00A4626E">
      <w:pPr>
        <w:spacing w:before="120" w:after="120" w:line="276" w:lineRule="auto"/>
        <w:jc w:val="both"/>
        <w:rPr>
          <w:rFonts w:ascii="Calibri Light" w:hAnsi="Calibri Light" w:cs="Calibri Light"/>
          <w:b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b/>
          <w:sz w:val="20"/>
          <w:szCs w:val="20"/>
          <w:lang w:val="ro-RO"/>
        </w:rPr>
        <w:lastRenderedPageBreak/>
        <w:t xml:space="preserve">Costuri de configurare </w:t>
      </w:r>
      <w:r w:rsidR="00EF4F69">
        <w:rPr>
          <w:rFonts w:ascii="Calibri Light" w:hAnsi="Calibri Light" w:cs="Calibri Light"/>
          <w:b/>
          <w:sz w:val="20"/>
          <w:szCs w:val="20"/>
          <w:lang w:val="ro-RO"/>
        </w:rPr>
        <w:t>ș</w:t>
      </w:r>
      <w:r w:rsidRPr="00A4626E">
        <w:rPr>
          <w:rFonts w:ascii="Calibri Light" w:hAnsi="Calibri Light" w:cs="Calibri Light"/>
          <w:b/>
          <w:sz w:val="20"/>
          <w:szCs w:val="20"/>
          <w:lang w:val="ro-RO"/>
        </w:rPr>
        <w:t>i de implementare</w:t>
      </w:r>
    </w:p>
    <w:p w14:paraId="7A3CE83D" w14:textId="79D3B72B" w:rsidR="00A85938" w:rsidRPr="00A4626E" w:rsidRDefault="00A85938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IFRIC a analizat în mod specific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modul în care </w:t>
      </w:r>
      <w:r w:rsidR="000A4E11" w:rsidRPr="00A4626E">
        <w:rPr>
          <w:rFonts w:ascii="Calibri Light" w:hAnsi="Calibri Light" w:cs="Calibri Light"/>
          <w:sz w:val="20"/>
          <w:szCs w:val="20"/>
          <w:lang w:val="ro-RO"/>
        </w:rPr>
        <w:t xml:space="preserve">o entitate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ar trebui s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ia în considerare costurile de configurare și personalizare suportate în implementarea acestor aranjamente de servicii (</w:t>
      </w:r>
      <w:r w:rsidRPr="00B20B48">
        <w:rPr>
          <w:rFonts w:ascii="Calibri Light" w:hAnsi="Calibri Light" w:cs="Calibri Light"/>
          <w:i/>
          <w:iCs/>
          <w:sz w:val="20"/>
          <w:szCs w:val="20"/>
          <w:lang w:val="ro-RO"/>
        </w:rPr>
        <w:t>SaaS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)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ș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i a concluzionat că aceste costuri ar </w:t>
      </w:r>
      <w:r w:rsidRPr="000A4E11">
        <w:rPr>
          <w:rFonts w:ascii="Calibri Light" w:hAnsi="Calibri Light" w:cs="Calibri Light"/>
          <w:sz w:val="20"/>
          <w:szCs w:val="20"/>
          <w:lang w:val="ro-RO"/>
        </w:rPr>
        <w:t xml:space="preserve">trebui </w:t>
      </w:r>
      <w:r w:rsidR="00EF4F69" w:rsidRPr="000A4E11">
        <w:rPr>
          <w:rFonts w:ascii="Calibri Light" w:hAnsi="Calibri Light" w:cs="Calibri Light"/>
          <w:sz w:val="20"/>
          <w:szCs w:val="20"/>
          <w:lang w:val="ro-RO"/>
        </w:rPr>
        <w:t>î</w:t>
      </w:r>
      <w:r w:rsidR="00AD4D5F" w:rsidRPr="000A4E11">
        <w:rPr>
          <w:rFonts w:ascii="Calibri Light" w:hAnsi="Calibri Light" w:cs="Calibri Light"/>
          <w:sz w:val="20"/>
          <w:szCs w:val="20"/>
          <w:lang w:val="ro-RO"/>
        </w:rPr>
        <w:t xml:space="preserve">nregistrate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în </w:t>
      </w:r>
      <w:r w:rsidR="00BA5509">
        <w:rPr>
          <w:rFonts w:ascii="Calibri Light" w:hAnsi="Calibri Light" w:cs="Calibri Light"/>
          <w:sz w:val="20"/>
          <w:szCs w:val="20"/>
          <w:lang w:val="ro-RO"/>
        </w:rPr>
        <w:t xml:space="preserve">cadrul cheltuielilor în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contabilitate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, cu excepția cazului în care sunt îndeplinite criteriile pentru recunoașterea unui activ separat.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3141524D" w14:textId="2EBCA4A4" w:rsidR="00A85938" w:rsidRPr="00A4626E" w:rsidRDefault="000A4E11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val="ro-RO"/>
        </w:rPr>
        <w:t xml:space="preserve">Se consideră că </w:t>
      </w:r>
      <w:r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o companie </w:t>
      </w:r>
      <w:r w:rsidR="00A85938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primește un bun software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 xml:space="preserve"> la data începerii contractului </w:t>
      </w:r>
      <w:r w:rsidR="00A85938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dacă contractul conține un contract de leasing software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 xml:space="preserve"> sau </w:t>
      </w:r>
      <w:r>
        <w:rPr>
          <w:rFonts w:ascii="Calibri Light" w:hAnsi="Calibri Light" w:cs="Calibri Light"/>
          <w:sz w:val="20"/>
          <w:szCs w:val="20"/>
          <w:lang w:val="ro-RO"/>
        </w:rPr>
        <w:t>compania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85938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>obține altfel controlul software-ului la data începerii contractului</w:t>
      </w:r>
      <w:r w:rsidR="00A85938" w:rsidRPr="00A4626E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</w:p>
    <w:p w14:paraId="789F11CA" w14:textId="0DDFC68F" w:rsidR="00B95381" w:rsidRPr="00A4626E" w:rsidRDefault="00B95381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Într-un acord </w:t>
      </w:r>
      <w:r w:rsidR="00EC6539">
        <w:rPr>
          <w:rFonts w:ascii="Calibri Light" w:hAnsi="Calibri Light" w:cs="Calibri Light"/>
          <w:sz w:val="20"/>
          <w:szCs w:val="20"/>
          <w:lang w:val="ro-RO"/>
        </w:rPr>
        <w:t xml:space="preserve">pentru servicii de tip </w:t>
      </w:r>
      <w:r w:rsidRPr="00B20B48">
        <w:rPr>
          <w:rFonts w:ascii="Calibri Light" w:hAnsi="Calibri Light" w:cs="Calibri Light"/>
          <w:i/>
          <w:iCs/>
          <w:sz w:val="20"/>
          <w:szCs w:val="20"/>
          <w:lang w:val="ro-RO"/>
        </w:rPr>
        <w:t>SaaS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, în care furnizorul controlează aplicația software la care are acces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compania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 xml:space="preserve">natura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ș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>i rezultatul configura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>iei sau personaliz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>rii efectuate st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au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 xml:space="preserve"> la baza evalu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>rii dacă configurarea sau personalizarea software-ul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ui</w:t>
      </w:r>
      <w:r w:rsidR="00F82205" w:rsidRPr="00A4626E">
        <w:rPr>
          <w:rFonts w:ascii="Calibri Light" w:hAnsi="Calibri Light" w:cs="Calibri Light"/>
          <w:sz w:val="20"/>
          <w:szCs w:val="20"/>
          <w:lang w:val="ro-RO"/>
        </w:rPr>
        <w:t xml:space="preserve"> are ca rezultat o imobilizare necorporală.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De multe ori,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compania</w:t>
      </w:r>
      <w:r w:rsidR="000A4E11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nu poate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recunoaște o imobilizare necorporală, deoarece nu controlează software-ul, iar acele activități de configurare sau personalizare 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a software-ului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nu creează o resursă controlată de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societate,</w:t>
      </w:r>
      <w:r w:rsidR="000A4E11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separat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de software-ul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de tip </w:t>
      </w:r>
      <w:r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î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 sine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.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</w:p>
    <w:p w14:paraId="097A5F55" w14:textId="7D19A9FA" w:rsidR="00A812C4" w:rsidRPr="00A4626E" w:rsidRDefault="00A812C4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Dacă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compania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nu 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poate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recunoaște o imobilizare necorporală în legătură cu configurarea sau personalizarea software-ului aplicației, ace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>a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sta recunoaște costurile ca o cheltuială atunci când primește serviciile de configurare sau personalizare în conformitate cu contractul între furnizor și societate. </w:t>
      </w:r>
    </w:p>
    <w:p w14:paraId="36A7F78D" w14:textId="17C5574D" w:rsidR="00B95381" w:rsidRPr="00A4626E" w:rsidRDefault="00644E3B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>
        <w:rPr>
          <w:rFonts w:ascii="Calibri Light" w:hAnsi="Calibri Light" w:cs="Calibri Light"/>
          <w:sz w:val="20"/>
          <w:szCs w:val="20"/>
          <w:lang w:val="ro-RO"/>
        </w:rPr>
        <w:t>Î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ns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, exist</w:t>
      </w:r>
      <w:r>
        <w:rPr>
          <w:rFonts w:ascii="Calibri Light" w:hAnsi="Calibri Light" w:cs="Calibri Light"/>
          <w:sz w:val="20"/>
          <w:szCs w:val="20"/>
          <w:lang w:val="ro-RO"/>
        </w:rPr>
        <w:t>ă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 situa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ii c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â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nd aceste configur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ri se pot capitaliza,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î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 func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ie de </w:t>
      </w:r>
      <w:r w:rsidR="00087C74" w:rsidRPr="00A4626E">
        <w:rPr>
          <w:rFonts w:ascii="Calibri Light" w:hAnsi="Calibri Light" w:cs="Calibri Light"/>
          <w:sz w:val="20"/>
          <w:szCs w:val="20"/>
          <w:lang w:val="ro-RO"/>
        </w:rPr>
        <w:t>rolul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0A4E11">
        <w:rPr>
          <w:rFonts w:ascii="Calibri Light" w:hAnsi="Calibri Light" w:cs="Calibri Light"/>
          <w:sz w:val="20"/>
          <w:szCs w:val="20"/>
          <w:lang w:val="ro-RO"/>
        </w:rPr>
        <w:t xml:space="preserve">acestora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ș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i locul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î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n care sunt f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cute</w:t>
      </w:r>
      <w:r w:rsidR="00AB0385" w:rsidRPr="00A4626E">
        <w:rPr>
          <w:rFonts w:ascii="Calibri Light" w:hAnsi="Calibri Light" w:cs="Calibri Light"/>
          <w:sz w:val="20"/>
          <w:szCs w:val="20"/>
          <w:lang w:val="ro-RO"/>
        </w:rPr>
        <w:t>.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>Unele societ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ăț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i aleg să-și păstreze o parte din software 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>conform modelului tradi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 xml:space="preserve">ional, </w:t>
      </w:r>
      <w:r>
        <w:rPr>
          <w:rFonts w:ascii="Calibri Light" w:hAnsi="Calibri Light" w:cs="Calibri Light"/>
          <w:sz w:val="20"/>
          <w:szCs w:val="20"/>
          <w:lang w:val="ro-RO"/>
        </w:rPr>
        <w:t>protejate de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propriu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l </w:t>
      </w:r>
      <w:r w:rsidR="00162F21" w:rsidRPr="00B20B48">
        <w:rPr>
          <w:rFonts w:ascii="Calibri Light" w:hAnsi="Calibri Light" w:cs="Calibri Light"/>
          <w:i/>
          <w:iCs/>
          <w:sz w:val="20"/>
          <w:szCs w:val="20"/>
          <w:lang w:val="ro-RO"/>
        </w:rPr>
        <w:t>firewall</w:t>
      </w:r>
      <w:r w:rsidR="00162F21" w:rsidRPr="00A4626E">
        <w:rPr>
          <w:rFonts w:ascii="Calibri Light" w:hAnsi="Calibri Light" w:cs="Calibri Light"/>
          <w:sz w:val="20"/>
          <w:szCs w:val="20"/>
          <w:lang w:val="ro-RO"/>
        </w:rPr>
        <w:t>,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 pentru a opera în combinație cu noile aplicații software din </w:t>
      </w:r>
      <w:r w:rsidR="00B95381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. Aceste aranjamente pot avea ca rezultat modificarea software-ului existent sau dezvoltarea unui nou software local pentru a crea funcționalități suplimentare pentru entitate și pentru a permite software-ului existent local să se conecteze cu aplicațiile software bazate pe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servicii de tip </w:t>
      </w:r>
      <w:r w:rsidR="00B95381"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>cloud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, adesea denumite </w:t>
      </w:r>
      <w:r w:rsidR="00B95381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module de </w:t>
      </w:r>
      <w:r w:rsidR="00B95381" w:rsidRPr="0023384F">
        <w:rPr>
          <w:rFonts w:ascii="Calibri Light" w:hAnsi="Calibri Light" w:cs="Calibri Light"/>
          <w:b/>
          <w:bCs/>
          <w:iCs/>
          <w:sz w:val="20"/>
          <w:szCs w:val="20"/>
          <w:lang w:val="ro-RO"/>
        </w:rPr>
        <w:t>tip</w:t>
      </w:r>
      <w:r w:rsidR="00B95381" w:rsidRPr="0023384F">
        <w:rPr>
          <w:rFonts w:ascii="Calibri Light" w:hAnsi="Calibri Light" w:cs="Calibri Light"/>
          <w:b/>
          <w:bCs/>
          <w:i/>
          <w:sz w:val="20"/>
          <w:szCs w:val="20"/>
          <w:lang w:val="ro-RO"/>
        </w:rPr>
        <w:t xml:space="preserve"> bridge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 sau </w:t>
      </w:r>
      <w:r w:rsidR="00EF4F69" w:rsidRPr="0023384F">
        <w:rPr>
          <w:rFonts w:ascii="Calibri Light" w:hAnsi="Calibri Light" w:cs="Calibri Light"/>
          <w:b/>
          <w:bCs/>
          <w:iCs/>
          <w:sz w:val="20"/>
          <w:szCs w:val="20"/>
          <w:lang w:val="ro-RO"/>
        </w:rPr>
        <w:t>i</w:t>
      </w:r>
      <w:r w:rsidR="00B95381" w:rsidRPr="0023384F">
        <w:rPr>
          <w:rFonts w:ascii="Calibri Light" w:hAnsi="Calibri Light" w:cs="Calibri Light"/>
          <w:b/>
          <w:bCs/>
          <w:iCs/>
          <w:sz w:val="20"/>
          <w:szCs w:val="20"/>
          <w:lang w:val="ro-RO"/>
        </w:rPr>
        <w:t>nterfețe de programare a aplicațiilor</w:t>
      </w:r>
      <w:r w:rsidR="00B95381" w:rsidRPr="0023384F">
        <w:rPr>
          <w:rFonts w:ascii="Calibri Light" w:hAnsi="Calibri Light" w:cs="Calibri Light"/>
          <w:b/>
          <w:bCs/>
          <w:sz w:val="20"/>
          <w:szCs w:val="20"/>
          <w:lang w:val="ro-RO"/>
        </w:rPr>
        <w:t xml:space="preserve"> (API)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.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Pentru a determina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 dacă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societa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t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ea trebuie 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 xml:space="preserve">să recunoască codul suplimentar ca imobilizare necorporală, entitatea evaluează dacă codul suplimentar îndeplinește definiția unei imobilizări necorporale și criteriile de recunoaștere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din Standardul International de Raportare Financiar </w:t>
      </w:r>
      <w:r w:rsidR="00B95381" w:rsidRPr="00A4626E">
        <w:rPr>
          <w:rFonts w:ascii="Calibri Light" w:hAnsi="Calibri Light" w:cs="Calibri Light"/>
          <w:sz w:val="20"/>
          <w:szCs w:val="20"/>
          <w:lang w:val="ro-RO"/>
        </w:rPr>
        <w:t>38 Imobilizări necorporale.</w:t>
      </w:r>
    </w:p>
    <w:p w14:paraId="56C4C4C8" w14:textId="2317B649" w:rsidR="00307829" w:rsidRPr="00A4626E" w:rsidRDefault="00F6768F" w:rsidP="0023384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  <w:lang w:val="ro-RO"/>
        </w:rPr>
        <w:t>O imobilizare necorporal</w:t>
      </w:r>
      <w:r w:rsidR="00F53C6E">
        <w:rPr>
          <w:rFonts w:ascii="Calibri Light" w:hAnsi="Calibri Light" w:cs="Calibri Light"/>
          <w:sz w:val="20"/>
          <w:szCs w:val="20"/>
          <w:lang w:val="ro-RO"/>
        </w:rPr>
        <w:t>ă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 este u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n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activ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non-monetar identificabil (definit ca resursă controlat</w:t>
      </w:r>
      <w:r w:rsidR="0087601A">
        <w:rPr>
          <w:rFonts w:ascii="Calibri Light" w:hAnsi="Calibri Light" w:cs="Calibri Light"/>
          <w:sz w:val="20"/>
          <w:szCs w:val="20"/>
          <w:lang w:val="ro-RO"/>
        </w:rPr>
        <w:t>ă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 de o entitate)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>
        <w:rPr>
          <w:rFonts w:ascii="Calibri Light" w:hAnsi="Calibri Light" w:cs="Calibri Light"/>
          <w:sz w:val="20"/>
          <w:szCs w:val="20"/>
          <w:lang w:val="ro-RO"/>
        </w:rPr>
        <w:t xml:space="preserve">care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nu are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substanță fizică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 xml:space="preserve">,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oferă puterea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de a obține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în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viitor beneficii economice</w:t>
      </w:r>
      <w:r w:rsidR="00780AB2">
        <w:rPr>
          <w:rFonts w:ascii="Calibri Light" w:hAnsi="Calibri Light" w:cs="Calibri Light"/>
          <w:sz w:val="20"/>
          <w:szCs w:val="20"/>
          <w:lang w:val="ro-RO"/>
        </w:rPr>
        <w:t>,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permite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restricționa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>rea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 accesul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>ui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 altor persoane la aceste beneficii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>și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 xml:space="preserve"> măsurarea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>costul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ui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307829" w:rsidRPr="00A4626E">
        <w:rPr>
          <w:rFonts w:ascii="Calibri Light" w:hAnsi="Calibri Light" w:cs="Calibri Light"/>
          <w:sz w:val="20"/>
          <w:szCs w:val="20"/>
          <w:lang w:val="ro-RO"/>
        </w:rPr>
        <w:t xml:space="preserve">activului </w:t>
      </w:r>
      <w:r w:rsidR="007355AF">
        <w:rPr>
          <w:rFonts w:ascii="Calibri Light" w:hAnsi="Calibri Light" w:cs="Calibri Light"/>
          <w:sz w:val="20"/>
          <w:szCs w:val="20"/>
          <w:lang w:val="ro-RO"/>
        </w:rPr>
        <w:t>cu acuratețe</w:t>
      </w:r>
      <w:r w:rsidR="00644E3B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55BE0C90" w14:textId="0598A519" w:rsidR="00AB139D" w:rsidRPr="00A4626E" w:rsidRDefault="00AB139D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b/>
          <w:sz w:val="20"/>
          <w:szCs w:val="20"/>
          <w:lang w:val="ro-RO"/>
        </w:rPr>
        <w:t>C</w:t>
      </w:r>
      <w:r w:rsidR="00A812C4" w:rsidRPr="00A4626E">
        <w:rPr>
          <w:rFonts w:ascii="Calibri Light" w:hAnsi="Calibri Light" w:cs="Calibri Light"/>
          <w:b/>
          <w:sz w:val="20"/>
          <w:szCs w:val="20"/>
          <w:lang w:val="ro-RO"/>
        </w:rPr>
        <w:t>oncluzie</w:t>
      </w:r>
    </w:p>
    <w:p w14:paraId="76F4DD55" w14:textId="39E5BCA3" w:rsidR="00A812C4" w:rsidRPr="00A4626E" w:rsidRDefault="00AB139D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>F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>iecare aranjament</w:t>
      </w:r>
      <w:r w:rsidR="00A812C4" w:rsidRPr="00B20B48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 SaaS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este unic. Analiza și determinarea tratamentului contabil adecvat a</w:t>
      </w:r>
      <w:r w:rsidR="0023378A">
        <w:rPr>
          <w:rFonts w:ascii="Calibri Light" w:hAnsi="Calibri Light" w:cs="Calibri Light"/>
          <w:sz w:val="20"/>
          <w:szCs w:val="20"/>
          <w:lang w:val="ro-RO"/>
        </w:rPr>
        <w:t>l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contractului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,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 xml:space="preserve">precum 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ș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i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costurile de personalizare suportate pentru punerea în aplicare a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acestuia,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necesit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o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analiz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semnificativă și adesea o înțelegerea profundă a anumitor aspecte tehnice ale </w:t>
      </w:r>
      <w:r w:rsidR="0067733A" w:rsidRPr="00A4626E">
        <w:rPr>
          <w:rFonts w:ascii="Calibri Light" w:hAnsi="Calibri Light" w:cs="Calibri Light"/>
          <w:sz w:val="20"/>
          <w:szCs w:val="20"/>
          <w:lang w:val="ro-RO"/>
        </w:rPr>
        <w:t>configurației</w:t>
      </w:r>
      <w:r w:rsidR="00DB3713" w:rsidRPr="00A4626E">
        <w:rPr>
          <w:rFonts w:ascii="Calibri Light" w:hAnsi="Calibri Light" w:cs="Calibri Light"/>
          <w:sz w:val="20"/>
          <w:szCs w:val="20"/>
          <w:lang w:val="ro-RO"/>
        </w:rPr>
        <w:t xml:space="preserve"> IT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. În general,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>departamentul financiar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nu v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a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putea lua această decizie </w:t>
      </w:r>
      <w:r w:rsidR="007277CF">
        <w:rPr>
          <w:rFonts w:ascii="Calibri Light" w:hAnsi="Calibri Light" w:cs="Calibri Light"/>
          <w:sz w:val="20"/>
          <w:szCs w:val="20"/>
          <w:lang w:val="ro-RO"/>
        </w:rPr>
        <w:t>fără a colabora cu alte departamentele din interiorul companiei</w:t>
      </w:r>
      <w:r w:rsidR="00EC6539">
        <w:rPr>
          <w:rFonts w:ascii="Calibri Light" w:hAnsi="Calibri Light" w:cs="Calibri Light"/>
          <w:sz w:val="20"/>
          <w:szCs w:val="20"/>
          <w:lang w:val="ro-RO"/>
        </w:rPr>
        <w:t xml:space="preserve">, precum </w:t>
      </w:r>
      <w:r w:rsidR="00973A01" w:rsidRPr="00A4626E">
        <w:rPr>
          <w:rFonts w:ascii="Calibri Light" w:hAnsi="Calibri Light" w:cs="Calibri Light"/>
          <w:sz w:val="20"/>
          <w:szCs w:val="20"/>
          <w:lang w:val="ro-RO"/>
        </w:rPr>
        <w:t xml:space="preserve">departamentul 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>IT</w:t>
      </w:r>
      <w:r w:rsidR="00EC6539">
        <w:rPr>
          <w:rFonts w:ascii="Calibri Light" w:hAnsi="Calibri Light" w:cs="Calibri Light"/>
          <w:sz w:val="20"/>
          <w:szCs w:val="20"/>
          <w:lang w:val="ro-RO"/>
        </w:rPr>
        <w:t>,</w:t>
      </w:r>
      <w:r w:rsidR="00A812C4" w:rsidRPr="00A4626E">
        <w:rPr>
          <w:rFonts w:ascii="Calibri Light" w:hAnsi="Calibri Light" w:cs="Calibri Light"/>
          <w:sz w:val="20"/>
          <w:szCs w:val="20"/>
          <w:lang w:val="ro-RO"/>
        </w:rPr>
        <w:t xml:space="preserve"> pentru a se asigura că toate informațiile sunt luate în considerare.</w:t>
      </w:r>
    </w:p>
    <w:p w14:paraId="2ADBEABC" w14:textId="2C68D548" w:rsidR="00A812C4" w:rsidRPr="00A4626E" w:rsidRDefault="00A812C4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  <w:lang w:val="ro-RO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O entitate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trebuie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să dezvolte și să aplice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,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în mod consecvent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,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o politică contabilă adecvată pentru costurile de configurare și personalizare suportate în implementarea acordurilor </w:t>
      </w:r>
      <w:r w:rsidRPr="00F53C6E">
        <w:rPr>
          <w:rFonts w:ascii="Calibri Light" w:hAnsi="Calibri Light" w:cs="Calibri Light"/>
          <w:i/>
          <w:iCs/>
          <w:sz w:val="20"/>
          <w:szCs w:val="20"/>
          <w:lang w:val="ro-RO"/>
        </w:rPr>
        <w:t>SaaS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 și să fie în măsură să explice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ra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ț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>ionamentel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e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făcute în aplicarea 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 xml:space="preserve">politicii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sale</w:t>
      </w:r>
      <w:r w:rsidR="00FF17EE" w:rsidRPr="00A4626E">
        <w:rPr>
          <w:rFonts w:ascii="Calibri Light" w:hAnsi="Calibri Light" w:cs="Calibri Light"/>
          <w:sz w:val="20"/>
          <w:szCs w:val="20"/>
          <w:lang w:val="ro-RO"/>
        </w:rPr>
        <w:t xml:space="preserve"> contabile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>.</w:t>
      </w:r>
    </w:p>
    <w:p w14:paraId="51C8F4A7" w14:textId="3D0BEB6F" w:rsidR="003A02B4" w:rsidRPr="00A4626E" w:rsidRDefault="00A812C4" w:rsidP="00A4626E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Privind în viitor, 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>este important</w:t>
      </w:r>
      <w:r w:rsidR="00EF4F69">
        <w:rPr>
          <w:rFonts w:ascii="Calibri Light" w:hAnsi="Calibri Light" w:cs="Calibri Light"/>
          <w:sz w:val="20"/>
          <w:szCs w:val="20"/>
          <w:lang w:val="ro-RO"/>
        </w:rPr>
        <w:t>ă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dezvoltarea unui cadru practic pentru a sprijini </w:t>
      </w:r>
      <w:r w:rsidR="002675C2" w:rsidRPr="00A4626E">
        <w:rPr>
          <w:rFonts w:ascii="Calibri Light" w:hAnsi="Calibri Light" w:cs="Calibri Light"/>
          <w:sz w:val="20"/>
          <w:szCs w:val="20"/>
          <w:lang w:val="ro-RO"/>
        </w:rPr>
        <w:t xml:space="preserve">societatea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în planificarea viitoarelor aranjamente </w:t>
      </w:r>
      <w:r w:rsidR="007277CF">
        <w:rPr>
          <w:rFonts w:ascii="Calibri Light" w:hAnsi="Calibri Light" w:cs="Calibri Light"/>
          <w:sz w:val="20"/>
          <w:szCs w:val="20"/>
          <w:lang w:val="ro-RO"/>
        </w:rPr>
        <w:t xml:space="preserve">pentru serviciile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de </w:t>
      </w:r>
      <w:r w:rsidR="007277CF">
        <w:rPr>
          <w:rFonts w:ascii="Calibri Light" w:hAnsi="Calibri Light" w:cs="Calibri Light"/>
          <w:sz w:val="20"/>
          <w:szCs w:val="20"/>
          <w:lang w:val="ro-RO"/>
        </w:rPr>
        <w:t xml:space="preserve">tip </w:t>
      </w:r>
      <w:r w:rsidRPr="0023384F">
        <w:rPr>
          <w:rFonts w:ascii="Calibri Light" w:hAnsi="Calibri Light" w:cs="Calibri Light"/>
          <w:i/>
          <w:iCs/>
          <w:sz w:val="20"/>
          <w:szCs w:val="20"/>
          <w:lang w:val="ro-RO"/>
        </w:rPr>
        <w:t xml:space="preserve">cloud </w:t>
      </w:r>
      <w:r w:rsidRPr="00A4626E">
        <w:rPr>
          <w:rFonts w:ascii="Calibri Light" w:hAnsi="Calibri Light" w:cs="Calibri Light"/>
          <w:sz w:val="20"/>
          <w:szCs w:val="20"/>
          <w:lang w:val="ro-RO"/>
        </w:rPr>
        <w:t xml:space="preserve">și aplicarea consecventă a </w:t>
      </w:r>
      <w:r w:rsidRPr="00C17E56">
        <w:rPr>
          <w:rFonts w:ascii="Calibri Light" w:hAnsi="Calibri Light" w:cs="Calibri Light"/>
          <w:sz w:val="20"/>
          <w:szCs w:val="20"/>
          <w:lang w:val="ro-RO"/>
        </w:rPr>
        <w:t>pol</w:t>
      </w:r>
      <w:r w:rsidRPr="0023384F">
        <w:rPr>
          <w:rFonts w:ascii="Calibri Light" w:hAnsi="Calibri Light" w:cs="Calibri Light"/>
          <w:sz w:val="20"/>
          <w:szCs w:val="20"/>
          <w:lang w:val="ro-RO"/>
        </w:rPr>
        <w:t>itici</w:t>
      </w:r>
      <w:r w:rsidR="00FB5CC2">
        <w:rPr>
          <w:rFonts w:ascii="Calibri Light" w:hAnsi="Calibri Light" w:cs="Calibri Light"/>
          <w:sz w:val="20"/>
          <w:szCs w:val="20"/>
          <w:lang w:val="ro-RO"/>
        </w:rPr>
        <w:t>i</w:t>
      </w:r>
      <w:r w:rsidRPr="0023384F">
        <w:rPr>
          <w:rFonts w:ascii="Calibri Light" w:hAnsi="Calibri Light" w:cs="Calibri Light"/>
          <w:sz w:val="20"/>
          <w:szCs w:val="20"/>
          <w:lang w:val="ro-RO"/>
        </w:rPr>
        <w:t xml:space="preserve"> sale contabile</w:t>
      </w:r>
      <w:r w:rsidR="002675C2" w:rsidRPr="0023384F">
        <w:rPr>
          <w:rFonts w:ascii="Calibri Light" w:hAnsi="Calibri Light" w:cs="Calibri Light"/>
          <w:sz w:val="20"/>
          <w:szCs w:val="20"/>
          <w:lang w:val="ro-RO"/>
        </w:rPr>
        <w:t>.</w:t>
      </w:r>
      <w:r w:rsidRPr="00A4626E">
        <w:rPr>
          <w:rFonts w:ascii="Calibri Light" w:hAnsi="Calibri Light" w:cs="Calibri Light"/>
          <w:sz w:val="20"/>
          <w:szCs w:val="20"/>
        </w:rPr>
        <w:t xml:space="preserve"> </w:t>
      </w:r>
    </w:p>
    <w:sectPr w:rsidR="003A02B4" w:rsidRPr="00A4626E" w:rsidSect="00A462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8C96" w14:textId="77777777" w:rsidR="005B5658" w:rsidRDefault="005B5658" w:rsidP="00CA3749">
      <w:pPr>
        <w:spacing w:after="0" w:line="240" w:lineRule="auto"/>
      </w:pPr>
      <w:r>
        <w:separator/>
      </w:r>
    </w:p>
  </w:endnote>
  <w:endnote w:type="continuationSeparator" w:id="0">
    <w:p w14:paraId="692E3468" w14:textId="77777777" w:rsidR="005B5658" w:rsidRDefault="005B5658" w:rsidP="00CA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AA51A" w14:textId="77777777" w:rsidR="005B5658" w:rsidRDefault="005B5658" w:rsidP="00CA3749">
      <w:pPr>
        <w:spacing w:after="0" w:line="240" w:lineRule="auto"/>
      </w:pPr>
      <w:r>
        <w:separator/>
      </w:r>
    </w:p>
  </w:footnote>
  <w:footnote w:type="continuationSeparator" w:id="0">
    <w:p w14:paraId="7FDAF79F" w14:textId="77777777" w:rsidR="005B5658" w:rsidRDefault="005B5658" w:rsidP="00CA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A8AF" w14:textId="12F3279A" w:rsidR="00A4626E" w:rsidRDefault="00A4626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42F39F" wp14:editId="56E4BC52">
          <wp:simplePos x="0" y="0"/>
          <wp:positionH relativeFrom="margin">
            <wp:posOffset>-336550</wp:posOffset>
          </wp:positionH>
          <wp:positionV relativeFrom="paragraph">
            <wp:posOffset>-285750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F5A"/>
    <w:multiLevelType w:val="hybridMultilevel"/>
    <w:tmpl w:val="A6348214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706"/>
    <w:multiLevelType w:val="hybridMultilevel"/>
    <w:tmpl w:val="4372D9AC"/>
    <w:lvl w:ilvl="0" w:tplc="9CA4C4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730F3"/>
    <w:multiLevelType w:val="hybridMultilevel"/>
    <w:tmpl w:val="17962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C7FA2"/>
    <w:multiLevelType w:val="hybridMultilevel"/>
    <w:tmpl w:val="6252800E"/>
    <w:lvl w:ilvl="0" w:tplc="CB10DCA0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10A"/>
    <w:multiLevelType w:val="hybridMultilevel"/>
    <w:tmpl w:val="EB8C1D24"/>
    <w:lvl w:ilvl="0" w:tplc="EBEA151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D55B9"/>
    <w:multiLevelType w:val="hybridMultilevel"/>
    <w:tmpl w:val="61D6AF8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76F8"/>
    <w:multiLevelType w:val="hybridMultilevel"/>
    <w:tmpl w:val="B206056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633E"/>
    <w:multiLevelType w:val="hybridMultilevel"/>
    <w:tmpl w:val="6F625E34"/>
    <w:lvl w:ilvl="0" w:tplc="67989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12579"/>
    <w:multiLevelType w:val="hybridMultilevel"/>
    <w:tmpl w:val="0BFE7C42"/>
    <w:lvl w:ilvl="0" w:tplc="67989A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77CC48D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6FB4"/>
    <w:multiLevelType w:val="hybridMultilevel"/>
    <w:tmpl w:val="D50CAF0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1708F"/>
    <w:multiLevelType w:val="hybridMultilevel"/>
    <w:tmpl w:val="4852CBCC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D14"/>
    <w:rsid w:val="000176E0"/>
    <w:rsid w:val="000236BB"/>
    <w:rsid w:val="0003435A"/>
    <w:rsid w:val="00043839"/>
    <w:rsid w:val="000458A3"/>
    <w:rsid w:val="00067679"/>
    <w:rsid w:val="00086311"/>
    <w:rsid w:val="00087C74"/>
    <w:rsid w:val="00096AA5"/>
    <w:rsid w:val="000970C2"/>
    <w:rsid w:val="000A19CE"/>
    <w:rsid w:val="000A4E11"/>
    <w:rsid w:val="000C5614"/>
    <w:rsid w:val="000D6C57"/>
    <w:rsid w:val="000E0983"/>
    <w:rsid w:val="000E2035"/>
    <w:rsid w:val="000E68AA"/>
    <w:rsid w:val="000E6CFA"/>
    <w:rsid w:val="000F0675"/>
    <w:rsid w:val="0010624E"/>
    <w:rsid w:val="00117167"/>
    <w:rsid w:val="00122F2D"/>
    <w:rsid w:val="0013455E"/>
    <w:rsid w:val="00137191"/>
    <w:rsid w:val="00147295"/>
    <w:rsid w:val="001601E6"/>
    <w:rsid w:val="00162F21"/>
    <w:rsid w:val="0017156A"/>
    <w:rsid w:val="0017420B"/>
    <w:rsid w:val="00192693"/>
    <w:rsid w:val="001A758D"/>
    <w:rsid w:val="001C2910"/>
    <w:rsid w:val="001D6057"/>
    <w:rsid w:val="001D6296"/>
    <w:rsid w:val="001E7E34"/>
    <w:rsid w:val="002040D0"/>
    <w:rsid w:val="002048D8"/>
    <w:rsid w:val="00210557"/>
    <w:rsid w:val="0022121D"/>
    <w:rsid w:val="0023378A"/>
    <w:rsid w:val="0023384F"/>
    <w:rsid w:val="00250B22"/>
    <w:rsid w:val="00263792"/>
    <w:rsid w:val="00263C17"/>
    <w:rsid w:val="00264158"/>
    <w:rsid w:val="002675C2"/>
    <w:rsid w:val="0027006C"/>
    <w:rsid w:val="00270BAB"/>
    <w:rsid w:val="002A02CE"/>
    <w:rsid w:val="002A1303"/>
    <w:rsid w:val="002B4BE2"/>
    <w:rsid w:val="002D2EB1"/>
    <w:rsid w:val="002E33E3"/>
    <w:rsid w:val="002F5FF3"/>
    <w:rsid w:val="00307829"/>
    <w:rsid w:val="00314FB8"/>
    <w:rsid w:val="003162F5"/>
    <w:rsid w:val="0033135B"/>
    <w:rsid w:val="00336ECA"/>
    <w:rsid w:val="0034359D"/>
    <w:rsid w:val="0034511D"/>
    <w:rsid w:val="00345E71"/>
    <w:rsid w:val="003479BF"/>
    <w:rsid w:val="003720B2"/>
    <w:rsid w:val="0038001F"/>
    <w:rsid w:val="00392559"/>
    <w:rsid w:val="003A02B4"/>
    <w:rsid w:val="003A4CDB"/>
    <w:rsid w:val="003A7FF4"/>
    <w:rsid w:val="003D4257"/>
    <w:rsid w:val="003D7BC4"/>
    <w:rsid w:val="003E5BF7"/>
    <w:rsid w:val="003F38F0"/>
    <w:rsid w:val="00400C5A"/>
    <w:rsid w:val="004076A9"/>
    <w:rsid w:val="00420FA8"/>
    <w:rsid w:val="00452EDA"/>
    <w:rsid w:val="004629B3"/>
    <w:rsid w:val="00473D51"/>
    <w:rsid w:val="00495B7E"/>
    <w:rsid w:val="004B0010"/>
    <w:rsid w:val="004C3C40"/>
    <w:rsid w:val="004D5ADD"/>
    <w:rsid w:val="004D5F5F"/>
    <w:rsid w:val="004E12AC"/>
    <w:rsid w:val="004F35F6"/>
    <w:rsid w:val="004F5040"/>
    <w:rsid w:val="00516083"/>
    <w:rsid w:val="00525CF7"/>
    <w:rsid w:val="00560BEE"/>
    <w:rsid w:val="005624DC"/>
    <w:rsid w:val="005628ED"/>
    <w:rsid w:val="00572222"/>
    <w:rsid w:val="0058580D"/>
    <w:rsid w:val="00592493"/>
    <w:rsid w:val="00596CC1"/>
    <w:rsid w:val="005B14F7"/>
    <w:rsid w:val="005B5658"/>
    <w:rsid w:val="005D41C9"/>
    <w:rsid w:val="005E3B09"/>
    <w:rsid w:val="005F081E"/>
    <w:rsid w:val="00620677"/>
    <w:rsid w:val="00635F8F"/>
    <w:rsid w:val="00644E3B"/>
    <w:rsid w:val="006634AB"/>
    <w:rsid w:val="00664986"/>
    <w:rsid w:val="0067733A"/>
    <w:rsid w:val="00690E9A"/>
    <w:rsid w:val="00697F4A"/>
    <w:rsid w:val="006B5564"/>
    <w:rsid w:val="006B5DD3"/>
    <w:rsid w:val="006D0C26"/>
    <w:rsid w:val="006F5975"/>
    <w:rsid w:val="0070789A"/>
    <w:rsid w:val="00715708"/>
    <w:rsid w:val="007176DA"/>
    <w:rsid w:val="007277CF"/>
    <w:rsid w:val="007355AF"/>
    <w:rsid w:val="007707D0"/>
    <w:rsid w:val="007743A3"/>
    <w:rsid w:val="00780AB2"/>
    <w:rsid w:val="00782908"/>
    <w:rsid w:val="0078767B"/>
    <w:rsid w:val="00792556"/>
    <w:rsid w:val="007B2F95"/>
    <w:rsid w:val="007C02D4"/>
    <w:rsid w:val="007D00B0"/>
    <w:rsid w:val="007D61E4"/>
    <w:rsid w:val="007E3A2B"/>
    <w:rsid w:val="007E7914"/>
    <w:rsid w:val="00807772"/>
    <w:rsid w:val="00810CF5"/>
    <w:rsid w:val="00821D14"/>
    <w:rsid w:val="008221F1"/>
    <w:rsid w:val="008268ED"/>
    <w:rsid w:val="008301DD"/>
    <w:rsid w:val="00836029"/>
    <w:rsid w:val="00844D60"/>
    <w:rsid w:val="00847DCE"/>
    <w:rsid w:val="0087601A"/>
    <w:rsid w:val="00877DF9"/>
    <w:rsid w:val="008819CB"/>
    <w:rsid w:val="00882D19"/>
    <w:rsid w:val="00896681"/>
    <w:rsid w:val="00896723"/>
    <w:rsid w:val="0089795E"/>
    <w:rsid w:val="008A6A98"/>
    <w:rsid w:val="008C1E6A"/>
    <w:rsid w:val="008D5633"/>
    <w:rsid w:val="008E5096"/>
    <w:rsid w:val="008E5A41"/>
    <w:rsid w:val="00904D2B"/>
    <w:rsid w:val="00915B21"/>
    <w:rsid w:val="0092445C"/>
    <w:rsid w:val="00931062"/>
    <w:rsid w:val="00931805"/>
    <w:rsid w:val="009444EF"/>
    <w:rsid w:val="00973A01"/>
    <w:rsid w:val="00981365"/>
    <w:rsid w:val="00986823"/>
    <w:rsid w:val="00997FCD"/>
    <w:rsid w:val="009A182C"/>
    <w:rsid w:val="009C0FA5"/>
    <w:rsid w:val="009D485B"/>
    <w:rsid w:val="00A247D2"/>
    <w:rsid w:val="00A26F24"/>
    <w:rsid w:val="00A34916"/>
    <w:rsid w:val="00A4626E"/>
    <w:rsid w:val="00A812C4"/>
    <w:rsid w:val="00A85938"/>
    <w:rsid w:val="00AB0385"/>
    <w:rsid w:val="00AB139D"/>
    <w:rsid w:val="00AB2037"/>
    <w:rsid w:val="00AC28F2"/>
    <w:rsid w:val="00AD4D5F"/>
    <w:rsid w:val="00AE09B9"/>
    <w:rsid w:val="00AE31B3"/>
    <w:rsid w:val="00AF03AE"/>
    <w:rsid w:val="00B04344"/>
    <w:rsid w:val="00B10E17"/>
    <w:rsid w:val="00B20B48"/>
    <w:rsid w:val="00B20D21"/>
    <w:rsid w:val="00B2259B"/>
    <w:rsid w:val="00B3190F"/>
    <w:rsid w:val="00B344B4"/>
    <w:rsid w:val="00B34BDA"/>
    <w:rsid w:val="00B43080"/>
    <w:rsid w:val="00B51C76"/>
    <w:rsid w:val="00B75868"/>
    <w:rsid w:val="00B82055"/>
    <w:rsid w:val="00B85F1E"/>
    <w:rsid w:val="00B93E9E"/>
    <w:rsid w:val="00B95381"/>
    <w:rsid w:val="00BA24F8"/>
    <w:rsid w:val="00BA5509"/>
    <w:rsid w:val="00BB09A3"/>
    <w:rsid w:val="00BC78E3"/>
    <w:rsid w:val="00BE08A8"/>
    <w:rsid w:val="00BE67D8"/>
    <w:rsid w:val="00BE7190"/>
    <w:rsid w:val="00BE76A1"/>
    <w:rsid w:val="00BF753A"/>
    <w:rsid w:val="00C06329"/>
    <w:rsid w:val="00C07F12"/>
    <w:rsid w:val="00C12431"/>
    <w:rsid w:val="00C15983"/>
    <w:rsid w:val="00C17E56"/>
    <w:rsid w:val="00C36DCE"/>
    <w:rsid w:val="00C63E3D"/>
    <w:rsid w:val="00C76ED9"/>
    <w:rsid w:val="00C86F3E"/>
    <w:rsid w:val="00C87385"/>
    <w:rsid w:val="00C975BF"/>
    <w:rsid w:val="00CA3749"/>
    <w:rsid w:val="00CB590F"/>
    <w:rsid w:val="00CE4AE3"/>
    <w:rsid w:val="00CF36C3"/>
    <w:rsid w:val="00D04B3E"/>
    <w:rsid w:val="00D135F5"/>
    <w:rsid w:val="00D45FDD"/>
    <w:rsid w:val="00D468C0"/>
    <w:rsid w:val="00D66BC9"/>
    <w:rsid w:val="00D85E95"/>
    <w:rsid w:val="00D9438D"/>
    <w:rsid w:val="00DA1B36"/>
    <w:rsid w:val="00DA53FD"/>
    <w:rsid w:val="00DB3713"/>
    <w:rsid w:val="00DF72C1"/>
    <w:rsid w:val="00E30EB7"/>
    <w:rsid w:val="00E44B88"/>
    <w:rsid w:val="00E531F8"/>
    <w:rsid w:val="00E746B4"/>
    <w:rsid w:val="00E74A53"/>
    <w:rsid w:val="00E74D61"/>
    <w:rsid w:val="00E76633"/>
    <w:rsid w:val="00E7725B"/>
    <w:rsid w:val="00E82BB8"/>
    <w:rsid w:val="00E86358"/>
    <w:rsid w:val="00EA0DB0"/>
    <w:rsid w:val="00EA37C9"/>
    <w:rsid w:val="00EA5C91"/>
    <w:rsid w:val="00EB2953"/>
    <w:rsid w:val="00EC6539"/>
    <w:rsid w:val="00EC7BC6"/>
    <w:rsid w:val="00EE091E"/>
    <w:rsid w:val="00EE67ED"/>
    <w:rsid w:val="00EF1897"/>
    <w:rsid w:val="00EF1B82"/>
    <w:rsid w:val="00EF2B4C"/>
    <w:rsid w:val="00EF4F69"/>
    <w:rsid w:val="00F12616"/>
    <w:rsid w:val="00F14DEC"/>
    <w:rsid w:val="00F24645"/>
    <w:rsid w:val="00F24A69"/>
    <w:rsid w:val="00F30022"/>
    <w:rsid w:val="00F3471C"/>
    <w:rsid w:val="00F40CD0"/>
    <w:rsid w:val="00F53C6E"/>
    <w:rsid w:val="00F62BE5"/>
    <w:rsid w:val="00F6768F"/>
    <w:rsid w:val="00F67EBC"/>
    <w:rsid w:val="00F82205"/>
    <w:rsid w:val="00F8276F"/>
    <w:rsid w:val="00F900D7"/>
    <w:rsid w:val="00FA53B1"/>
    <w:rsid w:val="00FB5CC2"/>
    <w:rsid w:val="00FC2439"/>
    <w:rsid w:val="00FE473F"/>
    <w:rsid w:val="00FF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49312"/>
  <w15:chartTrackingRefBased/>
  <w15:docId w15:val="{6EFA70BE-F566-4FF9-9A33-3EA5F9B2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2B4"/>
    <w:pPr>
      <w:spacing w:after="200" w:line="276" w:lineRule="auto"/>
      <w:ind w:left="720"/>
      <w:contextualSpacing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3A02B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0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4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26E"/>
  </w:style>
  <w:style w:type="paragraph" w:styleId="Footer">
    <w:name w:val="footer"/>
    <w:basedOn w:val="Normal"/>
    <w:link w:val="FooterChar"/>
    <w:uiPriority w:val="99"/>
    <w:unhideWhenUsed/>
    <w:rsid w:val="00A46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26E"/>
  </w:style>
  <w:style w:type="character" w:styleId="CommentReference">
    <w:name w:val="annotation reference"/>
    <w:basedOn w:val="DefaultParagraphFont"/>
    <w:uiPriority w:val="99"/>
    <w:semiHidden/>
    <w:unhideWhenUsed/>
    <w:rsid w:val="00A4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26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2E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deloitte.com/ro/en/pages/audit/articles/assurance.html?icid=top_assur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2B99E-E7D8-46A0-A54F-C32B11B0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Dimitriu, Corina</dc:creator>
  <cp:keywords/>
  <dc:description/>
  <cp:lastModifiedBy>Marcu, Cristina</cp:lastModifiedBy>
  <cp:revision>9</cp:revision>
  <cp:lastPrinted>2021-11-12T06:50:00Z</cp:lastPrinted>
  <dcterms:created xsi:type="dcterms:W3CDTF">2021-11-18T09:35:00Z</dcterms:created>
  <dcterms:modified xsi:type="dcterms:W3CDTF">2021-11-23T08:39:00Z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2021-09-30T19:48:50Z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b079cf64-6ede-4f65-b0bf-050f534b5a69</vt:lpwstr>
  </property>
  <property fmtid="{D5CDD505-2E9C-101B-9397-08002B2CF9AE}" pid="8" name="MSIP_Label_ea60d57e-af5b-4752-ac57-3e4f28ca11dc_ContentBits">
    <vt:lpwstr>0</vt:lpwstr>
  </property>
</Properties>
</file>