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6B0B"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NOTĂ DE FUNDAMENTARE</w:t>
      </w:r>
    </w:p>
    <w:p w14:paraId="15757CBC" w14:textId="77777777" w:rsidR="00CF58B1" w:rsidRPr="000C4361" w:rsidRDefault="00CF58B1">
      <w:pPr>
        <w:tabs>
          <w:tab w:val="left" w:pos="3960"/>
        </w:tabs>
        <w:spacing w:after="0" w:line="240" w:lineRule="auto"/>
        <w:jc w:val="center"/>
        <w:rPr>
          <w:rFonts w:ascii="Times New Roman" w:hAnsi="Times New Roman" w:cs="Times New Roman"/>
          <w:b/>
          <w:bCs/>
          <w:sz w:val="24"/>
          <w:szCs w:val="24"/>
        </w:rPr>
      </w:pPr>
    </w:p>
    <w:p w14:paraId="573EF5F6" w14:textId="77777777" w:rsidR="00CF58B1" w:rsidRPr="000C4361" w:rsidRDefault="00CF58B1">
      <w:pPr>
        <w:tabs>
          <w:tab w:val="left" w:pos="3960"/>
        </w:tabs>
        <w:spacing w:after="0" w:line="240" w:lineRule="auto"/>
        <w:jc w:val="center"/>
        <w:rPr>
          <w:rFonts w:ascii="Times New Roman" w:hAnsi="Times New Roman" w:cs="Times New Roman"/>
          <w:b/>
          <w:bCs/>
          <w:sz w:val="24"/>
          <w:szCs w:val="24"/>
          <w:u w:val="single"/>
        </w:rPr>
      </w:pPr>
    </w:p>
    <w:tbl>
      <w:tblPr>
        <w:tblW w:w="509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5"/>
        <w:gridCol w:w="1512"/>
        <w:gridCol w:w="626"/>
        <w:gridCol w:w="541"/>
        <w:gridCol w:w="549"/>
        <w:gridCol w:w="542"/>
        <w:gridCol w:w="61"/>
        <w:gridCol w:w="1625"/>
      </w:tblGrid>
      <w:tr w:rsidR="000C4361" w:rsidRPr="000C4361" w14:paraId="662F7C30"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256ECB04" w14:textId="77777777" w:rsidR="00CF58B1" w:rsidRPr="000C4361" w:rsidRDefault="004D784F">
            <w:pPr>
              <w:pStyle w:val="NoSpacing"/>
              <w:jc w:val="center"/>
              <w:rPr>
                <w:rFonts w:ascii="Times New Roman" w:hAnsi="Times New Roman" w:cs="Times New Roman"/>
                <w:b/>
                <w:sz w:val="24"/>
                <w:szCs w:val="24"/>
                <w:lang w:val="ro-RO"/>
              </w:rPr>
            </w:pPr>
            <w:r w:rsidRPr="000C4361">
              <w:rPr>
                <w:rFonts w:ascii="Times New Roman" w:hAnsi="Times New Roman" w:cs="Times New Roman"/>
                <w:b/>
                <w:sz w:val="24"/>
                <w:szCs w:val="24"/>
                <w:lang w:val="ro-RO"/>
              </w:rPr>
              <w:t>Secţiunea 1</w:t>
            </w:r>
          </w:p>
          <w:p w14:paraId="266F1A78" w14:textId="77777777" w:rsidR="00CF58B1" w:rsidRPr="000C4361" w:rsidRDefault="004D784F">
            <w:pPr>
              <w:pStyle w:val="NoSpacing"/>
              <w:jc w:val="center"/>
              <w:rPr>
                <w:rFonts w:ascii="Times New Roman" w:hAnsi="Times New Roman" w:cs="Times New Roman"/>
                <w:b/>
                <w:sz w:val="24"/>
                <w:szCs w:val="24"/>
                <w:lang w:val="ro-RO"/>
              </w:rPr>
            </w:pPr>
            <w:r w:rsidRPr="000C4361">
              <w:rPr>
                <w:rFonts w:ascii="Times New Roman" w:hAnsi="Times New Roman" w:cs="Times New Roman"/>
                <w:b/>
                <w:sz w:val="24"/>
                <w:szCs w:val="24"/>
                <w:lang w:val="ro-RO"/>
              </w:rPr>
              <w:t xml:space="preserve">    Titlul prezentului proiect de act normativ</w:t>
            </w:r>
          </w:p>
          <w:p w14:paraId="1CC1DF88" w14:textId="77777777" w:rsidR="00CF58B1" w:rsidRPr="000C4361" w:rsidRDefault="004D784F">
            <w:pPr>
              <w:pStyle w:val="NoSpacing"/>
              <w:jc w:val="center"/>
              <w:rPr>
                <w:rFonts w:ascii="Times New Roman" w:hAnsi="Times New Roman" w:cs="Times New Roman"/>
                <w:b/>
                <w:sz w:val="24"/>
                <w:szCs w:val="24"/>
                <w:lang w:val="ro-RO"/>
              </w:rPr>
            </w:pPr>
            <w:r w:rsidRPr="000C4361">
              <w:rPr>
                <w:rFonts w:ascii="Times New Roman" w:hAnsi="Times New Roman" w:cs="Times New Roman"/>
                <w:b/>
                <w:sz w:val="24"/>
                <w:szCs w:val="24"/>
                <w:lang w:val="ro-RO"/>
              </w:rPr>
              <w:t>HOTĂRÂRE</w:t>
            </w:r>
          </w:p>
          <w:p w14:paraId="796D0396" w14:textId="22F06E2B" w:rsidR="00CF58B1" w:rsidRPr="000C4361" w:rsidRDefault="002A056A" w:rsidP="00810FCA">
            <w:pPr>
              <w:spacing w:after="0" w:line="240" w:lineRule="auto"/>
              <w:jc w:val="center"/>
              <w:rPr>
                <w:rFonts w:ascii="Times New Roman" w:hAnsi="Times New Roman" w:cs="Times New Roman"/>
                <w:sz w:val="24"/>
                <w:szCs w:val="24"/>
              </w:rPr>
            </w:pPr>
            <w:r w:rsidRPr="000C4361">
              <w:rPr>
                <w:rFonts w:ascii="Times New Roman" w:hAnsi="Times New Roman" w:cs="Times New Roman"/>
                <w:b/>
                <w:sz w:val="24"/>
                <w:szCs w:val="24"/>
              </w:rPr>
              <w:t xml:space="preserve">pentru </w:t>
            </w:r>
            <w:r w:rsidR="00810FCA" w:rsidRPr="000C4361">
              <w:rPr>
                <w:rFonts w:ascii="Times New Roman" w:hAnsi="Times New Roman" w:cs="Times New Roman"/>
                <w:b/>
                <w:sz w:val="24"/>
                <w:szCs w:val="24"/>
              </w:rPr>
              <w:t>completarea</w:t>
            </w:r>
            <w:r w:rsidR="008B37D7" w:rsidRPr="000C4361">
              <w:rPr>
                <w:rFonts w:ascii="Times New Roman" w:hAnsi="Times New Roman" w:cs="Times New Roman"/>
                <w:b/>
                <w:sz w:val="24"/>
                <w:szCs w:val="24"/>
              </w:rPr>
              <w:t xml:space="preserve"> </w:t>
            </w:r>
            <w:r w:rsidR="00724EDD" w:rsidRPr="000C4361">
              <w:rPr>
                <w:rFonts w:ascii="Times New Roman" w:hAnsi="Times New Roman" w:cs="Times New Roman"/>
                <w:b/>
                <w:sz w:val="24"/>
                <w:szCs w:val="24"/>
              </w:rPr>
              <w:t>Hotărârii</w:t>
            </w:r>
            <w:r w:rsidR="004D784F" w:rsidRPr="000C4361">
              <w:rPr>
                <w:rFonts w:ascii="Times New Roman" w:hAnsi="Times New Roman" w:cs="Times New Roman"/>
                <w:b/>
                <w:sz w:val="24"/>
                <w:szCs w:val="24"/>
              </w:rPr>
              <w:t xml:space="preserve"> Guvernului nr. 1031/2020 privind aprobarea Strategiei de vaccinar</w:t>
            </w:r>
            <w:r w:rsidR="00D13784" w:rsidRPr="000C4361">
              <w:rPr>
                <w:rFonts w:ascii="Times New Roman" w:hAnsi="Times New Roman" w:cs="Times New Roman"/>
                <w:b/>
                <w:sz w:val="24"/>
                <w:szCs w:val="24"/>
              </w:rPr>
              <w:t>e împotriva COVID-19 în România</w:t>
            </w:r>
          </w:p>
        </w:tc>
      </w:tr>
      <w:tr w:rsidR="000C4361" w:rsidRPr="000C4361" w14:paraId="5A0F764D" w14:textId="77777777" w:rsidTr="009D7F76">
        <w:trPr>
          <w:trHeight w:val="566"/>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46BC3074" w14:textId="77777777" w:rsidR="00CF58B1" w:rsidRPr="000C4361" w:rsidRDefault="00CF58B1">
            <w:pPr>
              <w:pStyle w:val="NoSpacing"/>
              <w:jc w:val="center"/>
              <w:rPr>
                <w:rFonts w:ascii="Times New Roman" w:hAnsi="Times New Roman" w:cs="Times New Roman"/>
                <w:b/>
                <w:sz w:val="24"/>
                <w:szCs w:val="24"/>
                <w:lang w:val="ro-RO"/>
              </w:rPr>
            </w:pPr>
          </w:p>
          <w:p w14:paraId="3C9BA503" w14:textId="77777777" w:rsidR="00CF58B1" w:rsidRPr="000C4361" w:rsidRDefault="004D784F">
            <w:pPr>
              <w:pStyle w:val="NoSpacing"/>
              <w:jc w:val="center"/>
              <w:rPr>
                <w:rFonts w:ascii="Times New Roman" w:hAnsi="Times New Roman" w:cs="Times New Roman"/>
                <w:b/>
                <w:sz w:val="24"/>
                <w:szCs w:val="24"/>
                <w:lang w:val="ro-RO"/>
              </w:rPr>
            </w:pPr>
            <w:r w:rsidRPr="000C4361">
              <w:rPr>
                <w:rFonts w:ascii="Times New Roman" w:hAnsi="Times New Roman" w:cs="Times New Roman"/>
                <w:b/>
                <w:sz w:val="24"/>
                <w:szCs w:val="24"/>
                <w:lang w:val="ro-RO"/>
              </w:rPr>
              <w:t>Secţiunea a 2 – a Motivul emiterii actului normativ</w:t>
            </w:r>
          </w:p>
          <w:p w14:paraId="74BB8CA4" w14:textId="6258353F" w:rsidR="00CF58B1" w:rsidRPr="000C4361" w:rsidRDefault="004D784F" w:rsidP="00D64C34">
            <w:pPr>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Contextul generat de dinamica evoluţiei situaţiei epidemiologice naţionale, dar şi internaţionale, determinată de răspândirea coronavirusului SARS-CoV-2, interesul public general, impune adoptarea unor noi măsuri care să permită asigurarea accesului la vaccinarea împotriva COVID-19 în condiţii de siguranţă, eficacitate şi echitate pentru prevenirea infecţiei cu SARS-CoV-2 şi limitare</w:t>
            </w:r>
            <w:r w:rsidR="00D64C34">
              <w:rPr>
                <w:rFonts w:ascii="Times New Roman" w:hAnsi="Times New Roman" w:cs="Times New Roman"/>
                <w:sz w:val="24"/>
                <w:szCs w:val="24"/>
              </w:rPr>
              <w:t>a pandemiei COVID-19 în România.</w:t>
            </w:r>
            <w:r w:rsidRPr="000C4361">
              <w:rPr>
                <w:rFonts w:ascii="Times New Roman" w:hAnsi="Times New Roman" w:cs="Times New Roman"/>
                <w:sz w:val="24"/>
                <w:szCs w:val="24"/>
              </w:rPr>
              <w:t xml:space="preserve">             </w:t>
            </w:r>
          </w:p>
        </w:tc>
      </w:tr>
      <w:tr w:rsidR="000C4361" w:rsidRPr="000C4361" w14:paraId="608AD879" w14:textId="77777777" w:rsidTr="009D7F76">
        <w:trPr>
          <w:trHeight w:val="62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1E3A4928" w14:textId="77777777" w:rsidR="00CF58B1" w:rsidRPr="000C4361" w:rsidRDefault="004D784F">
            <w:pPr>
              <w:pStyle w:val="ListParagraph"/>
              <w:tabs>
                <w:tab w:val="left" w:pos="3960"/>
              </w:tabs>
              <w:spacing w:after="0" w:line="240" w:lineRule="auto"/>
              <w:ind w:left="0"/>
              <w:jc w:val="both"/>
              <w:rPr>
                <w:rFonts w:ascii="Times New Roman" w:hAnsi="Times New Roman" w:cs="Times New Roman"/>
                <w:b/>
                <w:bCs/>
                <w:sz w:val="24"/>
                <w:szCs w:val="24"/>
              </w:rPr>
            </w:pPr>
            <w:r w:rsidRPr="000C4361">
              <w:rPr>
                <w:rFonts w:ascii="Times New Roman" w:hAnsi="Times New Roman" w:cs="Times New Roman"/>
                <w:b/>
                <w:bCs/>
                <w:sz w:val="24"/>
                <w:szCs w:val="24"/>
              </w:rPr>
              <w:t>1. Descrierea situaţiei actuale</w:t>
            </w:r>
          </w:p>
          <w:p w14:paraId="754D5278" w14:textId="1FA44857" w:rsidR="00CF58B1" w:rsidRPr="000C4361" w:rsidRDefault="004D784F">
            <w:pPr>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 xml:space="preserve">Prin Hotărârea Guvernului nr. 1031/2020 a fost aprobată Strategia de vaccinare împotriva COVID-19 în România. </w:t>
            </w:r>
          </w:p>
          <w:p w14:paraId="69F12BD2" w14:textId="7C77E5AD" w:rsidR="00CF58B1" w:rsidRPr="000C4361" w:rsidRDefault="004D784F">
            <w:pPr>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Prin actul normativ au fost stabilite grupele populaționale pentru</w:t>
            </w:r>
            <w:r w:rsidR="0072568F" w:rsidRPr="000C4361">
              <w:rPr>
                <w:rFonts w:ascii="Times New Roman" w:hAnsi="Times New Roman" w:cs="Times New Roman"/>
                <w:sz w:val="24"/>
                <w:szCs w:val="24"/>
              </w:rPr>
              <w:t xml:space="preserve"> vaccinarea împotriva COVID-19</w:t>
            </w:r>
            <w:r w:rsidRPr="000C4361">
              <w:rPr>
                <w:rFonts w:ascii="Times New Roman" w:hAnsi="Times New Roman" w:cs="Times New Roman"/>
                <w:sz w:val="24"/>
                <w:szCs w:val="24"/>
              </w:rPr>
              <w:t>.</w:t>
            </w:r>
          </w:p>
          <w:p w14:paraId="642AFF23" w14:textId="118474F3" w:rsidR="00CF58B1" w:rsidRPr="000C4361" w:rsidRDefault="004D784F" w:rsidP="004022A4">
            <w:pPr>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Prin prezentu</w:t>
            </w:r>
            <w:r w:rsidR="004022A4" w:rsidRPr="000C4361">
              <w:rPr>
                <w:rFonts w:ascii="Times New Roman" w:hAnsi="Times New Roman" w:cs="Times New Roman"/>
                <w:sz w:val="24"/>
                <w:szCs w:val="24"/>
              </w:rPr>
              <w:t xml:space="preserve">l act normativ se propune </w:t>
            </w:r>
            <w:r w:rsidR="00835B80" w:rsidRPr="000C4361">
              <w:rPr>
                <w:rFonts w:ascii="Times New Roman" w:hAnsi="Times New Roman" w:cs="Times New Roman"/>
                <w:sz w:val="24"/>
                <w:szCs w:val="24"/>
              </w:rPr>
              <w:t xml:space="preserve">asigurarea continuității activității de vaccinare împotriva COVID-19 în condiţii de siguranţă, eficacitate şi echitate pentru prevenirea infecţiei cu SARS-CoV-2 şi limitarea pandemiei COVID-19 în România cu stabilirea țintelor pentru anii 2022 – 2023. </w:t>
            </w:r>
          </w:p>
        </w:tc>
      </w:tr>
      <w:tr w:rsidR="000C4361" w:rsidRPr="000C4361" w14:paraId="4A524C0F"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499F9656" w14:textId="0B0D992B"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b/>
                <w:sz w:val="24"/>
                <w:szCs w:val="24"/>
              </w:rPr>
              <w:t>2. Schimbări preconizate</w:t>
            </w:r>
          </w:p>
          <w:p w14:paraId="48540ABB" w14:textId="4E7F9EF8" w:rsidR="00835B80" w:rsidRPr="000C4361" w:rsidRDefault="004D784F">
            <w:pPr>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 xml:space="preserve">Prin acest act normativ, </w:t>
            </w:r>
            <w:r w:rsidR="00835B80" w:rsidRPr="000C4361">
              <w:rPr>
                <w:rFonts w:ascii="Times New Roman" w:hAnsi="Times New Roman" w:cs="Times New Roman"/>
                <w:sz w:val="24"/>
                <w:szCs w:val="24"/>
              </w:rPr>
              <w:t>se adaugă un nou obiectiv general, Obiectivul general 3:</w:t>
            </w:r>
          </w:p>
          <w:p w14:paraId="3872AD29" w14:textId="77777777" w:rsidR="00835B80" w:rsidRPr="000C4361" w:rsidRDefault="00835B80" w:rsidP="00835B80">
            <w:pPr>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”Obiectivul general 3. - Asigurarea continuității activității de vaccinare împotriva COVID-19 în condiţii de siguranţă, eficacitate şi echitate pentru prevenirea infecţiei cu SARS-CoV-2 şi limitarea pandemiei COVID-19 în România.”</w:t>
            </w:r>
          </w:p>
          <w:p w14:paraId="78ACF6A7" w14:textId="35A56794" w:rsidR="00835B80" w:rsidRPr="000C4361" w:rsidRDefault="00835B80">
            <w:pPr>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 xml:space="preserve">De asemenea, se adaugă </w:t>
            </w:r>
            <w:r w:rsidR="00810FCA" w:rsidRPr="000C4361">
              <w:rPr>
                <w:rFonts w:ascii="Times New Roman" w:hAnsi="Times New Roman" w:cs="Times New Roman"/>
                <w:sz w:val="24"/>
                <w:szCs w:val="24"/>
              </w:rPr>
              <w:t>două noi</w:t>
            </w:r>
            <w:r w:rsidRPr="000C4361">
              <w:rPr>
                <w:rFonts w:ascii="Times New Roman" w:hAnsi="Times New Roman" w:cs="Times New Roman"/>
                <w:sz w:val="24"/>
                <w:szCs w:val="24"/>
              </w:rPr>
              <w:t xml:space="preserve"> obiectiv</w:t>
            </w:r>
            <w:r w:rsidR="00810FCA" w:rsidRPr="000C4361">
              <w:rPr>
                <w:rFonts w:ascii="Times New Roman" w:hAnsi="Times New Roman" w:cs="Times New Roman"/>
                <w:sz w:val="24"/>
                <w:szCs w:val="24"/>
              </w:rPr>
              <w:t>e</w:t>
            </w:r>
            <w:r w:rsidRPr="000C4361">
              <w:rPr>
                <w:rFonts w:ascii="Times New Roman" w:hAnsi="Times New Roman" w:cs="Times New Roman"/>
                <w:sz w:val="24"/>
                <w:szCs w:val="24"/>
              </w:rPr>
              <w:t xml:space="preserve"> specific</w:t>
            </w:r>
            <w:r w:rsidR="00810FCA" w:rsidRPr="000C4361">
              <w:rPr>
                <w:rFonts w:ascii="Times New Roman" w:hAnsi="Times New Roman" w:cs="Times New Roman"/>
                <w:sz w:val="24"/>
                <w:szCs w:val="24"/>
              </w:rPr>
              <w:t>e</w:t>
            </w:r>
            <w:r w:rsidRPr="000C4361">
              <w:rPr>
                <w:rFonts w:ascii="Times New Roman" w:hAnsi="Times New Roman" w:cs="Times New Roman"/>
                <w:sz w:val="24"/>
                <w:szCs w:val="24"/>
              </w:rPr>
              <w:t>:</w:t>
            </w:r>
          </w:p>
          <w:p w14:paraId="46A84ED8" w14:textId="570E424B" w:rsidR="00835B80" w:rsidRPr="000C4361" w:rsidRDefault="00835B80" w:rsidP="00835B80">
            <w:pPr>
              <w:spacing w:after="0" w:line="240" w:lineRule="auto"/>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 xml:space="preserve">”13. prevenirea infecţiei cu SARS-CoV-2 şi limitarea pandemiei COVID-19 în România, prin stabilirea de  </w:t>
            </w:r>
            <w:r w:rsidR="006564CC" w:rsidRPr="000C4361">
              <w:rPr>
                <w:rFonts w:ascii="Times New Roman" w:eastAsia="Times New Roman" w:hAnsi="Times New Roman" w:cs="Times New Roman"/>
                <w:sz w:val="24"/>
                <w:szCs w:val="24"/>
              </w:rPr>
              <w:t>obiective</w:t>
            </w:r>
            <w:r w:rsidRPr="000C4361">
              <w:rPr>
                <w:rFonts w:ascii="Times New Roman" w:eastAsia="Times New Roman" w:hAnsi="Times New Roman" w:cs="Times New Roman"/>
                <w:sz w:val="24"/>
                <w:szCs w:val="24"/>
              </w:rPr>
              <w:t xml:space="preserve"> de vaccinare pentru:</w:t>
            </w:r>
          </w:p>
          <w:p w14:paraId="64A711D5" w14:textId="77777777" w:rsidR="00C6228C" w:rsidRPr="000C4361" w:rsidRDefault="00C6228C" w:rsidP="00C6228C">
            <w:pPr>
              <w:numPr>
                <w:ilvl w:val="0"/>
                <w:numId w:val="12"/>
              </w:numPr>
              <w:spacing w:after="0" w:line="240" w:lineRule="auto"/>
              <w:ind w:left="731"/>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anul 2022</w:t>
            </w:r>
          </w:p>
          <w:p w14:paraId="786407CB" w14:textId="77777777" w:rsidR="00C6228C" w:rsidRPr="000C4361" w:rsidRDefault="00C6228C" w:rsidP="00C6228C">
            <w:pPr>
              <w:numPr>
                <w:ilvl w:val="0"/>
                <w:numId w:val="14"/>
              </w:numPr>
              <w:spacing w:after="0" w:line="240" w:lineRule="auto"/>
              <w:ind w:left="731"/>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pe categorii de vârstă:</w:t>
            </w:r>
          </w:p>
          <w:p w14:paraId="308BFAC5" w14:textId="6495D951" w:rsidR="00C6228C" w:rsidRPr="000C4361" w:rsidRDefault="006564CC" w:rsidP="00C6228C">
            <w:pPr>
              <w:numPr>
                <w:ilvl w:val="0"/>
                <w:numId w:val="15"/>
              </w:numPr>
              <w:spacing w:after="0" w:line="240" w:lineRule="auto"/>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 xml:space="preserve">obiectivul </w:t>
            </w:r>
            <w:r w:rsidR="00C6228C" w:rsidRPr="000C4361">
              <w:rPr>
                <w:rFonts w:ascii="Times New Roman" w:eastAsia="Times New Roman" w:hAnsi="Times New Roman" w:cs="Times New Roman"/>
                <w:sz w:val="24"/>
                <w:szCs w:val="24"/>
              </w:rPr>
              <w:t>de acoperire vaccinală este de 20% pentru copii cu vârsta &lt; 12 ani, date fiind studiile existente ce relevă un grad crescut de reti</w:t>
            </w:r>
            <w:r w:rsidRPr="000C4361">
              <w:rPr>
                <w:rFonts w:ascii="Times New Roman" w:eastAsia="Times New Roman" w:hAnsi="Times New Roman" w:cs="Times New Roman"/>
                <w:sz w:val="24"/>
                <w:szCs w:val="24"/>
              </w:rPr>
              <w:t>cență parentală, urmând a fi re</w:t>
            </w:r>
            <w:r w:rsidR="00C6228C" w:rsidRPr="000C4361">
              <w:rPr>
                <w:rFonts w:ascii="Times New Roman" w:eastAsia="Times New Roman" w:hAnsi="Times New Roman" w:cs="Times New Roman"/>
                <w:sz w:val="24"/>
                <w:szCs w:val="24"/>
              </w:rPr>
              <w:t>evaluată periodic;</w:t>
            </w:r>
          </w:p>
          <w:p w14:paraId="05203382" w14:textId="1955173A" w:rsidR="00757F75" w:rsidRPr="000C4361" w:rsidRDefault="006564CC" w:rsidP="006564CC">
            <w:pPr>
              <w:numPr>
                <w:ilvl w:val="0"/>
                <w:numId w:val="15"/>
              </w:numPr>
              <w:spacing w:after="0" w:line="240" w:lineRule="auto"/>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 xml:space="preserve">obiectivul </w:t>
            </w:r>
            <w:r w:rsidR="0075092A" w:rsidRPr="000C4361">
              <w:rPr>
                <w:rFonts w:ascii="Times New Roman" w:eastAsia="Times New Roman" w:hAnsi="Times New Roman" w:cs="Times New Roman"/>
                <w:sz w:val="24"/>
                <w:szCs w:val="24"/>
              </w:rPr>
              <w:t>de acoperire vaccinală este de 70% pentru populația generală cu vârsta de ≥ 12 ani</w:t>
            </w:r>
            <w:r w:rsidR="00C6228C" w:rsidRPr="000C4361">
              <w:rPr>
                <w:rFonts w:ascii="Times New Roman" w:eastAsia="Times New Roman" w:hAnsi="Times New Roman" w:cs="Times New Roman"/>
                <w:sz w:val="24"/>
                <w:szCs w:val="24"/>
              </w:rPr>
              <w:t>.</w:t>
            </w:r>
          </w:p>
          <w:p w14:paraId="3F64B0D5" w14:textId="77777777" w:rsidR="00C6228C" w:rsidRPr="000C4361" w:rsidRDefault="00C6228C" w:rsidP="00C6228C">
            <w:pPr>
              <w:numPr>
                <w:ilvl w:val="0"/>
                <w:numId w:val="14"/>
              </w:numPr>
              <w:spacing w:after="0" w:line="240" w:lineRule="auto"/>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 xml:space="preserve">pe tip de produs vaccinal: </w:t>
            </w:r>
          </w:p>
          <w:p w14:paraId="14E0B479" w14:textId="291349C8" w:rsidR="00757F75" w:rsidRPr="000C4361" w:rsidRDefault="006564CC" w:rsidP="006564CC">
            <w:pPr>
              <w:numPr>
                <w:ilvl w:val="0"/>
                <w:numId w:val="13"/>
              </w:numPr>
              <w:spacing w:after="0" w:line="240" w:lineRule="auto"/>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obiectivul</w:t>
            </w:r>
            <w:r w:rsidR="00C6228C" w:rsidRPr="000C4361">
              <w:rPr>
                <w:rFonts w:ascii="Times New Roman" w:eastAsia="Times New Roman" w:hAnsi="Times New Roman" w:cs="Times New Roman"/>
                <w:sz w:val="24"/>
                <w:szCs w:val="24"/>
              </w:rPr>
              <w:t xml:space="preserve"> de acoperire vaccinală este de 70% </w:t>
            </w:r>
            <w:r w:rsidR="0075092A" w:rsidRPr="000C4361">
              <w:rPr>
                <w:rFonts w:ascii="Times New Roman" w:eastAsia="Times New Roman" w:hAnsi="Times New Roman" w:cs="Times New Roman"/>
                <w:sz w:val="24"/>
                <w:szCs w:val="24"/>
              </w:rPr>
              <w:t xml:space="preserve">pentru populația </w:t>
            </w:r>
            <w:r w:rsidR="00C6228C" w:rsidRPr="000C4361">
              <w:rPr>
                <w:rFonts w:ascii="Times New Roman" w:eastAsia="Times New Roman" w:hAnsi="Times New Roman" w:cs="Times New Roman"/>
                <w:sz w:val="24"/>
                <w:szCs w:val="24"/>
              </w:rPr>
              <w:t xml:space="preserve">generală eligibilă, cu vârsta </w:t>
            </w:r>
            <w:r w:rsidR="0075092A" w:rsidRPr="000C4361">
              <w:rPr>
                <w:rFonts w:ascii="Times New Roman" w:eastAsia="Times New Roman" w:hAnsi="Times New Roman" w:cs="Times New Roman"/>
                <w:sz w:val="24"/>
                <w:szCs w:val="24"/>
              </w:rPr>
              <w:t xml:space="preserve"> ≥ 12 ani, ponderată pe diversele categorii de vârstă, astfel încât să fie atinsă acoperirea</w:t>
            </w:r>
            <w:r w:rsidR="00DC4DFD" w:rsidRPr="000C4361">
              <w:rPr>
                <w:rFonts w:ascii="Times New Roman" w:eastAsia="Times New Roman" w:hAnsi="Times New Roman" w:cs="Times New Roman"/>
                <w:sz w:val="24"/>
                <w:szCs w:val="24"/>
              </w:rPr>
              <w:t xml:space="preserve"> </w:t>
            </w:r>
            <w:r w:rsidR="00D3270E" w:rsidRPr="000C4361">
              <w:rPr>
                <w:rFonts w:ascii="Times New Roman" w:eastAsia="Times New Roman" w:hAnsi="Times New Roman" w:cs="Times New Roman"/>
                <w:sz w:val="24"/>
                <w:szCs w:val="24"/>
              </w:rPr>
              <w:t>prognozată</w:t>
            </w:r>
            <w:r w:rsidR="0075092A" w:rsidRPr="000C4361">
              <w:rPr>
                <w:rFonts w:ascii="Times New Roman" w:eastAsia="Times New Roman" w:hAnsi="Times New Roman" w:cs="Times New Roman"/>
                <w:sz w:val="24"/>
                <w:szCs w:val="24"/>
              </w:rPr>
              <w:t xml:space="preserve">; </w:t>
            </w:r>
          </w:p>
          <w:p w14:paraId="1E150AF0" w14:textId="417D2AA2" w:rsidR="00757F75" w:rsidRPr="000C4361" w:rsidRDefault="00C6228C" w:rsidP="00810FCA">
            <w:pPr>
              <w:numPr>
                <w:ilvl w:val="0"/>
                <w:numId w:val="13"/>
              </w:numPr>
              <w:spacing w:after="0" w:line="240" w:lineRule="auto"/>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trebuie asigurat numărul necesar de doze pentru rapel pentru persoanele vaccinate eligibile</w:t>
            </w:r>
          </w:p>
          <w:p w14:paraId="285163AB" w14:textId="77777777" w:rsidR="00C6228C" w:rsidRPr="000C4361" w:rsidRDefault="00C6228C" w:rsidP="00C6228C">
            <w:pPr>
              <w:numPr>
                <w:ilvl w:val="0"/>
                <w:numId w:val="12"/>
              </w:numPr>
              <w:spacing w:after="0" w:line="240" w:lineRule="auto"/>
              <w:ind w:left="731" w:hanging="349"/>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anul 2023</w:t>
            </w:r>
          </w:p>
          <w:p w14:paraId="33AE058A" w14:textId="39A3A900" w:rsidR="00C6228C" w:rsidRPr="000C4361" w:rsidRDefault="00D3270E" w:rsidP="00C6228C">
            <w:pPr>
              <w:numPr>
                <w:ilvl w:val="0"/>
                <w:numId w:val="16"/>
              </w:numPr>
              <w:spacing w:after="0" w:line="240" w:lineRule="auto"/>
              <w:ind w:left="911" w:hanging="439"/>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obiectivul</w:t>
            </w:r>
            <w:r w:rsidR="00C6228C" w:rsidRPr="000C4361">
              <w:rPr>
                <w:rFonts w:ascii="Times New Roman" w:eastAsia="Times New Roman" w:hAnsi="Times New Roman" w:cs="Times New Roman"/>
                <w:sz w:val="24"/>
                <w:szCs w:val="24"/>
              </w:rPr>
              <w:t xml:space="preserve"> de acoperire vaccinală este de 90% în populația generală eligibilă, cu vârsta de ≥ 12 ani, de asemenea, ponderată pe diversele categorii de vârstă. </w:t>
            </w:r>
          </w:p>
          <w:p w14:paraId="2D087DC8" w14:textId="36173B9A" w:rsidR="00C6228C" w:rsidRPr="000C4361" w:rsidRDefault="00C6228C" w:rsidP="00C6228C">
            <w:pPr>
              <w:numPr>
                <w:ilvl w:val="0"/>
                <w:numId w:val="16"/>
              </w:numPr>
              <w:spacing w:after="0" w:line="240" w:lineRule="auto"/>
              <w:ind w:left="911" w:hanging="439"/>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este recomandabil ca vaccinarea împotriva COVID-19 să se realizeze cu tipurile de produsele utilizate până în prezent, luând în considerare acceptabilitatea populației pentru anumite tipuri de vaccinuri împotriva COVID-19.</w:t>
            </w:r>
          </w:p>
          <w:p w14:paraId="2A8624DF" w14:textId="5E2C942C" w:rsidR="00C6228C" w:rsidRPr="000C4361" w:rsidRDefault="00810FCA" w:rsidP="00810FCA">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 xml:space="preserve">14. asigurarea necesarului de vaccinuri împotriva COVID-19 de către statul român, prin Ministerul Sănătății, pentru atingerea </w:t>
            </w:r>
            <w:r w:rsidR="00D3270E" w:rsidRPr="000C4361">
              <w:rPr>
                <w:rFonts w:ascii="Times New Roman" w:eastAsia="Times New Roman" w:hAnsi="Times New Roman" w:cs="Times New Roman"/>
                <w:sz w:val="24"/>
                <w:szCs w:val="24"/>
              </w:rPr>
              <w:t xml:space="preserve">obiectivelor </w:t>
            </w:r>
            <w:r w:rsidRPr="000C4361">
              <w:rPr>
                <w:rFonts w:ascii="Times New Roman" w:eastAsia="Times New Roman" w:hAnsi="Times New Roman" w:cs="Times New Roman"/>
                <w:sz w:val="24"/>
                <w:szCs w:val="24"/>
              </w:rPr>
              <w:t>de vaccinare menționate la punctul 13.”</w:t>
            </w:r>
          </w:p>
          <w:p w14:paraId="249F9F8C" w14:textId="3D9B971E"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 xml:space="preserve">Acoperirea vaccinală curentă a fost calculată pe baza situației persoanelor vaccinate, pe categorii de vârsta la finalul zilei de 01/11/2021 primita de la Comitetul Naţional de Coordonare a Activităţilor privind Vaccinarea împotriva SARS-CoV-2 (CNCAV) din Registrul de Evidenta Națională a Vaccinării (RENV). Populația rezidentă a României, pe categorii de vârsta a fost solicitata de la INS. </w:t>
            </w:r>
          </w:p>
          <w:p w14:paraId="4482A972" w14:textId="77777777" w:rsidR="00301AC5" w:rsidRPr="000C4361" w:rsidRDefault="00301AC5" w:rsidP="00C6228C">
            <w:pPr>
              <w:spacing w:after="0" w:line="240" w:lineRule="auto"/>
              <w:contextualSpacing/>
              <w:jc w:val="both"/>
              <w:rPr>
                <w:rFonts w:ascii="Times New Roman" w:eastAsia="Times New Roman" w:hAnsi="Times New Roman" w:cs="Times New Roman"/>
                <w:sz w:val="24"/>
                <w:szCs w:val="24"/>
              </w:rPr>
            </w:pPr>
          </w:p>
          <w:p w14:paraId="45C045D9" w14:textId="24B11873" w:rsidR="009D7F76" w:rsidRPr="000C4361" w:rsidRDefault="00D64C34" w:rsidP="00C6228C">
            <w:pPr>
              <w:spacing w:after="0" w:line="240" w:lineRule="auto"/>
              <w:contextualSpacing/>
              <w:jc w:val="both"/>
              <w:rPr>
                <w:rFonts w:ascii="Times New Roman" w:eastAsia="Times New Roman" w:hAnsi="Times New Roman" w:cs="Times New Roman"/>
                <w:sz w:val="24"/>
                <w:szCs w:val="24"/>
              </w:rPr>
            </w:pPr>
            <w:r w:rsidRPr="000C4361">
              <w:rPr>
                <w:rFonts w:ascii="Liberation Serif" w:eastAsia="Noto Sans CJK SC" w:hAnsi="Liberation Serif" w:cs="Lohit Devanagari"/>
                <w:kern w:val="2"/>
                <w:sz w:val="24"/>
                <w:szCs w:val="24"/>
                <w:lang w:val="en-US" w:eastAsia="zh-CN" w:bidi="hi-IN"/>
              </w:rPr>
              <w:object w:dxaOrig="15982" w:dyaOrig="5895" w14:anchorId="02A62655">
                <v:shape id="ole_rId2" o:spid="_x0000_i1025" style="width:482.1pt;height:253.55pt" coordsize="" o:spt="100" adj="0,,0" path="" stroked="f">
                  <v:stroke joinstyle="miter"/>
                  <v:imagedata r:id="rId9" o:title=""/>
                  <v:formulas/>
                  <v:path o:connecttype="segments"/>
                </v:shape>
                <o:OLEObject Type="Embed" ProgID="Excel.Sheet.12" ShapeID="ole_rId2" DrawAspect="Content" ObjectID="_1698063705" r:id="rId10"/>
              </w:object>
            </w:r>
          </w:p>
          <w:p w14:paraId="08B9A3E3" w14:textId="77777777"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La finalul zilei de 01/11/2021, România avea o rata de vaccinare cu cel puțin o doza de aproape 42% a populației eligibile de peste 12 ani și o rata de acoperire din populația generala rezidenta de aproximativ 36.8%, sub ținta stabilită în Strategie.</w:t>
            </w:r>
          </w:p>
          <w:p w14:paraId="70AD2B3A" w14:textId="071849C8"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Ținând cont de situația curentă, pentru anul 2022 Comitetul Național de</w:t>
            </w:r>
            <w:r w:rsidR="00EF6F74" w:rsidRPr="000C4361">
              <w:rPr>
                <w:rFonts w:ascii="Times New Roman" w:eastAsia="Times New Roman" w:hAnsi="Times New Roman" w:cs="Times New Roman"/>
                <w:sz w:val="24"/>
                <w:szCs w:val="24"/>
              </w:rPr>
              <w:t xml:space="preserve"> </w:t>
            </w:r>
            <w:r w:rsidRPr="000C4361">
              <w:rPr>
                <w:rFonts w:ascii="Times New Roman" w:eastAsia="Times New Roman" w:hAnsi="Times New Roman" w:cs="Times New Roman"/>
                <w:sz w:val="24"/>
                <w:szCs w:val="24"/>
              </w:rPr>
              <w:t xml:space="preserve">Vaccinologie (CNV) a recomandat </w:t>
            </w:r>
            <w:r w:rsidR="00EF6F74" w:rsidRPr="000C4361">
              <w:rPr>
                <w:rFonts w:ascii="Times New Roman" w:eastAsia="Times New Roman" w:hAnsi="Times New Roman" w:cs="Times New Roman"/>
                <w:sz w:val="24"/>
                <w:szCs w:val="24"/>
              </w:rPr>
              <w:t>un</w:t>
            </w:r>
            <w:r w:rsidR="00DC4DFD" w:rsidRPr="000C4361">
              <w:rPr>
                <w:rFonts w:ascii="Times New Roman" w:eastAsia="Times New Roman" w:hAnsi="Times New Roman" w:cs="Times New Roman"/>
                <w:sz w:val="24"/>
                <w:szCs w:val="24"/>
              </w:rPr>
              <w:t xml:space="preserve"> obiectiv </w:t>
            </w:r>
            <w:r w:rsidRPr="000C4361">
              <w:rPr>
                <w:rFonts w:ascii="Times New Roman" w:eastAsia="Times New Roman" w:hAnsi="Times New Roman" w:cs="Times New Roman"/>
                <w:sz w:val="24"/>
                <w:szCs w:val="24"/>
              </w:rPr>
              <w:t xml:space="preserve">de acoperire </w:t>
            </w:r>
            <w:r w:rsidR="00EF6F74" w:rsidRPr="000C4361">
              <w:rPr>
                <w:rFonts w:ascii="Times New Roman" w:eastAsia="Times New Roman" w:hAnsi="Times New Roman" w:cs="Times New Roman"/>
                <w:sz w:val="24"/>
                <w:szCs w:val="24"/>
              </w:rPr>
              <w:t xml:space="preserve">vaccinală </w:t>
            </w:r>
            <w:r w:rsidRPr="000C4361">
              <w:rPr>
                <w:rFonts w:ascii="Times New Roman" w:eastAsia="Times New Roman" w:hAnsi="Times New Roman" w:cs="Times New Roman"/>
                <w:sz w:val="24"/>
                <w:szCs w:val="24"/>
              </w:rPr>
              <w:t xml:space="preserve">de 70% din populația eligibila peste 12 ani cu ponderare pe </w:t>
            </w:r>
            <w:r w:rsidR="00EF6F74" w:rsidRPr="000C4361">
              <w:rPr>
                <w:rFonts w:ascii="Times New Roman" w:eastAsia="Times New Roman" w:hAnsi="Times New Roman" w:cs="Times New Roman"/>
                <w:sz w:val="24"/>
                <w:szCs w:val="24"/>
              </w:rPr>
              <w:t xml:space="preserve">categoriile de vârstă și </w:t>
            </w:r>
            <w:r w:rsidRPr="000C4361">
              <w:rPr>
                <w:rFonts w:ascii="Times New Roman" w:eastAsia="Times New Roman" w:hAnsi="Times New Roman" w:cs="Times New Roman"/>
                <w:sz w:val="24"/>
                <w:szCs w:val="24"/>
              </w:rPr>
              <w:t xml:space="preserve"> </w:t>
            </w:r>
            <w:r w:rsidR="00EF6F74" w:rsidRPr="000C4361">
              <w:rPr>
                <w:rFonts w:ascii="Times New Roman" w:eastAsia="Times New Roman" w:hAnsi="Times New Roman" w:cs="Times New Roman"/>
                <w:sz w:val="24"/>
                <w:szCs w:val="24"/>
              </w:rPr>
              <w:t>obiectiv de acoperire vaccinală precaut</w:t>
            </w:r>
            <w:r w:rsidRPr="000C4361">
              <w:rPr>
                <w:rFonts w:ascii="Times New Roman" w:eastAsia="Times New Roman" w:hAnsi="Times New Roman" w:cs="Times New Roman"/>
                <w:sz w:val="24"/>
                <w:szCs w:val="24"/>
              </w:rPr>
              <w:t xml:space="preserve"> de 20% din populația de 5-11 ani. </w:t>
            </w:r>
          </w:p>
          <w:p w14:paraId="0C7C2737" w14:textId="050BD048"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Conform calculelor, ar rămâne de acoperit minim 28% din populația eligibila de peste 12 ani și 20% din populația de 5-11 ani.</w:t>
            </w:r>
          </w:p>
          <w:p w14:paraId="4B76EF87" w14:textId="77777777"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p>
          <w:p w14:paraId="11F9315D" w14:textId="3141FC40"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Pentru un total de aproximativ 12 milioane de cetățeni, ar mai trebui vaccinați aproximativ 5 milioane cu doua doze pentru a atinge ținta stabilită pentru 2022. Numărul de doze necesare pentru rapelurile restante din aceasta perioada se adaugă la acestea pentru un total de aproximativ 10,74 milioane de doze.</w:t>
            </w:r>
          </w:p>
          <w:p w14:paraId="1FE78219" w14:textId="3F559518" w:rsidR="009D7F76" w:rsidRPr="000C4361" w:rsidRDefault="00995138"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Dozele de rapel</w:t>
            </w:r>
            <w:r w:rsidR="009D7F76" w:rsidRPr="000C4361">
              <w:rPr>
                <w:rFonts w:ascii="Times New Roman" w:eastAsia="Times New Roman" w:hAnsi="Times New Roman" w:cs="Times New Roman"/>
                <w:sz w:val="24"/>
                <w:szCs w:val="24"/>
              </w:rPr>
              <w:t xml:space="preserve"> ce ar trebui asigurate pentru 2022 sunt calculate pentru </w:t>
            </w:r>
            <w:r w:rsidRPr="000C4361">
              <w:rPr>
                <w:rFonts w:ascii="Times New Roman" w:eastAsia="Times New Roman" w:hAnsi="Times New Roman" w:cs="Times New Roman"/>
                <w:sz w:val="24"/>
                <w:szCs w:val="24"/>
              </w:rPr>
              <w:t>obiectivul de acoperire vaccinală</w:t>
            </w:r>
            <w:r w:rsidR="009D7F76" w:rsidRPr="000C4361">
              <w:rPr>
                <w:rFonts w:ascii="Times New Roman" w:eastAsia="Times New Roman" w:hAnsi="Times New Roman" w:cs="Times New Roman"/>
                <w:sz w:val="24"/>
                <w:szCs w:val="24"/>
              </w:rPr>
              <w:t xml:space="preserve"> de 70%</w:t>
            </w:r>
            <w:r w:rsidRPr="000C4361">
              <w:rPr>
                <w:rFonts w:ascii="Times New Roman" w:eastAsia="Times New Roman" w:hAnsi="Times New Roman" w:cs="Times New Roman"/>
                <w:sz w:val="24"/>
                <w:szCs w:val="24"/>
              </w:rPr>
              <w:t xml:space="preserve"> </w:t>
            </w:r>
            <w:r w:rsidR="009D7F76" w:rsidRPr="000C4361">
              <w:rPr>
                <w:rFonts w:ascii="Times New Roman" w:eastAsia="Times New Roman" w:hAnsi="Times New Roman" w:cs="Times New Roman"/>
                <w:sz w:val="24"/>
                <w:szCs w:val="24"/>
              </w:rPr>
              <w:t xml:space="preserve"> în cazul în care va fi necesar. Calculel</w:t>
            </w:r>
            <w:r w:rsidR="001659FB">
              <w:rPr>
                <w:rFonts w:ascii="Times New Roman" w:eastAsia="Times New Roman" w:hAnsi="Times New Roman" w:cs="Times New Roman"/>
                <w:sz w:val="24"/>
                <w:szCs w:val="24"/>
              </w:rPr>
              <w:t>e se regăsesc în tabelul următor.</w:t>
            </w:r>
          </w:p>
          <w:p w14:paraId="7C446E8B" w14:textId="77777777" w:rsidR="009D7F76" w:rsidRPr="000C4361" w:rsidRDefault="009D7F76" w:rsidP="00C6228C">
            <w:pPr>
              <w:spacing w:after="0" w:line="240" w:lineRule="auto"/>
              <w:contextualSpacing/>
              <w:jc w:val="both"/>
              <w:rPr>
                <w:rFonts w:ascii="Times New Roman" w:eastAsia="Times New Roman" w:hAnsi="Times New Roman" w:cs="Times New Roman"/>
                <w:sz w:val="24"/>
                <w:szCs w:val="24"/>
              </w:rPr>
            </w:pPr>
          </w:p>
          <w:p w14:paraId="6851CD18" w14:textId="1ED7C098" w:rsidR="009D7F76" w:rsidRPr="000C4361" w:rsidRDefault="009D7F76" w:rsidP="00C6228C">
            <w:pPr>
              <w:spacing w:after="0" w:line="240" w:lineRule="auto"/>
              <w:contextualSpacing/>
              <w:jc w:val="both"/>
              <w:rPr>
                <w:rFonts w:ascii="Times New Roman" w:eastAsia="Times New Roman" w:hAnsi="Times New Roman" w:cs="Times New Roman"/>
                <w:sz w:val="24"/>
                <w:szCs w:val="24"/>
              </w:rPr>
            </w:pPr>
            <w:r w:rsidRPr="000C4361">
              <w:rPr>
                <w:rFonts w:ascii="Liberation Serif" w:eastAsia="Noto Sans CJK SC" w:hAnsi="Liberation Serif" w:cs="Lohit Devanagari"/>
                <w:noProof/>
                <w:kern w:val="2"/>
                <w:sz w:val="24"/>
                <w:szCs w:val="24"/>
                <w:lang w:eastAsia="ro-RO"/>
              </w:rPr>
              <w:lastRenderedPageBreak/>
              <w:drawing>
                <wp:anchor distT="0" distB="0" distL="0" distR="0" simplePos="0" relativeHeight="251659264" behindDoc="0" locked="0" layoutInCell="1" allowOverlap="1" wp14:anchorId="56044E40" wp14:editId="7E3ACE94">
                  <wp:simplePos x="0" y="0"/>
                  <wp:positionH relativeFrom="column">
                    <wp:posOffset>-3810</wp:posOffset>
                  </wp:positionH>
                  <wp:positionV relativeFrom="paragraph">
                    <wp:posOffset>179070</wp:posOffset>
                  </wp:positionV>
                  <wp:extent cx="6088380" cy="3566795"/>
                  <wp:effectExtent l="0" t="0" r="0" b="0"/>
                  <wp:wrapSquare wrapText="largest"/>
                  <wp:docPr id="1" name="Ob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2"/>
                          <pic:cNvPicPr>
                            <a:picLocks noChangeAspect="1" noChangeArrowheads="1"/>
                          </pic:cNvPicPr>
                        </pic:nvPicPr>
                        <pic:blipFill>
                          <a:blip r:embed="rId11"/>
                          <a:stretch>
                            <a:fillRect/>
                          </a:stretch>
                        </pic:blipFill>
                        <pic:spPr bwMode="auto">
                          <a:xfrm>
                            <a:off x="0" y="0"/>
                            <a:ext cx="6088380" cy="3566795"/>
                          </a:xfrm>
                          <a:prstGeom prst="rect">
                            <a:avLst/>
                          </a:prstGeom>
                        </pic:spPr>
                      </pic:pic>
                    </a:graphicData>
                  </a:graphic>
                </wp:anchor>
              </w:drawing>
            </w:r>
          </w:p>
          <w:p w14:paraId="253602A3" w14:textId="77777777" w:rsidR="009D7F76" w:rsidRPr="000C4361" w:rsidRDefault="009D7F76" w:rsidP="00C6228C">
            <w:pPr>
              <w:spacing w:after="0" w:line="240" w:lineRule="auto"/>
              <w:contextualSpacing/>
              <w:jc w:val="both"/>
              <w:rPr>
                <w:rFonts w:ascii="Times New Roman" w:eastAsia="Times New Roman" w:hAnsi="Times New Roman" w:cs="Times New Roman"/>
                <w:sz w:val="24"/>
                <w:szCs w:val="24"/>
              </w:rPr>
            </w:pPr>
          </w:p>
          <w:p w14:paraId="25A2E7AD" w14:textId="77777777"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Dacă se iau în considerare numărul de doze necesare pentru atingerea tintelor de vaccinare de 70% din populația generala și 20% din populația pediatrica 5-11 ani și asigurarea a câte o doza de rapel pentru fiecare persoana vaccinata, necesarul de vaccin în 2022 s-ar ridica la aproximativ 22,8 milioane de doze.</w:t>
            </w:r>
          </w:p>
          <w:p w14:paraId="4D3F6C5E" w14:textId="50EBADE2"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C</w:t>
            </w:r>
            <w:r w:rsidR="00D64C34">
              <w:rPr>
                <w:rFonts w:ascii="Times New Roman" w:eastAsia="Times New Roman" w:hAnsi="Times New Roman" w:cs="Times New Roman"/>
                <w:sz w:val="24"/>
                <w:szCs w:val="24"/>
              </w:rPr>
              <w:t>o</w:t>
            </w:r>
            <w:r w:rsidRPr="000C4361">
              <w:rPr>
                <w:rFonts w:ascii="Times New Roman" w:eastAsia="Times New Roman" w:hAnsi="Times New Roman" w:cs="Times New Roman"/>
                <w:sz w:val="24"/>
                <w:szCs w:val="24"/>
              </w:rPr>
              <w:t>mitetul Național deVaccinologie (CNV) a recomandat ca în estimarea numărului necesar de doze din vaccinurile disponibile să se țină cont de ponderea de administrare a diferitelor vaccinuri în ultimele câteva luni, având în vedere reticenta populației pentru anumite vaccinuri. Numărul de persoane vaccinate cu prima doza în perioada 1 Iulie – 1 August a fost calculat pe baza raportărilor publicate de către CNCAV pe platforma vaccinare-covid.gov.ro.</w:t>
            </w:r>
          </w:p>
          <w:p w14:paraId="240FF6CA" w14:textId="77777777" w:rsidR="009D7F76" w:rsidRPr="000C4361" w:rsidRDefault="009D7F76" w:rsidP="00C6228C">
            <w:pPr>
              <w:spacing w:after="0" w:line="240" w:lineRule="auto"/>
              <w:contextualSpacing/>
              <w:jc w:val="both"/>
              <w:rPr>
                <w:rFonts w:ascii="Times New Roman" w:eastAsia="Times New Roman" w:hAnsi="Times New Roman" w:cs="Times New Roman"/>
                <w:sz w:val="24"/>
                <w:szCs w:val="24"/>
              </w:rPr>
            </w:pPr>
          </w:p>
          <w:p w14:paraId="137B797A" w14:textId="6EFF5218" w:rsidR="009D7F76" w:rsidRPr="000C4361" w:rsidRDefault="009D7F76" w:rsidP="00C6228C">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object w:dxaOrig="10367" w:dyaOrig="2004" w14:anchorId="57ADF958">
                <v:shape id="ole_rId5" o:spid="_x0000_i1026" style="width:477.1pt;height:100.8pt" coordsize="" o:spt="100" adj="0,,0" path="" stroked="f">
                  <v:stroke joinstyle="miter"/>
                  <v:imagedata r:id="rId12" o:title=""/>
                  <v:formulas/>
                  <v:path o:connecttype="segments"/>
                </v:shape>
                <o:OLEObject Type="Embed" ProgID="Excel.Sheet.12" ShapeID="ole_rId5" DrawAspect="Content" ObjectID="_1698063706" r:id="rId13"/>
              </w:object>
            </w:r>
          </w:p>
          <w:p w14:paraId="4E034518" w14:textId="75CB9F10" w:rsidR="009D7F76" w:rsidRPr="000C4361" w:rsidRDefault="009D7F76" w:rsidP="00C6228C">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i/>
                <w:iCs/>
                <w:sz w:val="24"/>
                <w:szCs w:val="24"/>
              </w:rPr>
              <w:t>* numărul de doze disponibile include dozele aflate în stocurile naționale și totalul livrărilor viitoare estimate din contractele existente; diferența pozitiva reprezintă un necesar suplimentar de doze, iar negativă un excedent; la Mentiuni – pentru contractele Moderna și AstraZeneca sunt trecute dozele din perioada de suspendare care nu sunt incluse în calendarele de livrare curente;</w:t>
            </w:r>
          </w:p>
          <w:p w14:paraId="4DC287D3" w14:textId="04C2671D" w:rsidR="009D7F76" w:rsidRDefault="009D7F76" w:rsidP="009D7F76">
            <w:pPr>
              <w:spacing w:after="0" w:line="240" w:lineRule="auto"/>
              <w:contextualSpacing/>
              <w:jc w:val="both"/>
              <w:rPr>
                <w:rFonts w:ascii="Times New Roman" w:eastAsia="Times New Roman" w:hAnsi="Times New Roman" w:cs="Times New Roman"/>
                <w:b/>
                <w:bCs/>
                <w:sz w:val="24"/>
                <w:szCs w:val="24"/>
              </w:rPr>
            </w:pPr>
            <w:r w:rsidRPr="000C4361">
              <w:rPr>
                <w:rFonts w:ascii="Times New Roman" w:eastAsia="Times New Roman" w:hAnsi="Times New Roman" w:cs="Times New Roman"/>
                <w:sz w:val="24"/>
                <w:szCs w:val="24"/>
              </w:rPr>
              <w:t xml:space="preserve">Vaccinurile împotriva COVID-19 Janssen (produs de Johnson &amp; Johnson) și Comirnaty (Produs de Pfizer – BioNTech) acoperă majoritatea persoanelor nou vaccinate în ultimele luni. Necesarul suplimentar din aceste vaccinuri se ridica la </w:t>
            </w:r>
            <w:r w:rsidRPr="00F420BA">
              <w:rPr>
                <w:rFonts w:ascii="Times New Roman" w:eastAsia="Times New Roman" w:hAnsi="Times New Roman" w:cs="Times New Roman"/>
                <w:bCs/>
                <w:sz w:val="24"/>
                <w:szCs w:val="24"/>
              </w:rPr>
              <w:t>aproape 13,5 milioane de doze.</w:t>
            </w:r>
            <w:r w:rsidR="00F420BA" w:rsidRPr="00F420BA">
              <w:rPr>
                <w:rFonts w:ascii="Times New Roman" w:eastAsia="Times New Roman" w:hAnsi="Times New Roman" w:cs="Times New Roman"/>
                <w:b/>
                <w:bCs/>
                <w:sz w:val="24"/>
                <w:szCs w:val="24"/>
              </w:rPr>
              <w:t xml:space="preserve"> </w:t>
            </w:r>
            <w:r w:rsidR="00F13F19" w:rsidRPr="00A06467">
              <w:rPr>
                <w:rFonts w:ascii="Times New Roman" w:eastAsia="Times New Roman" w:hAnsi="Times New Roman" w:cs="Times New Roman"/>
                <w:bCs/>
                <w:sz w:val="24"/>
                <w:szCs w:val="24"/>
              </w:rPr>
              <w:t>Conform recomandă</w:t>
            </w:r>
            <w:r w:rsidR="00F420BA" w:rsidRPr="00A06467">
              <w:rPr>
                <w:rFonts w:ascii="Times New Roman" w:eastAsia="Times New Roman" w:hAnsi="Times New Roman" w:cs="Times New Roman"/>
                <w:bCs/>
                <w:sz w:val="24"/>
                <w:szCs w:val="24"/>
              </w:rPr>
              <w:t>rilor C</w:t>
            </w:r>
            <w:r w:rsidR="00F13F19" w:rsidRPr="00A06467">
              <w:rPr>
                <w:rFonts w:ascii="Times New Roman" w:eastAsia="Times New Roman" w:hAnsi="Times New Roman" w:cs="Times New Roman"/>
                <w:bCs/>
                <w:sz w:val="24"/>
                <w:szCs w:val="24"/>
              </w:rPr>
              <w:t>omitetului Național de Vaccinologie</w:t>
            </w:r>
            <w:r w:rsidR="00F420BA" w:rsidRPr="00A06467">
              <w:rPr>
                <w:rFonts w:ascii="Times New Roman" w:eastAsia="Times New Roman" w:hAnsi="Times New Roman" w:cs="Times New Roman"/>
                <w:bCs/>
                <w:sz w:val="24"/>
                <w:szCs w:val="24"/>
              </w:rPr>
              <w:t xml:space="preserve"> de asigurare a unui stoc de rezerva de 25% pentru a </w:t>
            </w:r>
            <w:r w:rsidR="00F13F19" w:rsidRPr="00A06467">
              <w:rPr>
                <w:rFonts w:ascii="Times New Roman" w:eastAsia="Times New Roman" w:hAnsi="Times New Roman" w:cs="Times New Roman"/>
                <w:bCs/>
                <w:sz w:val="24"/>
                <w:szCs w:val="24"/>
              </w:rPr>
              <w:t>acoperi anumite situatii neprevă</w:t>
            </w:r>
            <w:r w:rsidR="00F420BA" w:rsidRPr="00A06467">
              <w:rPr>
                <w:rFonts w:ascii="Times New Roman" w:eastAsia="Times New Roman" w:hAnsi="Times New Roman" w:cs="Times New Roman"/>
                <w:bCs/>
                <w:sz w:val="24"/>
                <w:szCs w:val="24"/>
              </w:rPr>
              <w:t>zute</w:t>
            </w:r>
            <w:r w:rsidR="00F13F19" w:rsidRPr="00A06467">
              <w:rPr>
                <w:rFonts w:ascii="Times New Roman" w:eastAsia="Times New Roman" w:hAnsi="Times New Roman" w:cs="Times New Roman"/>
                <w:bCs/>
                <w:sz w:val="24"/>
                <w:szCs w:val="24"/>
              </w:rPr>
              <w:t xml:space="preserve"> sau stabilirea unor masuri care extind utilizarea certificatului verde pentru o categorie mai largă de populație, ș</w:t>
            </w:r>
            <w:r w:rsidR="00F420BA" w:rsidRPr="00A06467">
              <w:rPr>
                <w:rFonts w:ascii="Times New Roman" w:eastAsia="Times New Roman" w:hAnsi="Times New Roman" w:cs="Times New Roman"/>
                <w:bCs/>
                <w:sz w:val="24"/>
                <w:szCs w:val="24"/>
              </w:rPr>
              <w:t>i eventuale pierderi pe parcursul campaniei de vaccinare de mas</w:t>
            </w:r>
            <w:r w:rsidR="00F13F19" w:rsidRPr="00A06467">
              <w:rPr>
                <w:rFonts w:ascii="Times New Roman" w:eastAsia="Times New Roman" w:hAnsi="Times New Roman" w:cs="Times New Roman"/>
                <w:bCs/>
                <w:sz w:val="24"/>
                <w:szCs w:val="24"/>
              </w:rPr>
              <w:t>ă</w:t>
            </w:r>
            <w:r w:rsidR="00F420BA" w:rsidRPr="00A06467">
              <w:rPr>
                <w:rFonts w:ascii="Times New Roman" w:eastAsia="Times New Roman" w:hAnsi="Times New Roman" w:cs="Times New Roman"/>
                <w:bCs/>
                <w:sz w:val="24"/>
                <w:szCs w:val="24"/>
              </w:rPr>
              <w:t xml:space="preserve">, </w:t>
            </w:r>
            <w:r w:rsidR="00F420BA" w:rsidRPr="00A06467">
              <w:rPr>
                <w:rFonts w:ascii="Times New Roman" w:eastAsia="Times New Roman" w:hAnsi="Times New Roman" w:cs="Times New Roman"/>
                <w:b/>
                <w:bCs/>
                <w:sz w:val="24"/>
                <w:szCs w:val="24"/>
              </w:rPr>
              <w:t>in 2022 ar fi necesare suplimentar aproximativ 16.9 milioane de doze.</w:t>
            </w:r>
          </w:p>
          <w:p w14:paraId="57A9D5A0" w14:textId="77777777" w:rsidR="00E21236" w:rsidRPr="00A06467" w:rsidRDefault="00E21236" w:rsidP="009D7F76">
            <w:pPr>
              <w:spacing w:after="0" w:line="240" w:lineRule="auto"/>
              <w:contextualSpacing/>
              <w:jc w:val="both"/>
              <w:rPr>
                <w:rFonts w:ascii="Times New Roman" w:eastAsia="Times New Roman" w:hAnsi="Times New Roman" w:cs="Times New Roman"/>
                <w:b/>
                <w:sz w:val="24"/>
                <w:szCs w:val="24"/>
              </w:rPr>
            </w:pPr>
          </w:p>
          <w:p w14:paraId="3AE18F2E" w14:textId="77777777"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ab/>
            </w:r>
          </w:p>
          <w:p w14:paraId="7A3EB644" w14:textId="7F8A03CB"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lastRenderedPageBreak/>
              <w:t>Vaccinurile Spikevax (produs de Moderna) și Vaxzevria (produs de AstraZeneca) au o rata de administrare foarte mica, nefiind acceptate de către populație. Necesarul viitor din aceste doua vaccinuri este foarte mic, existând un excedent semnificativ față de cantitățile contractate. Pentru aceste doua vaccinuri exista și un număr semnificativ de doze suspendate de la livrare pentru care nu exista încă un calendar de livrare și s-ar putea încerca eliminarea lor din contract.</w:t>
            </w:r>
          </w:p>
          <w:p w14:paraId="1EEA090B" w14:textId="77777777" w:rsidR="009D7F76" w:rsidRPr="000C4361"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Contractul cu compania Johnson &amp; Johnson se încheie la sfârșitul anului 2021, fără a exista perspectiva unei prelungiri sau a unui contract nou. Cele 4.6 milioane de doze ramase din contract urmează a fi livrate pana la sfârșitul anului 2021. Cele 7.2 milioane de doze necesare suplimentar vor trebui acoperite din celelalte vaccinuri. Vaccinul Janssen are curent un regim de administrare într-o singura doza, dar urmează sa depună și datele din studiul clinic pe doua doze iar mai multe autorități publice din România și UE recomanda deja administrarea unui rapel cu un vaccin ARN mesager sau tot cu Janssen, data fiind eficiența redusa a unei singure doze. Prin urmare, a fost calculat tot la 2 doze.</w:t>
            </w:r>
          </w:p>
          <w:p w14:paraId="36DEDFC5" w14:textId="5D81AB48" w:rsidR="00031A05" w:rsidRPr="00A06467" w:rsidRDefault="009D7F76" w:rsidP="009D7F76">
            <w:pPr>
              <w:spacing w:after="0" w:line="240" w:lineRule="auto"/>
              <w:contextualSpacing/>
              <w:jc w:val="both"/>
              <w:rPr>
                <w:rFonts w:ascii="Times New Roman" w:eastAsia="Times New Roman" w:hAnsi="Times New Roman" w:cs="Times New Roman"/>
                <w:sz w:val="24"/>
                <w:szCs w:val="24"/>
              </w:rPr>
            </w:pPr>
            <w:r w:rsidRPr="000C4361">
              <w:rPr>
                <w:rFonts w:ascii="Times New Roman" w:eastAsia="Times New Roman" w:hAnsi="Times New Roman" w:cs="Times New Roman"/>
                <w:sz w:val="24"/>
                <w:szCs w:val="24"/>
              </w:rPr>
              <w:t>Pentru 2023 Comitetul Național de Vaccinologie (CNV) a reco</w:t>
            </w:r>
            <w:r w:rsidR="00995138" w:rsidRPr="000C4361">
              <w:rPr>
                <w:rFonts w:ascii="Times New Roman" w:eastAsia="Times New Roman" w:hAnsi="Times New Roman" w:cs="Times New Roman"/>
                <w:sz w:val="24"/>
                <w:szCs w:val="24"/>
              </w:rPr>
              <w:t>mandat creșterea obiectivului</w:t>
            </w:r>
            <w:r w:rsidRPr="000C4361">
              <w:rPr>
                <w:rFonts w:ascii="Times New Roman" w:eastAsia="Times New Roman" w:hAnsi="Times New Roman" w:cs="Times New Roman"/>
                <w:sz w:val="24"/>
                <w:szCs w:val="24"/>
              </w:rPr>
              <w:t xml:space="preserve"> de acoperire vaccinala în populația eligibilă 12+ la 90%. Estimarea numărului de doze necesare în 2023 a ținut cont de 20% din populația eligibila 12+ ce va trebui acoperită suplimentar cu 2 doze și încă o doza suplimentara de rapel (booster) pentru cei 70% vaccinați în anii anteriori. În aceste condiții, în 2023 ar fi necesare aproximativ 18.5 milioane de doze de vaccin împotriva COVID-19.</w:t>
            </w:r>
            <w:r w:rsidR="00031A05">
              <w:rPr>
                <w:rFonts w:ascii="Times New Roman" w:eastAsia="Times New Roman" w:hAnsi="Times New Roman" w:cs="Times New Roman"/>
                <w:sz w:val="24"/>
                <w:szCs w:val="24"/>
              </w:rPr>
              <w:t xml:space="preserve"> </w:t>
            </w:r>
            <w:r w:rsidR="00031A05" w:rsidRPr="00A06467">
              <w:rPr>
                <w:rFonts w:ascii="Times New Roman" w:eastAsia="Times New Roman" w:hAnsi="Times New Roman" w:cs="Times New Roman"/>
                <w:sz w:val="24"/>
                <w:szCs w:val="24"/>
              </w:rPr>
              <w:t xml:space="preserve">Cu constituirea unui </w:t>
            </w:r>
            <w:r w:rsidR="002C6610" w:rsidRPr="00A06467">
              <w:rPr>
                <w:rFonts w:ascii="Times New Roman" w:eastAsia="Times New Roman" w:hAnsi="Times New Roman" w:cs="Times New Roman"/>
                <w:sz w:val="24"/>
                <w:szCs w:val="24"/>
              </w:rPr>
              <w:t>stoc</w:t>
            </w:r>
            <w:r w:rsidR="00F13F19" w:rsidRPr="00A06467">
              <w:rPr>
                <w:rFonts w:ascii="Times New Roman" w:eastAsia="Times New Roman" w:hAnsi="Times New Roman" w:cs="Times New Roman"/>
                <w:sz w:val="24"/>
                <w:szCs w:val="24"/>
              </w:rPr>
              <w:t xml:space="preserve"> de rezervă</w:t>
            </w:r>
            <w:r w:rsidR="00031A05" w:rsidRPr="00A06467">
              <w:rPr>
                <w:rFonts w:ascii="Times New Roman" w:eastAsia="Times New Roman" w:hAnsi="Times New Roman" w:cs="Times New Roman"/>
                <w:sz w:val="24"/>
                <w:szCs w:val="24"/>
              </w:rPr>
              <w:t xml:space="preserve"> de 25%, pentru 2023 ar fi necesare aproximativ 23.1 milioane de doze.</w:t>
            </w:r>
            <w:r w:rsidR="00D64C34" w:rsidRPr="00A06467">
              <w:rPr>
                <w:rFonts w:ascii="Times New Roman" w:eastAsia="Times New Roman" w:hAnsi="Times New Roman" w:cs="Times New Roman"/>
                <w:sz w:val="24"/>
                <w:szCs w:val="24"/>
              </w:rPr>
              <w:t xml:space="preserve"> </w:t>
            </w:r>
            <w:r w:rsidR="00F13F19" w:rsidRPr="00A06467">
              <w:rPr>
                <w:rFonts w:ascii="Times New Roman" w:eastAsia="Times New Roman" w:hAnsi="Times New Roman" w:cs="Times New Roman"/>
                <w:sz w:val="24"/>
                <w:szCs w:val="24"/>
              </w:rPr>
              <w:t>In total, în 2022 ș</w:t>
            </w:r>
            <w:r w:rsidR="00031A05" w:rsidRPr="00A06467">
              <w:rPr>
                <w:rFonts w:ascii="Times New Roman" w:eastAsia="Times New Roman" w:hAnsi="Times New Roman" w:cs="Times New Roman"/>
                <w:sz w:val="24"/>
                <w:szCs w:val="24"/>
              </w:rPr>
              <w:t>i 2023 ar fi necesare suplimentar aproximativ 40 de milioane de doze.</w:t>
            </w:r>
          </w:p>
          <w:p w14:paraId="5284C3A4" w14:textId="5294D73A" w:rsidR="00031A05" w:rsidRPr="000C4361" w:rsidRDefault="00031A05" w:rsidP="00D64C3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Estimarea necesarului de vaccin</w:t>
            </w:r>
            <w:r w:rsidR="00F13F19">
              <w:rPr>
                <w:rFonts w:ascii="Times New Roman" w:eastAsia="Times New Roman" w:hAnsi="Times New Roman" w:cs="Times New Roman"/>
                <w:sz w:val="24"/>
                <w:szCs w:val="24"/>
              </w:rPr>
              <w:t xml:space="preserve"> pentru anii 2022 ș</w:t>
            </w:r>
            <w:r>
              <w:rPr>
                <w:rFonts w:ascii="Times New Roman" w:eastAsia="Times New Roman" w:hAnsi="Times New Roman" w:cs="Times New Roman"/>
                <w:sz w:val="24"/>
                <w:szCs w:val="24"/>
              </w:rPr>
              <w:t xml:space="preserve">i 2023 depinde de un </w:t>
            </w:r>
            <w:r w:rsidR="00F13F19">
              <w:rPr>
                <w:rFonts w:ascii="Times New Roman" w:eastAsia="Times New Roman" w:hAnsi="Times New Roman" w:cs="Times New Roman"/>
                <w:sz w:val="24"/>
                <w:szCs w:val="24"/>
              </w:rPr>
              <w:t>numă</w:t>
            </w:r>
            <w:r>
              <w:rPr>
                <w:rFonts w:ascii="Times New Roman" w:eastAsia="Times New Roman" w:hAnsi="Times New Roman" w:cs="Times New Roman"/>
                <w:sz w:val="24"/>
                <w:szCs w:val="24"/>
              </w:rPr>
              <w:t>r m</w:t>
            </w:r>
            <w:r w:rsidR="00F13F19">
              <w:rPr>
                <w:rFonts w:ascii="Times New Roman" w:eastAsia="Times New Roman" w:hAnsi="Times New Roman" w:cs="Times New Roman"/>
                <w:sz w:val="24"/>
                <w:szCs w:val="24"/>
              </w:rPr>
              <w:t>are de factori ce nu pot fi luați în calcul în momentul de față</w:t>
            </w:r>
            <w:r>
              <w:rPr>
                <w:rFonts w:ascii="Times New Roman" w:eastAsia="Times New Roman" w:hAnsi="Times New Roman" w:cs="Times New Roman"/>
                <w:sz w:val="24"/>
                <w:szCs w:val="24"/>
              </w:rPr>
              <w:t>.</w:t>
            </w:r>
            <w:r w:rsidR="00F13F19">
              <w:rPr>
                <w:rFonts w:ascii="Times New Roman" w:eastAsia="Times New Roman" w:hAnsi="Times New Roman" w:cs="Times New Roman"/>
                <w:sz w:val="24"/>
                <w:szCs w:val="24"/>
              </w:rPr>
              <w:t xml:space="preserve"> O rată</w:t>
            </w:r>
            <w:r>
              <w:rPr>
                <w:rFonts w:ascii="Times New Roman" w:eastAsia="Times New Roman" w:hAnsi="Times New Roman" w:cs="Times New Roman"/>
                <w:sz w:val="24"/>
                <w:szCs w:val="24"/>
              </w:rPr>
              <w:t xml:space="preserve"> </w:t>
            </w:r>
            <w:r w:rsidR="00F13F19">
              <w:rPr>
                <w:rFonts w:ascii="Times New Roman" w:eastAsia="Times New Roman" w:hAnsi="Times New Roman" w:cs="Times New Roman"/>
                <w:sz w:val="24"/>
                <w:szCs w:val="24"/>
              </w:rPr>
              <w:t>mica de acceptare în rândul populați</w:t>
            </w:r>
            <w:r>
              <w:rPr>
                <w:rFonts w:ascii="Times New Roman" w:eastAsia="Times New Roman" w:hAnsi="Times New Roman" w:cs="Times New Roman"/>
                <w:sz w:val="24"/>
                <w:szCs w:val="24"/>
              </w:rPr>
              <w:t xml:space="preserve">ei </w:t>
            </w:r>
            <w:r w:rsidR="002C6610">
              <w:rPr>
                <w:rFonts w:ascii="Times New Roman" w:eastAsia="Times New Roman" w:hAnsi="Times New Roman" w:cs="Times New Roman"/>
                <w:sz w:val="24"/>
                <w:szCs w:val="24"/>
              </w:rPr>
              <w:t>pe fondul a</w:t>
            </w:r>
            <w:r w:rsidR="00F13F19">
              <w:rPr>
                <w:rFonts w:ascii="Times New Roman" w:eastAsia="Times New Roman" w:hAnsi="Times New Roman" w:cs="Times New Roman"/>
                <w:sz w:val="24"/>
                <w:szCs w:val="24"/>
              </w:rPr>
              <w:t>bsenței unei comunicări adaptate și unor măsuri de î</w:t>
            </w:r>
            <w:r w:rsidR="002C6610">
              <w:rPr>
                <w:rFonts w:ascii="Times New Roman" w:eastAsia="Times New Roman" w:hAnsi="Times New Roman" w:cs="Times New Roman"/>
                <w:sz w:val="24"/>
                <w:szCs w:val="24"/>
              </w:rPr>
              <w:t>ncurajare din partea statului,</w:t>
            </w:r>
            <w:r>
              <w:rPr>
                <w:rFonts w:ascii="Times New Roman" w:eastAsia="Times New Roman" w:hAnsi="Times New Roman" w:cs="Times New Roman"/>
                <w:sz w:val="24"/>
                <w:szCs w:val="24"/>
              </w:rPr>
              <w:t xml:space="preserve"> </w:t>
            </w:r>
            <w:r w:rsidR="002C6610">
              <w:rPr>
                <w:rFonts w:ascii="Times New Roman" w:eastAsia="Times New Roman" w:hAnsi="Times New Roman" w:cs="Times New Roman"/>
                <w:sz w:val="24"/>
                <w:szCs w:val="24"/>
              </w:rPr>
              <w:t>n</w:t>
            </w:r>
            <w:r w:rsidR="00F13F19">
              <w:rPr>
                <w:rFonts w:ascii="Times New Roman" w:eastAsia="Times New Roman" w:hAnsi="Times New Roman" w:cs="Times New Roman"/>
                <w:sz w:val="24"/>
                <w:szCs w:val="24"/>
              </w:rPr>
              <w:t>umă</w:t>
            </w:r>
            <w:r>
              <w:rPr>
                <w:rFonts w:ascii="Times New Roman" w:eastAsia="Times New Roman" w:hAnsi="Times New Roman" w:cs="Times New Roman"/>
                <w:sz w:val="24"/>
                <w:szCs w:val="24"/>
              </w:rPr>
              <w:t xml:space="preserve">rul de doze </w:t>
            </w:r>
            <w:r w:rsidR="002C6610">
              <w:rPr>
                <w:rFonts w:ascii="Times New Roman" w:eastAsia="Times New Roman" w:hAnsi="Times New Roman" w:cs="Times New Roman"/>
                <w:sz w:val="24"/>
                <w:szCs w:val="24"/>
              </w:rPr>
              <w:t>utilizate s-ar putea reduce.</w:t>
            </w:r>
            <w:r>
              <w:rPr>
                <w:rFonts w:ascii="Times New Roman" w:eastAsia="Times New Roman" w:hAnsi="Times New Roman" w:cs="Times New Roman"/>
                <w:sz w:val="24"/>
                <w:szCs w:val="24"/>
              </w:rPr>
              <w:t xml:space="preserve"> In situatia in care se impune revaccinarea cu un vaccin adaptat pentru o varianta noua </w:t>
            </w:r>
            <w:r w:rsidR="002C6610">
              <w:rPr>
                <w:rFonts w:ascii="Times New Roman" w:eastAsia="Times New Roman" w:hAnsi="Times New Roman" w:cs="Times New Roman"/>
                <w:sz w:val="24"/>
                <w:szCs w:val="24"/>
              </w:rPr>
              <w:t>numarul de doze necesare ar creste semnificativ.</w:t>
            </w:r>
          </w:p>
        </w:tc>
      </w:tr>
      <w:tr w:rsidR="000C4361" w:rsidRPr="000C4361" w14:paraId="47D51E5F" w14:textId="77777777" w:rsidTr="009D7F76">
        <w:trPr>
          <w:trHeight w:val="1343"/>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374A89D9" w14:textId="77777777" w:rsidR="00CF58B1" w:rsidRPr="000C4361" w:rsidRDefault="004D784F" w:rsidP="00FA1C1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lastRenderedPageBreak/>
              <w:t>3. Alte informaţii</w:t>
            </w:r>
          </w:p>
          <w:p w14:paraId="7FD274BB" w14:textId="1E5B9878" w:rsidR="00835B80" w:rsidRPr="000C4361" w:rsidRDefault="00835B80" w:rsidP="00835B80">
            <w:pPr>
              <w:autoSpaceDE w:val="0"/>
              <w:autoSpaceDN w:val="0"/>
              <w:jc w:val="both"/>
              <w:rPr>
                <w:rFonts w:ascii="Times New Roman" w:hAnsi="Times New Roman"/>
                <w:sz w:val="24"/>
                <w:szCs w:val="24"/>
              </w:rPr>
            </w:pPr>
            <w:r w:rsidRPr="000C4361">
              <w:rPr>
                <w:rFonts w:ascii="Times New Roman" w:hAnsi="Times New Roman"/>
                <w:sz w:val="24"/>
                <w:szCs w:val="24"/>
              </w:rPr>
              <w:t>Menționăm faptul că, măsurile propuse prin prezentul proiect se încadrează în categoria actelor administrative prevăzute la art. 110 alin. (4) din Constituția României, republicată, și la art. 37 alin. (3) teza întâi din Ordonanța de urgență a Guvernului nr. 57/2019 privind Codul administrativ, cu completările ulterioare,  pentru considerentele prezentate în instrumentul de prezentare și motivare.</w:t>
            </w:r>
          </w:p>
        </w:tc>
      </w:tr>
      <w:tr w:rsidR="000C4361" w:rsidRPr="000C4361" w14:paraId="7BDB0A3A"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5FB06D7"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b/>
                <w:bCs/>
                <w:sz w:val="24"/>
                <w:szCs w:val="24"/>
              </w:rPr>
              <w:t>Secţiunea a 3-a</w:t>
            </w:r>
          </w:p>
          <w:p w14:paraId="1A424844" w14:textId="40F89BDD" w:rsidR="003037BA" w:rsidRPr="000C4361" w:rsidRDefault="004D784F" w:rsidP="00FA1C1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b/>
                <w:bCs/>
                <w:sz w:val="24"/>
                <w:szCs w:val="24"/>
              </w:rPr>
              <w:t>Impactul socio-economic al proiectului de act normativ</w:t>
            </w:r>
          </w:p>
        </w:tc>
      </w:tr>
      <w:tr w:rsidR="000C4361" w:rsidRPr="000C4361" w14:paraId="3F22433A"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1D2455BF"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b/>
                <w:bCs/>
                <w:sz w:val="24"/>
                <w:szCs w:val="24"/>
              </w:rPr>
              <w:t>1. Impact macro-economic</w:t>
            </w:r>
          </w:p>
          <w:p w14:paraId="15FA51D6"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39E714B9"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2079E2A9"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b/>
                <w:bCs/>
                <w:sz w:val="24"/>
                <w:szCs w:val="24"/>
              </w:rPr>
              <w:t>1</w:t>
            </w:r>
            <w:r w:rsidRPr="000C4361">
              <w:rPr>
                <w:rFonts w:ascii="Times New Roman" w:hAnsi="Times New Roman" w:cs="Times New Roman"/>
                <w:b/>
                <w:bCs/>
                <w:sz w:val="24"/>
                <w:szCs w:val="24"/>
                <w:vertAlign w:val="superscript"/>
              </w:rPr>
              <w:t>1</w:t>
            </w:r>
            <w:r w:rsidRPr="000C4361">
              <w:rPr>
                <w:rFonts w:ascii="Times New Roman" w:hAnsi="Times New Roman" w:cs="Times New Roman"/>
                <w:b/>
                <w:bCs/>
                <w:sz w:val="24"/>
                <w:szCs w:val="24"/>
              </w:rPr>
              <w:t>. Impactul asupra mediului concurenţial şi domeniului ajutoarelor de stat:</w:t>
            </w:r>
          </w:p>
          <w:p w14:paraId="7EF93805"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67BC3CD1"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7112CF40"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b/>
                <w:bCs/>
                <w:sz w:val="24"/>
                <w:szCs w:val="24"/>
              </w:rPr>
              <w:t>2. Impact asupra mediului de afaceri</w:t>
            </w:r>
          </w:p>
          <w:p w14:paraId="79A5C67A"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2335B724"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3B75F990"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2</w:t>
            </w:r>
            <w:r w:rsidRPr="000C4361">
              <w:rPr>
                <w:rFonts w:ascii="Times New Roman" w:hAnsi="Times New Roman" w:cs="Times New Roman"/>
                <w:b/>
                <w:bCs/>
                <w:sz w:val="24"/>
                <w:szCs w:val="24"/>
                <w:vertAlign w:val="superscript"/>
              </w:rPr>
              <w:t>1</w:t>
            </w:r>
            <w:r w:rsidRPr="000C4361">
              <w:rPr>
                <w:rFonts w:ascii="Times New Roman" w:hAnsi="Times New Roman" w:cs="Times New Roman"/>
                <w:b/>
                <w:bCs/>
                <w:sz w:val="24"/>
                <w:szCs w:val="24"/>
              </w:rPr>
              <w:t>.Impactul asupra sarcinilor administrative</w:t>
            </w:r>
          </w:p>
          <w:p w14:paraId="37F3E8C6"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00548B37"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EBFB74B"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2</w:t>
            </w:r>
            <w:r w:rsidRPr="000C4361">
              <w:rPr>
                <w:rFonts w:ascii="Times New Roman" w:hAnsi="Times New Roman" w:cs="Times New Roman"/>
                <w:b/>
                <w:bCs/>
                <w:sz w:val="24"/>
                <w:szCs w:val="24"/>
                <w:vertAlign w:val="superscript"/>
              </w:rPr>
              <w:t>2</w:t>
            </w:r>
            <w:r w:rsidRPr="000C4361">
              <w:rPr>
                <w:rFonts w:ascii="Times New Roman" w:hAnsi="Times New Roman" w:cs="Times New Roman"/>
                <w:b/>
                <w:bCs/>
                <w:sz w:val="24"/>
                <w:szCs w:val="24"/>
              </w:rPr>
              <w:t>.Impactul asupra întreprinderilor mici și mijlocii</w:t>
            </w:r>
          </w:p>
          <w:p w14:paraId="7BE7A291"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60AF6401"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466D7E3E"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3. Impact social</w:t>
            </w:r>
          </w:p>
          <w:p w14:paraId="7190F261" w14:textId="77777777" w:rsidR="00CF58B1" w:rsidRPr="000C4361" w:rsidRDefault="004D784F">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04CBA4EF"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439C6270"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4. Impact asupra mediului</w:t>
            </w:r>
          </w:p>
          <w:p w14:paraId="617947FD"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6E29C15E"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24B5D143" w14:textId="145DE366" w:rsidR="00CF58B1" w:rsidRPr="000C4361" w:rsidRDefault="004D784F" w:rsidP="00FA1C1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b/>
                <w:bCs/>
                <w:sz w:val="24"/>
                <w:szCs w:val="24"/>
              </w:rPr>
              <w:t>5. Alte informaţii</w:t>
            </w:r>
            <w:r w:rsidR="00FA1C1F" w:rsidRPr="000C4361">
              <w:rPr>
                <w:rFonts w:ascii="Times New Roman" w:hAnsi="Times New Roman" w:cs="Times New Roman"/>
                <w:b/>
                <w:bCs/>
                <w:sz w:val="24"/>
                <w:szCs w:val="24"/>
              </w:rPr>
              <w:t xml:space="preserve"> </w:t>
            </w:r>
            <w:r w:rsidRPr="000C4361">
              <w:rPr>
                <w:rFonts w:ascii="Times New Roman" w:hAnsi="Times New Roman" w:cs="Times New Roman"/>
                <w:bCs/>
                <w:sz w:val="24"/>
                <w:szCs w:val="24"/>
              </w:rPr>
              <w:t>Nu sunt</w:t>
            </w:r>
          </w:p>
        </w:tc>
      </w:tr>
      <w:tr w:rsidR="000C4361" w:rsidRPr="000C4361" w14:paraId="68167E48"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2EC1EAB"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Secţiunea a 4-a</w:t>
            </w:r>
          </w:p>
          <w:p w14:paraId="47617923"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Impactul financiar asupra bugetului general consolidat,</w:t>
            </w:r>
          </w:p>
          <w:p w14:paraId="01710697" w14:textId="5994EA97" w:rsidR="003037BA" w:rsidRPr="000C4361" w:rsidRDefault="004D784F" w:rsidP="00FA1C1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atât pe termen scurt, pentru anul curent, cât şi pe termen lung (pe 5 ani)</w:t>
            </w:r>
          </w:p>
        </w:tc>
      </w:tr>
      <w:tr w:rsidR="000C4361" w:rsidRPr="000C4361" w14:paraId="514A57FB"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41F78F89" w14:textId="77777777" w:rsidR="00CF58B1" w:rsidRPr="000C4361" w:rsidRDefault="004D784F">
            <w:pPr>
              <w:tabs>
                <w:tab w:val="left" w:pos="3960"/>
              </w:tabs>
              <w:spacing w:after="0" w:line="240" w:lineRule="auto"/>
              <w:jc w:val="right"/>
              <w:rPr>
                <w:rFonts w:ascii="Times New Roman" w:hAnsi="Times New Roman" w:cs="Times New Roman"/>
                <w:sz w:val="24"/>
                <w:szCs w:val="24"/>
              </w:rPr>
            </w:pPr>
            <w:r w:rsidRPr="000C4361">
              <w:rPr>
                <w:rFonts w:ascii="Times New Roman" w:hAnsi="Times New Roman" w:cs="Times New Roman"/>
                <w:sz w:val="24"/>
                <w:szCs w:val="24"/>
              </w:rPr>
              <w:t>- în mii lei (RON) -</w:t>
            </w:r>
          </w:p>
        </w:tc>
      </w:tr>
      <w:tr w:rsidR="000C4361" w:rsidRPr="000C4361" w14:paraId="6885D26E" w14:textId="77777777" w:rsidTr="009D7F76">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2C1E1087"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lastRenderedPageBreak/>
              <w:t>Indicatori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86CC471"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 xml:space="preserve">Anul curent - </w:t>
            </w:r>
          </w:p>
          <w:p w14:paraId="1FB8DBC6"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Sem. II</w:t>
            </w:r>
          </w:p>
        </w:tc>
        <w:tc>
          <w:tcPr>
            <w:tcW w:w="2167" w:type="dxa"/>
            <w:gridSpan w:val="5"/>
            <w:tcBorders>
              <w:top w:val="single" w:sz="4" w:space="0" w:color="000000"/>
              <w:left w:val="single" w:sz="4" w:space="0" w:color="000000"/>
              <w:bottom w:val="single" w:sz="4" w:space="0" w:color="000000"/>
              <w:right w:val="single" w:sz="4" w:space="0" w:color="000000"/>
            </w:tcBorders>
            <w:shd w:val="clear" w:color="auto" w:fill="auto"/>
          </w:tcPr>
          <w:p w14:paraId="11D401AA"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Următorii patru ani</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0D509C38"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 xml:space="preserve">Media pe cinci ani </w:t>
            </w:r>
          </w:p>
        </w:tc>
      </w:tr>
      <w:tr w:rsidR="000C4361" w:rsidRPr="000C4361" w14:paraId="18292613" w14:textId="77777777" w:rsidTr="009D7F76">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0E6A7BD"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BBDFF6F"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22FD363E"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3</w:t>
            </w: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6716B818"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4</w:t>
            </w: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DA16D2C"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5</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Pr>
          <w:p w14:paraId="64E625DF"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6</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6C47C3A3" w14:textId="77777777"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sz w:val="24"/>
                <w:szCs w:val="24"/>
              </w:rPr>
              <w:t>7</w:t>
            </w:r>
          </w:p>
        </w:tc>
      </w:tr>
      <w:tr w:rsidR="000C4361" w:rsidRPr="000C4361" w14:paraId="2336F723" w14:textId="77777777" w:rsidTr="009D7F76">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3CDA2EC4" w14:textId="77777777" w:rsidR="008F1737"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 xml:space="preserve">1. Modificări ale veniturilor bugetare, plus/minus, din care: </w:t>
            </w:r>
          </w:p>
          <w:p w14:paraId="7DA66311" w14:textId="1940E00F"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a) buget de stat, din acesta:</w:t>
            </w:r>
          </w:p>
          <w:p w14:paraId="73337DE8" w14:textId="77777777" w:rsidR="00CF58B1" w:rsidRPr="000C4361" w:rsidRDefault="004D784F" w:rsidP="008F1737">
            <w:pPr>
              <w:numPr>
                <w:ilvl w:val="0"/>
                <w:numId w:val="1"/>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impozit pe profit</w:t>
            </w:r>
          </w:p>
          <w:p w14:paraId="19721B81" w14:textId="77777777" w:rsidR="00CF58B1" w:rsidRPr="000C4361" w:rsidRDefault="004D784F" w:rsidP="008F1737">
            <w:pPr>
              <w:numPr>
                <w:ilvl w:val="0"/>
                <w:numId w:val="1"/>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impozit pe venit</w:t>
            </w:r>
          </w:p>
          <w:p w14:paraId="4995DED5" w14:textId="77777777" w:rsidR="00CF58B1" w:rsidRPr="000C4361" w:rsidRDefault="004D784F" w:rsidP="008F1737">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b) bugete locale</w:t>
            </w:r>
          </w:p>
          <w:p w14:paraId="15926959" w14:textId="77777777" w:rsidR="00CF58B1" w:rsidRPr="000C4361" w:rsidRDefault="004D784F" w:rsidP="008F1737">
            <w:pPr>
              <w:numPr>
                <w:ilvl w:val="0"/>
                <w:numId w:val="2"/>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impozit pe profit</w:t>
            </w:r>
          </w:p>
          <w:p w14:paraId="2CE03840" w14:textId="77777777" w:rsidR="00CF58B1" w:rsidRPr="000C4361" w:rsidRDefault="004D784F" w:rsidP="008F1737">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c) bugetul asigurărilor sociale de stat:</w:t>
            </w:r>
          </w:p>
          <w:p w14:paraId="30DABC94" w14:textId="77777777" w:rsidR="00CF58B1" w:rsidRPr="000C4361" w:rsidRDefault="004D784F" w:rsidP="008F1737">
            <w:pPr>
              <w:numPr>
                <w:ilvl w:val="0"/>
                <w:numId w:val="3"/>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contribuţii de asigurări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2813EA0"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34C5731" w14:textId="77777777" w:rsidR="00CF58B1" w:rsidRPr="000C4361" w:rsidRDefault="00CF58B1">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62B9CF30"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D4E3CDB"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Pr>
          <w:p w14:paraId="0D815DED"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36FD01B3" w14:textId="77777777" w:rsidR="00CF58B1" w:rsidRPr="000C4361" w:rsidRDefault="00CF58B1">
            <w:pPr>
              <w:tabs>
                <w:tab w:val="left" w:pos="3960"/>
              </w:tabs>
              <w:spacing w:after="0" w:line="240" w:lineRule="auto"/>
              <w:rPr>
                <w:rFonts w:ascii="Times New Roman" w:hAnsi="Times New Roman" w:cs="Times New Roman"/>
                <w:sz w:val="24"/>
                <w:szCs w:val="24"/>
              </w:rPr>
            </w:pPr>
          </w:p>
        </w:tc>
      </w:tr>
      <w:tr w:rsidR="000C4361" w:rsidRPr="000C4361" w14:paraId="5B88F11E" w14:textId="77777777" w:rsidTr="009D7F76">
        <w:trPr>
          <w:trHeight w:val="530"/>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0EB3BBA8"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2. Modificări ale cheltuielilor bugetare, plus/minus, din care:</w:t>
            </w:r>
          </w:p>
          <w:p w14:paraId="2032C984"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a) buget de stat, din acesta:</w:t>
            </w:r>
          </w:p>
          <w:p w14:paraId="57698A3E" w14:textId="77777777" w:rsidR="00CF58B1" w:rsidRPr="000C4361" w:rsidRDefault="004D784F" w:rsidP="008F1737">
            <w:pPr>
              <w:numPr>
                <w:ilvl w:val="0"/>
                <w:numId w:val="4"/>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cheltuieli de personal</w:t>
            </w:r>
          </w:p>
          <w:p w14:paraId="06E95CB2" w14:textId="77777777" w:rsidR="00CF58B1" w:rsidRPr="000C4361" w:rsidRDefault="004D784F" w:rsidP="008F1737">
            <w:pPr>
              <w:numPr>
                <w:ilvl w:val="0"/>
                <w:numId w:val="4"/>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bunuri şi servicii</w:t>
            </w:r>
          </w:p>
          <w:p w14:paraId="4195C8EB"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b) bugete locale:</w:t>
            </w:r>
          </w:p>
          <w:p w14:paraId="2A49B850" w14:textId="77777777" w:rsidR="00CF58B1" w:rsidRPr="000C4361" w:rsidRDefault="004D784F" w:rsidP="008F1737">
            <w:pPr>
              <w:numPr>
                <w:ilvl w:val="0"/>
                <w:numId w:val="5"/>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cheltuieli de personal</w:t>
            </w:r>
          </w:p>
          <w:p w14:paraId="69309FD7" w14:textId="77777777" w:rsidR="00CF58B1" w:rsidRPr="000C4361" w:rsidRDefault="004D784F" w:rsidP="008F1737">
            <w:pPr>
              <w:numPr>
                <w:ilvl w:val="0"/>
                <w:numId w:val="5"/>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bunuri şi servicii</w:t>
            </w:r>
          </w:p>
          <w:p w14:paraId="0970DF97"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c) bugetul asigurărilor sociale de stat:</w:t>
            </w:r>
          </w:p>
          <w:p w14:paraId="4A3E4739" w14:textId="77777777" w:rsidR="00CF58B1" w:rsidRPr="000C4361" w:rsidRDefault="004D784F" w:rsidP="008F1737">
            <w:pPr>
              <w:numPr>
                <w:ilvl w:val="0"/>
                <w:numId w:val="6"/>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cheltuieli de personal</w:t>
            </w:r>
          </w:p>
          <w:p w14:paraId="523F255B" w14:textId="77777777" w:rsidR="00CF58B1" w:rsidRPr="000C4361" w:rsidRDefault="004D784F" w:rsidP="008F1737">
            <w:pPr>
              <w:numPr>
                <w:ilvl w:val="0"/>
                <w:numId w:val="6"/>
              </w:numPr>
              <w:tabs>
                <w:tab w:val="clear" w:pos="720"/>
                <w:tab w:val="num" w:pos="488"/>
                <w:tab w:val="left" w:pos="3960"/>
              </w:tabs>
              <w:spacing w:after="0" w:line="240" w:lineRule="auto"/>
              <w:ind w:left="347" w:firstLine="0"/>
              <w:jc w:val="both"/>
              <w:rPr>
                <w:rFonts w:ascii="Times New Roman" w:hAnsi="Times New Roman" w:cs="Times New Roman"/>
                <w:sz w:val="24"/>
                <w:szCs w:val="24"/>
              </w:rPr>
            </w:pPr>
            <w:r w:rsidRPr="000C4361">
              <w:rPr>
                <w:rFonts w:ascii="Times New Roman" w:hAnsi="Times New Roman" w:cs="Times New Roman"/>
                <w:sz w:val="24"/>
                <w:szCs w:val="24"/>
              </w:rPr>
              <w:t xml:space="preserve">bunuri şi servicii </w:t>
            </w:r>
          </w:p>
        </w:tc>
      </w:tr>
      <w:tr w:rsidR="000C4361" w:rsidRPr="000C4361" w14:paraId="21CE3A71" w14:textId="77777777" w:rsidTr="009D7F76">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2F96FCAB"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3. Impact financiar, plus/minus, din care:</w:t>
            </w:r>
          </w:p>
          <w:p w14:paraId="4E67EDC2"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a)</w:t>
            </w:r>
            <w:r w:rsidRPr="000C4361">
              <w:rPr>
                <w:rFonts w:ascii="Times New Roman" w:hAnsi="Times New Roman" w:cs="Times New Roman"/>
                <w:sz w:val="24"/>
                <w:szCs w:val="24"/>
                <w:vertAlign w:val="superscript"/>
              </w:rPr>
              <w:t xml:space="preserve"> </w:t>
            </w:r>
            <w:r w:rsidRPr="000C4361">
              <w:rPr>
                <w:rFonts w:ascii="Times New Roman" w:hAnsi="Times New Roman" w:cs="Times New Roman"/>
                <w:sz w:val="24"/>
                <w:szCs w:val="24"/>
              </w:rPr>
              <w:t>buget de stat</w:t>
            </w:r>
          </w:p>
          <w:p w14:paraId="041909D1" w14:textId="77777777" w:rsidR="00CF58B1" w:rsidRPr="000C4361" w:rsidRDefault="004D784F">
            <w:pPr>
              <w:tabs>
                <w:tab w:val="left" w:pos="3960"/>
              </w:tabs>
              <w:spacing w:after="0" w:line="240" w:lineRule="auto"/>
              <w:rPr>
                <w:rFonts w:ascii="Times New Roman" w:hAnsi="Times New Roman" w:cs="Times New Roman"/>
                <w:sz w:val="24"/>
                <w:szCs w:val="24"/>
              </w:rPr>
            </w:pPr>
            <w:r w:rsidRPr="000C4361">
              <w:rPr>
                <w:rFonts w:ascii="Times New Roman" w:hAnsi="Times New Roman" w:cs="Times New Roman"/>
                <w:sz w:val="24"/>
                <w:szCs w:val="24"/>
              </w:rPr>
              <w:t>b) bugete locale</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F9A3E56" w14:textId="77777777" w:rsidR="00CF58B1" w:rsidRPr="000C4361" w:rsidRDefault="004D784F">
            <w:pPr>
              <w:tabs>
                <w:tab w:val="left" w:pos="3960"/>
              </w:tabs>
              <w:spacing w:after="0" w:line="240" w:lineRule="auto"/>
              <w:jc w:val="right"/>
              <w:rPr>
                <w:rFonts w:ascii="Times New Roman" w:hAnsi="Times New Roman" w:cs="Times New Roman"/>
                <w:sz w:val="24"/>
                <w:szCs w:val="24"/>
              </w:rPr>
            </w:pPr>
            <w:r w:rsidRPr="000C4361">
              <w:rPr>
                <w:rFonts w:ascii="Times New Roman" w:hAnsi="Times New Roman" w:cs="Times New Roman"/>
                <w:sz w:val="24"/>
                <w:szCs w:val="24"/>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B5657E9"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6A776A59"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237B6F8"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E730B61"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14:paraId="0E88666E" w14:textId="77777777" w:rsidR="00CF58B1" w:rsidRPr="000C4361" w:rsidRDefault="00CF58B1">
            <w:pPr>
              <w:tabs>
                <w:tab w:val="left" w:pos="3960"/>
              </w:tabs>
              <w:spacing w:after="0" w:line="240" w:lineRule="auto"/>
              <w:rPr>
                <w:rFonts w:ascii="Times New Roman" w:hAnsi="Times New Roman" w:cs="Times New Roman"/>
                <w:sz w:val="24"/>
                <w:szCs w:val="24"/>
              </w:rPr>
            </w:pPr>
          </w:p>
        </w:tc>
      </w:tr>
      <w:tr w:rsidR="000C4361" w:rsidRPr="000C4361" w14:paraId="24556A81" w14:textId="77777777" w:rsidTr="009D7F76">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FA4C887" w14:textId="77777777" w:rsidR="00CF58B1" w:rsidRPr="000C4361" w:rsidRDefault="004D784F">
            <w:pPr>
              <w:tabs>
                <w:tab w:val="left" w:pos="3960"/>
              </w:tabs>
              <w:spacing w:after="0" w:line="240" w:lineRule="auto"/>
              <w:rPr>
                <w:rFonts w:ascii="Times New Roman" w:hAnsi="Times New Roman" w:cs="Times New Roman"/>
                <w:sz w:val="24"/>
                <w:szCs w:val="24"/>
              </w:rPr>
            </w:pPr>
            <w:r w:rsidRPr="000C4361">
              <w:rPr>
                <w:rFonts w:ascii="Times New Roman" w:hAnsi="Times New Roman" w:cs="Times New Roman"/>
                <w:sz w:val="24"/>
                <w:szCs w:val="24"/>
              </w:rPr>
              <w:t>4. Propuneri pentru acoperirea creşterii cheltuielilor bugetare</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FADEE2F"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E9766C0"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114DC053"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ED7EB45"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C699BF7"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14:paraId="2A915422" w14:textId="77777777" w:rsidR="00CF58B1" w:rsidRPr="000C4361" w:rsidRDefault="00CF58B1">
            <w:pPr>
              <w:tabs>
                <w:tab w:val="left" w:pos="3960"/>
              </w:tabs>
              <w:spacing w:after="0" w:line="240" w:lineRule="auto"/>
              <w:rPr>
                <w:rFonts w:ascii="Times New Roman" w:hAnsi="Times New Roman" w:cs="Times New Roman"/>
                <w:sz w:val="24"/>
                <w:szCs w:val="24"/>
              </w:rPr>
            </w:pPr>
          </w:p>
        </w:tc>
      </w:tr>
      <w:tr w:rsidR="000C4361" w:rsidRPr="000C4361" w14:paraId="5956ABAF" w14:textId="77777777" w:rsidTr="009D7F76">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BE39BA5"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5. Propuneri pentru a compensa reducerea veniturilor bugetare</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5D6FF67"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0410F301"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19472603"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98A00DA"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E4F9B24"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14:paraId="6EFF75CA" w14:textId="77777777" w:rsidR="00CF58B1" w:rsidRPr="000C4361" w:rsidRDefault="00CF58B1">
            <w:pPr>
              <w:tabs>
                <w:tab w:val="left" w:pos="3960"/>
              </w:tabs>
              <w:spacing w:after="0" w:line="240" w:lineRule="auto"/>
              <w:rPr>
                <w:rFonts w:ascii="Times New Roman" w:hAnsi="Times New Roman" w:cs="Times New Roman"/>
                <w:sz w:val="24"/>
                <w:szCs w:val="24"/>
              </w:rPr>
            </w:pPr>
          </w:p>
        </w:tc>
      </w:tr>
      <w:tr w:rsidR="000C4361" w:rsidRPr="000C4361" w14:paraId="79C5A4CC" w14:textId="77777777" w:rsidTr="009D7F76">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6D054897"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6. Calcule detaliate privind fundamentarea modificărilor veniturilor şi/sau cheltuielilor bugetare</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EBEB7E5"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5A1D3E2"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5C4A8381"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31A3D630"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55CBF9C" w14:textId="77777777" w:rsidR="00CF58B1" w:rsidRPr="000C4361" w:rsidRDefault="00CF58B1">
            <w:pPr>
              <w:tabs>
                <w:tab w:val="left" w:pos="3960"/>
              </w:tabs>
              <w:spacing w:after="0" w:line="240" w:lineRule="auto"/>
              <w:rPr>
                <w:rFonts w:ascii="Times New Roman" w:hAnsi="Times New Roman" w:cs="Times New Roman"/>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auto" w:fill="auto"/>
          </w:tcPr>
          <w:p w14:paraId="022FAB27" w14:textId="77777777" w:rsidR="00CF58B1" w:rsidRPr="000C4361" w:rsidRDefault="00CF58B1">
            <w:pPr>
              <w:tabs>
                <w:tab w:val="left" w:pos="3960"/>
              </w:tabs>
              <w:spacing w:after="0" w:line="240" w:lineRule="auto"/>
              <w:rPr>
                <w:rFonts w:ascii="Times New Roman" w:hAnsi="Times New Roman" w:cs="Times New Roman"/>
                <w:sz w:val="24"/>
                <w:szCs w:val="24"/>
              </w:rPr>
            </w:pPr>
          </w:p>
        </w:tc>
      </w:tr>
      <w:tr w:rsidR="000C4361" w:rsidRPr="000C4361" w14:paraId="088E612E"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1AA2D08" w14:textId="2C543F6A" w:rsidR="00CF58B1" w:rsidRPr="000C4361" w:rsidRDefault="004D784F" w:rsidP="00835B80">
            <w:pPr>
              <w:tabs>
                <w:tab w:val="left" w:pos="3960"/>
              </w:tabs>
              <w:spacing w:after="0" w:line="240" w:lineRule="auto"/>
              <w:rPr>
                <w:rFonts w:ascii="Times New Roman" w:hAnsi="Times New Roman" w:cs="Times New Roman"/>
                <w:sz w:val="24"/>
                <w:szCs w:val="24"/>
              </w:rPr>
            </w:pPr>
            <w:r w:rsidRPr="000C4361">
              <w:rPr>
                <w:rFonts w:ascii="Times New Roman" w:hAnsi="Times New Roman" w:cs="Times New Roman"/>
                <w:sz w:val="24"/>
                <w:szCs w:val="24"/>
              </w:rPr>
              <w:t xml:space="preserve">7. Alte informaţii </w:t>
            </w:r>
          </w:p>
        </w:tc>
      </w:tr>
      <w:tr w:rsidR="000C4361" w:rsidRPr="000C4361" w14:paraId="47B053F6"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932C9F2"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Secţiunea a 5-a</w:t>
            </w:r>
          </w:p>
          <w:p w14:paraId="0C7A3783" w14:textId="7C7A86BF" w:rsidR="003037BA" w:rsidRPr="000C4361" w:rsidRDefault="004D784F" w:rsidP="00D64C34">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Efectele proiectului de act normativ asupra legislaţiei în vigoare</w:t>
            </w:r>
          </w:p>
        </w:tc>
      </w:tr>
      <w:tr w:rsidR="000C4361" w:rsidRPr="000C4361" w14:paraId="27B627F4"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291E71F"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1. Măsuri normative necesare pentru aplicarea prevederilor proiectului de act normativ (acte normative în vigoare ce vor fi modificate sau abrogate, ca urmare a intrării în vigoare a proiectului de act normativ):</w:t>
            </w:r>
          </w:p>
          <w:p w14:paraId="425C7989" w14:textId="77777777" w:rsidR="00CF58B1" w:rsidRPr="000C4361" w:rsidRDefault="004D784F">
            <w:pPr>
              <w:spacing w:after="0" w:line="240" w:lineRule="auto"/>
              <w:jc w:val="both"/>
              <w:rPr>
                <w:rFonts w:ascii="Times New Roman" w:eastAsia="Times New Roman" w:hAnsi="Times New Roman" w:cs="Times New Roman"/>
                <w:bCs/>
                <w:sz w:val="24"/>
                <w:szCs w:val="24"/>
                <w:lang w:eastAsia="ro-RO"/>
              </w:rPr>
            </w:pPr>
            <w:r w:rsidRPr="000C4361">
              <w:rPr>
                <w:rFonts w:ascii="Times New Roman" w:eastAsia="Times New Roman" w:hAnsi="Times New Roman" w:cs="Times New Roman"/>
                <w:bCs/>
                <w:sz w:val="24"/>
                <w:szCs w:val="24"/>
                <w:lang w:eastAsia="ro-RO"/>
              </w:rPr>
              <w:t>a) acte normative în vigoare ce vor fi modificate sau abrogate, ca urmare a intrării în vigoare a proiectului de act normativ:</w:t>
            </w:r>
          </w:p>
          <w:p w14:paraId="70AF5E79" w14:textId="77777777" w:rsidR="00CF58B1" w:rsidRPr="000C4361" w:rsidRDefault="004D784F">
            <w:pPr>
              <w:tabs>
                <w:tab w:val="left" w:pos="3960"/>
              </w:tabs>
              <w:spacing w:after="0" w:line="240" w:lineRule="auto"/>
              <w:jc w:val="both"/>
              <w:rPr>
                <w:rFonts w:ascii="Times New Roman" w:eastAsia="Times New Roman" w:hAnsi="Times New Roman" w:cs="Times New Roman"/>
                <w:bCs/>
                <w:sz w:val="24"/>
                <w:szCs w:val="24"/>
                <w:lang w:eastAsia="ro-RO"/>
              </w:rPr>
            </w:pPr>
            <w:r w:rsidRPr="000C4361">
              <w:rPr>
                <w:rFonts w:ascii="Times New Roman" w:eastAsia="Times New Roman" w:hAnsi="Times New Roman" w:cs="Times New Roman"/>
                <w:bCs/>
                <w:sz w:val="24"/>
                <w:szCs w:val="24"/>
                <w:lang w:eastAsia="ro-RO"/>
              </w:rPr>
              <w:t>b) acte normative ce urmează a fi elaborate în vederea implementării noilor dispoziţii:</w:t>
            </w:r>
          </w:p>
          <w:p w14:paraId="12C842C5" w14:textId="77777777" w:rsidR="00CF58B1" w:rsidRPr="000C4361" w:rsidRDefault="004D784F">
            <w:pPr>
              <w:tabs>
                <w:tab w:val="left" w:pos="3960"/>
              </w:tabs>
              <w:spacing w:after="0" w:line="240" w:lineRule="auto"/>
              <w:jc w:val="both"/>
              <w:rPr>
                <w:rFonts w:ascii="Times New Roman" w:eastAsia="Times New Roman" w:hAnsi="Times New Roman" w:cs="Times New Roman"/>
                <w:bCs/>
                <w:sz w:val="24"/>
                <w:szCs w:val="24"/>
                <w:lang w:eastAsia="ro-RO"/>
              </w:rPr>
            </w:pPr>
            <w:r w:rsidRPr="000C4361">
              <w:rPr>
                <w:rFonts w:ascii="Times New Roman" w:eastAsia="Times New Roman" w:hAnsi="Times New Roman" w:cs="Times New Roman"/>
                <w:bCs/>
                <w:sz w:val="24"/>
                <w:szCs w:val="24"/>
                <w:lang w:eastAsia="ro-RO"/>
              </w:rPr>
              <w:t>Nu este cazul.</w:t>
            </w:r>
          </w:p>
        </w:tc>
      </w:tr>
      <w:tr w:rsidR="000C4361" w:rsidRPr="000C4361" w14:paraId="131187B2"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122791D0" w14:textId="77777777" w:rsidR="00CF58B1" w:rsidRPr="000C4361" w:rsidRDefault="004D784F">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Cs/>
                <w:sz w:val="24"/>
                <w:szCs w:val="24"/>
              </w:rPr>
              <w:t>1</w:t>
            </w:r>
            <w:r w:rsidRPr="000C4361">
              <w:rPr>
                <w:rFonts w:ascii="Times New Roman" w:hAnsi="Times New Roman" w:cs="Times New Roman"/>
                <w:bCs/>
                <w:sz w:val="24"/>
                <w:szCs w:val="24"/>
                <w:vertAlign w:val="superscript"/>
              </w:rPr>
              <w:t>1</w:t>
            </w:r>
            <w:r w:rsidRPr="000C4361">
              <w:rPr>
                <w:rFonts w:ascii="Times New Roman" w:hAnsi="Times New Roman" w:cs="Times New Roman"/>
                <w:bCs/>
                <w:sz w:val="24"/>
                <w:szCs w:val="24"/>
              </w:rPr>
              <w:t>. Compatibilitatea proiectului de act normativ cu legislația în domeniul achizițiilor publice</w:t>
            </w:r>
          </w:p>
        </w:tc>
      </w:tr>
      <w:tr w:rsidR="000C4361" w:rsidRPr="000C4361" w14:paraId="0FE09C0A"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228F74CF"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2. Conformitatea proiectului de act normativ cu legislaţia comunitară în cazul proiectelor ce transpun prevederi comunitare</w:t>
            </w:r>
          </w:p>
          <w:p w14:paraId="7480E510"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7D5D200B"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36CEDD9C"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3. Măsuri normative necesare aplicării directe a actelor normative comunitare</w:t>
            </w:r>
          </w:p>
          <w:p w14:paraId="3918896E"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1FC3D7E0"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78A33317"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 xml:space="preserve">4. Hotărâri ale Curţii de Justiţie a Uniunii Europene </w:t>
            </w:r>
          </w:p>
          <w:p w14:paraId="048B4BD1" w14:textId="77777777" w:rsidR="00CF58B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p w14:paraId="27EBE52E" w14:textId="77777777" w:rsidR="00E21236" w:rsidRPr="000C4361" w:rsidRDefault="00E21236">
            <w:pPr>
              <w:tabs>
                <w:tab w:val="left" w:pos="3960"/>
              </w:tabs>
              <w:spacing w:after="0" w:line="240" w:lineRule="auto"/>
              <w:jc w:val="both"/>
              <w:rPr>
                <w:rFonts w:ascii="Times New Roman" w:hAnsi="Times New Roman" w:cs="Times New Roman"/>
                <w:sz w:val="24"/>
                <w:szCs w:val="24"/>
              </w:rPr>
            </w:pPr>
          </w:p>
        </w:tc>
      </w:tr>
      <w:tr w:rsidR="000C4361" w:rsidRPr="000C4361" w14:paraId="032B1149"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373D6EC3"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5. Alte acte normative şi/sau documente internaţionale din care decurg angajamente, făcându-</w:t>
            </w:r>
            <w:r w:rsidRPr="000C4361">
              <w:rPr>
                <w:rFonts w:ascii="Times New Roman" w:hAnsi="Times New Roman" w:cs="Times New Roman"/>
                <w:b/>
                <w:bCs/>
                <w:sz w:val="24"/>
                <w:szCs w:val="24"/>
              </w:rPr>
              <w:lastRenderedPageBreak/>
              <w:t>se referire la un anume acord, o anume rezoluţie sau recomandare internaţională ori la alt document al unei organizaţii internaţionale:</w:t>
            </w:r>
          </w:p>
          <w:p w14:paraId="4ACF0622"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5B3BE335"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6A47B01B" w14:textId="0727A4A6" w:rsidR="00CF58B1" w:rsidRPr="000C4361" w:rsidRDefault="004D784F" w:rsidP="00137BA8">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
                <w:bCs/>
                <w:sz w:val="24"/>
                <w:szCs w:val="24"/>
              </w:rPr>
              <w:lastRenderedPageBreak/>
              <w:t>6. Alte informaţii</w:t>
            </w:r>
            <w:r w:rsidRPr="000C4361">
              <w:rPr>
                <w:rFonts w:ascii="Times New Roman" w:hAnsi="Times New Roman" w:cs="Times New Roman"/>
                <w:bCs/>
                <w:sz w:val="24"/>
                <w:szCs w:val="24"/>
              </w:rPr>
              <w:t xml:space="preserve"> </w:t>
            </w:r>
            <w:r w:rsidR="00137BA8">
              <w:rPr>
                <w:rFonts w:ascii="Times New Roman" w:hAnsi="Times New Roman" w:cs="Times New Roman"/>
                <w:bCs/>
                <w:sz w:val="24"/>
                <w:szCs w:val="24"/>
              </w:rPr>
              <w:t xml:space="preserve">        </w:t>
            </w:r>
            <w:r w:rsidRPr="000C4361">
              <w:rPr>
                <w:rFonts w:ascii="Times New Roman" w:hAnsi="Times New Roman" w:cs="Times New Roman"/>
                <w:bCs/>
                <w:sz w:val="24"/>
                <w:szCs w:val="24"/>
              </w:rPr>
              <w:t>Nu sunt.</w:t>
            </w:r>
          </w:p>
        </w:tc>
      </w:tr>
      <w:tr w:rsidR="000C4361" w:rsidRPr="000C4361" w14:paraId="1208CC8C"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23885B92"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Secţiunea a 6-a</w:t>
            </w:r>
          </w:p>
          <w:p w14:paraId="412DB86C" w14:textId="432E72D7" w:rsidR="00301AC5" w:rsidRPr="000C4361" w:rsidRDefault="004D784F" w:rsidP="00D64C34">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Consultările efectuate în vederea elaborării proiectului de act normativ</w:t>
            </w:r>
          </w:p>
        </w:tc>
      </w:tr>
      <w:tr w:rsidR="000C4361" w:rsidRPr="000C4361" w14:paraId="51C7F5C0"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739E50AF"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 xml:space="preserve">1. Informaţii privind procesul de consultare cu organizaţiile neguvernamentale, institute de cercetare şi alte organisme implicate </w:t>
            </w:r>
          </w:p>
          <w:p w14:paraId="769BCB02" w14:textId="10DAACBE" w:rsidR="00AA499B" w:rsidRPr="000C4361" w:rsidRDefault="00AA499B" w:rsidP="00F13F19">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 xml:space="preserve">Acest proiect a fost elaborat </w:t>
            </w:r>
            <w:r w:rsidR="00F13F19">
              <w:rPr>
                <w:rFonts w:ascii="Times New Roman" w:hAnsi="Times New Roman" w:cs="Times New Roman"/>
                <w:sz w:val="24"/>
                <w:szCs w:val="24"/>
              </w:rPr>
              <w:t xml:space="preserve">pe baza recomandărilor </w:t>
            </w:r>
            <w:r w:rsidR="00835B80" w:rsidRPr="000C4361">
              <w:rPr>
                <w:rFonts w:ascii="Times New Roman" w:hAnsi="Times New Roman" w:cs="Times New Roman"/>
                <w:sz w:val="24"/>
                <w:szCs w:val="24"/>
              </w:rPr>
              <w:t>Comitetului Național de Vaccinologie aprobat prin Ordinul ministrului sănătății nr. 2291 din 25.10.2021 privind aprobarea componenței nominale și a secretariatului Comitetului Național de Vaccinologie.</w:t>
            </w:r>
          </w:p>
        </w:tc>
      </w:tr>
      <w:tr w:rsidR="000C4361" w:rsidRPr="000C4361" w14:paraId="539B1545"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7F2BA17C"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2.Fundamentarea alegerii organizaţiilor cu care a avut loc consultarea precum şi a modului în care activitatea acestor organizaţii este legată de obiectul proiectului de act normativ</w:t>
            </w:r>
          </w:p>
          <w:p w14:paraId="47DF10FA"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0BB44829"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6ACC8B2F" w14:textId="77777777" w:rsidR="00CF58B1" w:rsidRPr="000C4361" w:rsidRDefault="004D784F" w:rsidP="00903D88">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3. Consultările organizate cu autorităţile administraţiei publice locale, în situaţia în care proiectul de act normativ are ca obiect activităţi ale acestor autorităţi, în condiţiile Hotărârii Guvernului nr.</w:t>
            </w:r>
            <w:r w:rsidR="00B618B6" w:rsidRPr="000C4361">
              <w:rPr>
                <w:rFonts w:ascii="Times New Roman" w:hAnsi="Times New Roman" w:cs="Times New Roman"/>
                <w:b/>
                <w:bCs/>
                <w:sz w:val="24"/>
                <w:szCs w:val="24"/>
              </w:rPr>
              <w:t xml:space="preserve"> </w:t>
            </w:r>
            <w:r w:rsidRPr="000C4361">
              <w:rPr>
                <w:rFonts w:ascii="Times New Roman" w:hAnsi="Times New Roman" w:cs="Times New Roman"/>
                <w:b/>
                <w:bCs/>
                <w:sz w:val="24"/>
                <w:szCs w:val="24"/>
              </w:rPr>
              <w:t>521/2005 privind procedura de consultare a structurilor asociative ale autorităţilor administraţiei publice locale la elaborarea proiectelor de acte normative</w:t>
            </w:r>
          </w:p>
          <w:p w14:paraId="33061730" w14:textId="43B1F6B1" w:rsidR="00903D88" w:rsidRPr="000C4361" w:rsidRDefault="00835B80" w:rsidP="00903D88">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7349C179"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1E40F775" w14:textId="448DE71F"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4. Consultările desfăşurate în cadrul consiliilor interministeriale în conformitate cu prevederile Hotărârii Guvernului nr.</w:t>
            </w:r>
            <w:r w:rsidR="00B618B6" w:rsidRPr="000C4361">
              <w:rPr>
                <w:rFonts w:ascii="Times New Roman" w:hAnsi="Times New Roman" w:cs="Times New Roman"/>
                <w:b/>
                <w:bCs/>
                <w:sz w:val="24"/>
                <w:szCs w:val="24"/>
              </w:rPr>
              <w:t xml:space="preserve"> </w:t>
            </w:r>
            <w:r w:rsidRPr="000C4361">
              <w:rPr>
                <w:rFonts w:ascii="Times New Roman" w:hAnsi="Times New Roman" w:cs="Times New Roman"/>
                <w:b/>
                <w:bCs/>
                <w:sz w:val="24"/>
                <w:szCs w:val="24"/>
              </w:rPr>
              <w:t>750/2005 privind constituirea consiliilor interministeriale permanente</w:t>
            </w:r>
          </w:p>
          <w:p w14:paraId="3D61FD93"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2243F8C4"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6F902D53"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5. Informaţii privind avizarea de către:</w:t>
            </w:r>
          </w:p>
          <w:p w14:paraId="0927B86D" w14:textId="7BB399BF" w:rsidR="00CF58B1" w:rsidRPr="000C4361" w:rsidRDefault="004D784F">
            <w:pPr>
              <w:tabs>
                <w:tab w:val="left" w:pos="3960"/>
                <w:tab w:val="left" w:pos="6195"/>
              </w:tabs>
              <w:spacing w:after="0" w:line="240" w:lineRule="auto"/>
              <w:jc w:val="both"/>
              <w:rPr>
                <w:rFonts w:ascii="Times New Roman" w:hAnsi="Times New Roman" w:cs="Times New Roman"/>
                <w:bCs/>
                <w:sz w:val="24"/>
                <w:szCs w:val="24"/>
              </w:rPr>
            </w:pPr>
            <w:r w:rsidRPr="000C4361">
              <w:rPr>
                <w:rFonts w:ascii="Times New Roman" w:hAnsi="Times New Roman" w:cs="Times New Roman"/>
                <w:bCs/>
                <w:sz w:val="24"/>
                <w:szCs w:val="24"/>
              </w:rPr>
              <w:t>a) Consiliul Legislativ</w:t>
            </w:r>
            <w:r w:rsidR="00A518BC" w:rsidRPr="000C4361">
              <w:rPr>
                <w:rFonts w:ascii="Times New Roman" w:hAnsi="Times New Roman" w:cs="Times New Roman"/>
                <w:bCs/>
                <w:sz w:val="24"/>
                <w:szCs w:val="24"/>
              </w:rPr>
              <w:t>: Avizul Consiliului Legislativ</w:t>
            </w:r>
            <w:r w:rsidRPr="000C4361">
              <w:rPr>
                <w:rFonts w:ascii="Times New Roman" w:hAnsi="Times New Roman" w:cs="Times New Roman"/>
                <w:bCs/>
                <w:sz w:val="24"/>
                <w:szCs w:val="24"/>
              </w:rPr>
              <w:tab/>
            </w:r>
          </w:p>
          <w:p w14:paraId="53DAD708" w14:textId="77777777" w:rsidR="00CF58B1" w:rsidRPr="000C4361" w:rsidRDefault="004D784F">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Cs/>
                <w:sz w:val="24"/>
                <w:szCs w:val="24"/>
              </w:rPr>
              <w:t>b) Consiliul Suprem de Apărare a Ţării</w:t>
            </w:r>
          </w:p>
          <w:p w14:paraId="0D7838E8" w14:textId="2AFE1906" w:rsidR="00CF58B1" w:rsidRPr="000C4361" w:rsidRDefault="004D784F">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Cs/>
                <w:sz w:val="24"/>
                <w:szCs w:val="24"/>
              </w:rPr>
              <w:t>c)</w:t>
            </w:r>
            <w:r w:rsidR="00137BA8">
              <w:rPr>
                <w:rFonts w:ascii="Times New Roman" w:hAnsi="Times New Roman" w:cs="Times New Roman"/>
                <w:bCs/>
                <w:sz w:val="24"/>
                <w:szCs w:val="24"/>
              </w:rPr>
              <w:t xml:space="preserve"> Consiliul Economic şi Social </w:t>
            </w:r>
          </w:p>
          <w:p w14:paraId="582BDE71" w14:textId="77777777" w:rsidR="00CF58B1" w:rsidRPr="000C4361" w:rsidRDefault="004D784F">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Cs/>
                <w:sz w:val="24"/>
                <w:szCs w:val="24"/>
              </w:rPr>
              <w:t xml:space="preserve">d) Consiliul Concurenţei </w:t>
            </w:r>
          </w:p>
          <w:p w14:paraId="26017DCD" w14:textId="77777777" w:rsidR="00CF58B1" w:rsidRPr="000C4361" w:rsidRDefault="004D784F">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Cs/>
                <w:sz w:val="24"/>
                <w:szCs w:val="24"/>
              </w:rPr>
              <w:t>e) Curtea de Conturi</w:t>
            </w:r>
          </w:p>
        </w:tc>
      </w:tr>
      <w:tr w:rsidR="000C4361" w:rsidRPr="000C4361" w14:paraId="10A4FD46"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914DE67" w14:textId="4CB1BA79" w:rsidR="003158DF" w:rsidRPr="000C4361" w:rsidRDefault="004D784F" w:rsidP="001D7DD5">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
                <w:bCs/>
                <w:sz w:val="24"/>
                <w:szCs w:val="24"/>
              </w:rPr>
              <w:t>6. Alte informaţii</w:t>
            </w:r>
            <w:r w:rsidR="00137BA8">
              <w:rPr>
                <w:rFonts w:ascii="Times New Roman" w:hAnsi="Times New Roman" w:cs="Times New Roman"/>
                <w:b/>
                <w:bCs/>
                <w:sz w:val="24"/>
                <w:szCs w:val="24"/>
              </w:rPr>
              <w:t xml:space="preserve">: </w:t>
            </w:r>
          </w:p>
        </w:tc>
      </w:tr>
      <w:tr w:rsidR="000C4361" w:rsidRPr="000C4361" w14:paraId="23FC8396"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24951077"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 xml:space="preserve">Secţiunea a 7-a </w:t>
            </w:r>
          </w:p>
          <w:p w14:paraId="05A57B41"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Activităţi de informare publică privind elaborarea</w:t>
            </w:r>
          </w:p>
          <w:p w14:paraId="38760DCF"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şi implementarea proiectului de act normativ</w:t>
            </w:r>
          </w:p>
        </w:tc>
      </w:tr>
      <w:tr w:rsidR="000C4361" w:rsidRPr="000C4361" w14:paraId="24C07C71"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2950CC9D"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1. Informarea societăţii civile cu privire la necesitatea elaborării proiectului de act normativ</w:t>
            </w:r>
          </w:p>
          <w:p w14:paraId="1BC66294" w14:textId="5049F416" w:rsidR="00487CAD" w:rsidRPr="000C4361" w:rsidRDefault="004D784F" w:rsidP="001D7DD5">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Cs/>
                <w:sz w:val="24"/>
                <w:szCs w:val="24"/>
              </w:rPr>
              <w:t>Proiectul de act normativ este adoptat în conformitate cu prevederile Leg</w:t>
            </w:r>
            <w:r w:rsidR="001D7DD5">
              <w:rPr>
                <w:rFonts w:ascii="Times New Roman" w:hAnsi="Times New Roman" w:cs="Times New Roman"/>
                <w:bCs/>
                <w:sz w:val="24"/>
                <w:szCs w:val="24"/>
              </w:rPr>
              <w:t>ii</w:t>
            </w:r>
            <w:r w:rsidRPr="000C4361">
              <w:rPr>
                <w:rFonts w:ascii="Times New Roman" w:hAnsi="Times New Roman" w:cs="Times New Roman"/>
                <w:bCs/>
                <w:sz w:val="24"/>
                <w:szCs w:val="24"/>
              </w:rPr>
              <w:t xml:space="preserve"> nr. 52/2003 privind transparenţa decizională în administraţia publică, republicată.</w:t>
            </w:r>
          </w:p>
        </w:tc>
      </w:tr>
      <w:tr w:rsidR="000C4361" w:rsidRPr="000C4361" w14:paraId="1F17170F"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0772C921"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599AB4CE"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4697C3E8" w14:textId="77777777" w:rsidTr="009D7F76">
        <w:trPr>
          <w:trHeight w:val="289"/>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53DC5438" w14:textId="77777777" w:rsidR="00CF58B1" w:rsidRPr="000C4361" w:rsidRDefault="004D784F">
            <w:pPr>
              <w:tabs>
                <w:tab w:val="left" w:pos="3960"/>
              </w:tabs>
              <w:spacing w:after="0" w:line="240" w:lineRule="auto"/>
              <w:jc w:val="both"/>
              <w:rPr>
                <w:rFonts w:ascii="Times New Roman" w:hAnsi="Times New Roman" w:cs="Times New Roman"/>
                <w:bCs/>
                <w:sz w:val="24"/>
                <w:szCs w:val="24"/>
              </w:rPr>
            </w:pPr>
            <w:r w:rsidRPr="000C4361">
              <w:rPr>
                <w:rFonts w:ascii="Times New Roman" w:hAnsi="Times New Roman" w:cs="Times New Roman"/>
                <w:b/>
                <w:bCs/>
                <w:sz w:val="24"/>
                <w:szCs w:val="24"/>
              </w:rPr>
              <w:t>3. Alte informații</w:t>
            </w:r>
          </w:p>
        </w:tc>
      </w:tr>
      <w:tr w:rsidR="000C4361" w:rsidRPr="000C4361" w14:paraId="2F2E198F" w14:textId="77777777" w:rsidTr="00D64C34">
        <w:trPr>
          <w:trHeight w:val="565"/>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01BD3A44" w14:textId="33119F64" w:rsidR="00CF58B1" w:rsidRPr="000C4361" w:rsidRDefault="004D784F">
            <w:pPr>
              <w:tabs>
                <w:tab w:val="left" w:pos="3960"/>
              </w:tabs>
              <w:spacing w:after="0" w:line="240" w:lineRule="auto"/>
              <w:jc w:val="center"/>
              <w:rPr>
                <w:rFonts w:ascii="Times New Roman" w:hAnsi="Times New Roman" w:cs="Times New Roman"/>
                <w:sz w:val="24"/>
                <w:szCs w:val="24"/>
              </w:rPr>
            </w:pPr>
            <w:r w:rsidRPr="000C4361">
              <w:rPr>
                <w:rFonts w:ascii="Times New Roman" w:hAnsi="Times New Roman" w:cs="Times New Roman"/>
                <w:b/>
                <w:bCs/>
                <w:sz w:val="24"/>
                <w:szCs w:val="24"/>
              </w:rPr>
              <w:t>Secţiunea a 8-a</w:t>
            </w:r>
            <w:r w:rsidR="00D64C34">
              <w:rPr>
                <w:rFonts w:ascii="Times New Roman" w:hAnsi="Times New Roman" w:cs="Times New Roman"/>
                <w:b/>
                <w:bCs/>
                <w:sz w:val="24"/>
                <w:szCs w:val="24"/>
              </w:rPr>
              <w:t xml:space="preserve"> </w:t>
            </w:r>
          </w:p>
          <w:p w14:paraId="5370F32E" w14:textId="77777777" w:rsidR="00CF58B1" w:rsidRPr="000C4361" w:rsidRDefault="004D784F">
            <w:pPr>
              <w:tabs>
                <w:tab w:val="left" w:pos="3960"/>
              </w:tabs>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Măsuri de implementare</w:t>
            </w:r>
          </w:p>
        </w:tc>
      </w:tr>
      <w:tr w:rsidR="000C4361" w:rsidRPr="000C4361" w14:paraId="14A921EE"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1697585F"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1. Măsurile de punere în aplicare a proiectului de act normativ de către autorităţile administraţiei publice centrale şi/sau locale - înfiinţarea unor noi organisme sau  extinderea competenţelor instituţiilor existente</w:t>
            </w:r>
          </w:p>
          <w:p w14:paraId="4725EAAF" w14:textId="77777777" w:rsidR="00CF58B1" w:rsidRPr="000C4361" w:rsidRDefault="004D784F">
            <w:pPr>
              <w:tabs>
                <w:tab w:val="left" w:pos="990"/>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Proiectul de act normativ nu se referă la acest subiect.</w:t>
            </w:r>
          </w:p>
        </w:tc>
      </w:tr>
      <w:tr w:rsidR="000C4361" w:rsidRPr="000C4361" w14:paraId="1B5BC889" w14:textId="77777777" w:rsidTr="009D7F76">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Pr>
          <w:p w14:paraId="37875F95" w14:textId="77777777" w:rsidR="00CF58B1" w:rsidRPr="000C4361" w:rsidRDefault="004D784F">
            <w:pPr>
              <w:tabs>
                <w:tab w:val="left" w:pos="3960"/>
              </w:tabs>
              <w:spacing w:after="0" w:line="240" w:lineRule="auto"/>
              <w:jc w:val="both"/>
              <w:rPr>
                <w:rFonts w:ascii="Times New Roman" w:hAnsi="Times New Roman" w:cs="Times New Roman"/>
                <w:b/>
                <w:bCs/>
                <w:sz w:val="24"/>
                <w:szCs w:val="24"/>
              </w:rPr>
            </w:pPr>
            <w:r w:rsidRPr="000C4361">
              <w:rPr>
                <w:rFonts w:ascii="Times New Roman" w:hAnsi="Times New Roman" w:cs="Times New Roman"/>
                <w:b/>
                <w:bCs/>
                <w:sz w:val="24"/>
                <w:szCs w:val="24"/>
              </w:rPr>
              <w:t>2. Alte informaţii</w:t>
            </w:r>
          </w:p>
          <w:p w14:paraId="5F6AB2D7" w14:textId="77777777" w:rsidR="00CF58B1" w:rsidRPr="000C4361" w:rsidRDefault="004D784F">
            <w:pPr>
              <w:tabs>
                <w:tab w:val="left" w:pos="3960"/>
              </w:tabs>
              <w:spacing w:after="0" w:line="240" w:lineRule="auto"/>
              <w:jc w:val="both"/>
              <w:rPr>
                <w:rFonts w:ascii="Times New Roman" w:hAnsi="Times New Roman" w:cs="Times New Roman"/>
                <w:sz w:val="24"/>
                <w:szCs w:val="24"/>
              </w:rPr>
            </w:pPr>
            <w:r w:rsidRPr="000C4361">
              <w:rPr>
                <w:rFonts w:ascii="Times New Roman" w:hAnsi="Times New Roman" w:cs="Times New Roman"/>
                <w:sz w:val="24"/>
                <w:szCs w:val="24"/>
              </w:rPr>
              <w:t>Nu sunt.</w:t>
            </w:r>
          </w:p>
        </w:tc>
      </w:tr>
    </w:tbl>
    <w:p w14:paraId="73C4B069" w14:textId="77777777" w:rsidR="00810FCA" w:rsidRDefault="00810FCA" w:rsidP="009D7F76">
      <w:pPr>
        <w:spacing w:after="0" w:line="240" w:lineRule="auto"/>
        <w:ind w:right="-1"/>
        <w:jc w:val="both"/>
        <w:rPr>
          <w:rFonts w:ascii="Times New Roman" w:hAnsi="Times New Roman" w:cs="Times New Roman"/>
          <w:sz w:val="24"/>
          <w:szCs w:val="24"/>
        </w:rPr>
      </w:pPr>
    </w:p>
    <w:p w14:paraId="4025D5F8" w14:textId="77777777" w:rsidR="001D7DD5" w:rsidRDefault="001D7DD5" w:rsidP="009D7F76">
      <w:pPr>
        <w:spacing w:after="0" w:line="240" w:lineRule="auto"/>
        <w:ind w:right="-1"/>
        <w:jc w:val="both"/>
        <w:rPr>
          <w:rFonts w:ascii="Times New Roman" w:hAnsi="Times New Roman" w:cs="Times New Roman"/>
          <w:sz w:val="24"/>
          <w:szCs w:val="24"/>
        </w:rPr>
      </w:pPr>
    </w:p>
    <w:p w14:paraId="068E6D1B" w14:textId="77777777" w:rsidR="001D7DD5" w:rsidRPr="000C4361" w:rsidRDefault="001D7DD5" w:rsidP="009D7F76">
      <w:pPr>
        <w:spacing w:after="0" w:line="240" w:lineRule="auto"/>
        <w:ind w:right="-1"/>
        <w:jc w:val="both"/>
        <w:rPr>
          <w:rFonts w:ascii="Times New Roman" w:hAnsi="Times New Roman" w:cs="Times New Roman"/>
          <w:sz w:val="24"/>
          <w:szCs w:val="24"/>
        </w:rPr>
      </w:pPr>
      <w:bookmarkStart w:id="0" w:name="_GoBack"/>
      <w:bookmarkEnd w:id="0"/>
    </w:p>
    <w:p w14:paraId="5FA47342" w14:textId="4DA71B6A" w:rsidR="00CF58B1" w:rsidRPr="000C4361" w:rsidRDefault="004D784F" w:rsidP="00835B80">
      <w:pPr>
        <w:spacing w:after="0" w:line="240" w:lineRule="auto"/>
        <w:ind w:left="-142" w:right="-1"/>
        <w:jc w:val="both"/>
        <w:rPr>
          <w:rFonts w:ascii="Times New Roman" w:hAnsi="Times New Roman" w:cs="Times New Roman"/>
          <w:sz w:val="24"/>
          <w:szCs w:val="24"/>
        </w:rPr>
      </w:pPr>
      <w:r w:rsidRPr="000C4361">
        <w:rPr>
          <w:rFonts w:ascii="Times New Roman" w:hAnsi="Times New Roman" w:cs="Times New Roman"/>
          <w:sz w:val="24"/>
          <w:szCs w:val="24"/>
        </w:rPr>
        <w:lastRenderedPageBreak/>
        <w:t>Față de cele prezentate, a fost promovat</w:t>
      </w:r>
      <w:r w:rsidR="00835B80" w:rsidRPr="000C4361">
        <w:rPr>
          <w:rFonts w:ascii="Times New Roman" w:hAnsi="Times New Roman" w:cs="Times New Roman"/>
          <w:sz w:val="24"/>
          <w:szCs w:val="24"/>
        </w:rPr>
        <w:t xml:space="preserve"> prezentul proiect de  Hotărâre</w:t>
      </w:r>
      <w:r w:rsidRPr="000C4361">
        <w:rPr>
          <w:rFonts w:ascii="Times New Roman" w:hAnsi="Times New Roman" w:cs="Times New Roman"/>
          <w:sz w:val="24"/>
          <w:szCs w:val="24"/>
        </w:rPr>
        <w:t xml:space="preserve">a Guvernului pentru </w:t>
      </w:r>
      <w:r w:rsidR="00810FCA" w:rsidRPr="000C4361">
        <w:rPr>
          <w:rFonts w:ascii="Times New Roman" w:hAnsi="Times New Roman" w:cs="Times New Roman"/>
          <w:sz w:val="24"/>
          <w:szCs w:val="24"/>
        </w:rPr>
        <w:t>completarea</w:t>
      </w:r>
      <w:r w:rsidR="005E339E" w:rsidRPr="000C4361">
        <w:rPr>
          <w:rFonts w:ascii="Times New Roman" w:hAnsi="Times New Roman" w:cs="Times New Roman"/>
          <w:sz w:val="24"/>
          <w:szCs w:val="24"/>
        </w:rPr>
        <w:t xml:space="preserve"> </w:t>
      </w:r>
      <w:r w:rsidR="004E550E" w:rsidRPr="000C4361">
        <w:rPr>
          <w:rFonts w:ascii="Times New Roman" w:hAnsi="Times New Roman" w:cs="Times New Roman"/>
          <w:sz w:val="24"/>
          <w:szCs w:val="24"/>
        </w:rPr>
        <w:t>Hotărârii</w:t>
      </w:r>
      <w:r w:rsidRPr="000C4361">
        <w:rPr>
          <w:rFonts w:ascii="Times New Roman" w:hAnsi="Times New Roman" w:cs="Times New Roman"/>
          <w:sz w:val="24"/>
          <w:szCs w:val="24"/>
        </w:rPr>
        <w:t xml:space="preserve"> Guvernului nr. 1031/2020 privind aprobarea Strategiei de vaccinare împotriva COVID-19 în România.</w:t>
      </w:r>
    </w:p>
    <w:p w14:paraId="42E69467" w14:textId="77777777" w:rsidR="00CF58B1" w:rsidRPr="000C4361" w:rsidRDefault="00CF58B1">
      <w:pPr>
        <w:spacing w:after="0" w:line="240" w:lineRule="auto"/>
        <w:ind w:left="-284" w:right="-426" w:firstLine="992"/>
        <w:jc w:val="both"/>
        <w:rPr>
          <w:rFonts w:ascii="Times New Roman" w:hAnsi="Times New Roman" w:cs="Times New Roman"/>
          <w:sz w:val="24"/>
          <w:szCs w:val="24"/>
        </w:rPr>
      </w:pPr>
    </w:p>
    <w:p w14:paraId="22D7FCB3" w14:textId="77777777" w:rsidR="00CF58B1" w:rsidRPr="000C4361" w:rsidRDefault="00CF58B1">
      <w:pPr>
        <w:spacing w:after="0" w:line="240" w:lineRule="auto"/>
        <w:ind w:left="-284" w:right="-426" w:firstLine="992"/>
        <w:jc w:val="both"/>
        <w:rPr>
          <w:rFonts w:ascii="Times New Roman" w:hAnsi="Times New Roman" w:cs="Times New Roman"/>
          <w:sz w:val="24"/>
          <w:szCs w:val="24"/>
        </w:rPr>
      </w:pPr>
    </w:p>
    <w:p w14:paraId="2EB545DC" w14:textId="77777777" w:rsidR="00CF58B1" w:rsidRPr="000C4361" w:rsidRDefault="00CF58B1">
      <w:pPr>
        <w:spacing w:after="0" w:line="240" w:lineRule="auto"/>
        <w:ind w:left="-284" w:right="-426" w:firstLine="992"/>
        <w:jc w:val="both"/>
        <w:rPr>
          <w:rFonts w:ascii="Times New Roman" w:hAnsi="Times New Roman" w:cs="Times New Roman"/>
          <w:sz w:val="24"/>
          <w:szCs w:val="24"/>
        </w:rPr>
      </w:pPr>
    </w:p>
    <w:p w14:paraId="7B45D113" w14:textId="77777777" w:rsidR="00CF58B1" w:rsidRPr="000C4361" w:rsidRDefault="00CF58B1" w:rsidP="00AF37E8">
      <w:pPr>
        <w:pStyle w:val="BodyText"/>
        <w:spacing w:before="0" w:after="0"/>
        <w:jc w:val="center"/>
        <w:rPr>
          <w:b/>
          <w:bCs/>
        </w:rPr>
      </w:pPr>
    </w:p>
    <w:p w14:paraId="04CD74A9" w14:textId="77777777" w:rsidR="00835B80" w:rsidRPr="000C4361" w:rsidRDefault="00835B80" w:rsidP="00835B80">
      <w:pPr>
        <w:spacing w:after="0" w:line="276" w:lineRule="auto"/>
        <w:jc w:val="center"/>
        <w:rPr>
          <w:rFonts w:ascii="Times New Roman" w:eastAsia="Calibri" w:hAnsi="Times New Roman" w:cs="Times New Roman"/>
          <w:b/>
          <w:sz w:val="24"/>
          <w:szCs w:val="24"/>
        </w:rPr>
      </w:pPr>
      <w:r w:rsidRPr="000C4361">
        <w:rPr>
          <w:rFonts w:ascii="Times New Roman" w:eastAsia="Calibri" w:hAnsi="Times New Roman" w:cs="Times New Roman"/>
          <w:b/>
          <w:sz w:val="24"/>
          <w:szCs w:val="24"/>
        </w:rPr>
        <w:t>MINISTRUL SĂNĂTĂȚII INTERIMAR</w:t>
      </w:r>
    </w:p>
    <w:p w14:paraId="7048DC04" w14:textId="77777777" w:rsidR="00835B80" w:rsidRPr="000C4361" w:rsidRDefault="00835B80" w:rsidP="00835B80">
      <w:pPr>
        <w:spacing w:after="0" w:line="276" w:lineRule="auto"/>
        <w:jc w:val="center"/>
        <w:rPr>
          <w:rFonts w:ascii="Times New Roman" w:eastAsia="Calibri" w:hAnsi="Times New Roman" w:cs="Times New Roman"/>
          <w:b/>
          <w:sz w:val="24"/>
          <w:szCs w:val="24"/>
        </w:rPr>
      </w:pPr>
    </w:p>
    <w:p w14:paraId="59012579" w14:textId="77777777" w:rsidR="00835B80" w:rsidRPr="000C4361" w:rsidRDefault="00835B80" w:rsidP="00835B80">
      <w:pPr>
        <w:spacing w:after="0" w:line="276" w:lineRule="auto"/>
        <w:jc w:val="center"/>
        <w:rPr>
          <w:rFonts w:ascii="Times New Roman" w:eastAsia="Calibri" w:hAnsi="Times New Roman" w:cs="Times New Roman"/>
          <w:b/>
          <w:sz w:val="24"/>
          <w:szCs w:val="24"/>
        </w:rPr>
      </w:pPr>
      <w:r w:rsidRPr="000C4361">
        <w:rPr>
          <w:rFonts w:ascii="Times New Roman" w:eastAsia="Calibri" w:hAnsi="Times New Roman" w:cs="Times New Roman"/>
          <w:b/>
          <w:sz w:val="24"/>
          <w:szCs w:val="24"/>
        </w:rPr>
        <w:t>CSEKE ATTILA ZOLTAN</w:t>
      </w:r>
    </w:p>
    <w:p w14:paraId="3B730A05" w14:textId="77777777" w:rsidR="00CF58B1" w:rsidRPr="000C4361" w:rsidRDefault="00CF58B1" w:rsidP="00835B80">
      <w:pPr>
        <w:pStyle w:val="BodyText"/>
        <w:spacing w:before="0" w:after="0" w:line="276" w:lineRule="auto"/>
        <w:jc w:val="center"/>
        <w:rPr>
          <w:rStyle w:val="InternetLink"/>
          <w:b/>
          <w:color w:val="auto"/>
        </w:rPr>
      </w:pPr>
    </w:p>
    <w:p w14:paraId="47542793" w14:textId="77777777" w:rsidR="00CF58B1" w:rsidRPr="000C4361" w:rsidRDefault="00CF58B1">
      <w:pPr>
        <w:pStyle w:val="BodyText"/>
        <w:spacing w:before="0" w:after="0"/>
        <w:jc w:val="left"/>
        <w:rPr>
          <w:b/>
          <w:bCs/>
        </w:rPr>
      </w:pPr>
    </w:p>
    <w:p w14:paraId="2070173B" w14:textId="77777777" w:rsidR="008B0231" w:rsidRPr="000C4361" w:rsidRDefault="008B0231">
      <w:pPr>
        <w:pStyle w:val="BodyText"/>
        <w:spacing w:before="0" w:after="0"/>
        <w:jc w:val="left"/>
        <w:rPr>
          <w:b/>
          <w:bCs/>
        </w:rPr>
      </w:pPr>
    </w:p>
    <w:p w14:paraId="027F105E" w14:textId="77777777" w:rsidR="00CF58B1" w:rsidRPr="000C4361" w:rsidRDefault="00CF58B1">
      <w:pPr>
        <w:pStyle w:val="BodyText"/>
        <w:spacing w:before="0" w:after="0"/>
        <w:jc w:val="left"/>
        <w:rPr>
          <w:b/>
          <w:bCs/>
        </w:rPr>
      </w:pPr>
    </w:p>
    <w:p w14:paraId="69932B38" w14:textId="77777777" w:rsidR="00835B80" w:rsidRPr="000C4361" w:rsidRDefault="00835B80">
      <w:pPr>
        <w:pStyle w:val="BodyText"/>
        <w:spacing w:before="0" w:after="0"/>
        <w:jc w:val="left"/>
        <w:rPr>
          <w:b/>
          <w:bCs/>
        </w:rPr>
      </w:pPr>
    </w:p>
    <w:p w14:paraId="56852EB1" w14:textId="5BAC0092" w:rsidR="00CF58B1" w:rsidRPr="000C4361" w:rsidRDefault="004D784F">
      <w:pPr>
        <w:spacing w:after="0" w:line="240" w:lineRule="auto"/>
        <w:rPr>
          <w:rFonts w:ascii="Times New Roman" w:hAnsi="Times New Roman" w:cs="Times New Roman"/>
          <w:b/>
          <w:bCs/>
          <w:sz w:val="24"/>
          <w:szCs w:val="24"/>
        </w:rPr>
      </w:pPr>
      <w:r w:rsidRPr="000C4361">
        <w:rPr>
          <w:rFonts w:ascii="Times New Roman" w:hAnsi="Times New Roman" w:cs="Times New Roman"/>
          <w:b/>
          <w:bCs/>
          <w:sz w:val="24"/>
          <w:szCs w:val="24"/>
        </w:rPr>
        <w:t xml:space="preserve">                  </w:t>
      </w:r>
    </w:p>
    <w:p w14:paraId="4E5D110B" w14:textId="77777777" w:rsidR="00CF58B1" w:rsidRPr="000C4361" w:rsidRDefault="004D784F">
      <w:pPr>
        <w:spacing w:after="0" w:line="240" w:lineRule="auto"/>
        <w:jc w:val="center"/>
        <w:rPr>
          <w:rFonts w:ascii="Times New Roman" w:hAnsi="Times New Roman" w:cs="Times New Roman"/>
          <w:sz w:val="24"/>
          <w:szCs w:val="24"/>
        </w:rPr>
      </w:pPr>
      <w:r w:rsidRPr="000C4361">
        <w:rPr>
          <w:rFonts w:ascii="Times New Roman" w:hAnsi="Times New Roman" w:cs="Times New Roman"/>
          <w:b/>
          <w:sz w:val="24"/>
          <w:szCs w:val="24"/>
          <w:u w:val="single"/>
        </w:rPr>
        <w:t>Avizăm favorabil</w:t>
      </w:r>
      <w:r w:rsidRPr="000C4361">
        <w:rPr>
          <w:rFonts w:ascii="Times New Roman" w:hAnsi="Times New Roman" w:cs="Times New Roman"/>
          <w:b/>
          <w:sz w:val="24"/>
          <w:szCs w:val="24"/>
        </w:rPr>
        <w:t>:</w:t>
      </w:r>
    </w:p>
    <w:p w14:paraId="6363BD8B" w14:textId="77777777" w:rsidR="00CF58B1" w:rsidRPr="000C4361" w:rsidRDefault="00CF58B1">
      <w:pPr>
        <w:spacing w:after="0" w:line="240" w:lineRule="auto"/>
        <w:rPr>
          <w:rFonts w:ascii="Times New Roman" w:hAnsi="Times New Roman" w:cs="Times New Roman"/>
          <w:b/>
          <w:sz w:val="24"/>
          <w:szCs w:val="24"/>
        </w:rPr>
      </w:pPr>
    </w:p>
    <w:p w14:paraId="046B6294" w14:textId="77777777" w:rsidR="00CF58B1" w:rsidRPr="000C4361" w:rsidRDefault="00CF58B1">
      <w:pPr>
        <w:spacing w:after="0" w:line="240" w:lineRule="auto"/>
        <w:jc w:val="center"/>
        <w:rPr>
          <w:rFonts w:ascii="Times New Roman" w:hAnsi="Times New Roman" w:cs="Times New Roman"/>
          <w:b/>
          <w:sz w:val="24"/>
          <w:szCs w:val="24"/>
        </w:rPr>
      </w:pPr>
    </w:p>
    <w:p w14:paraId="3B1A1EB2" w14:textId="77777777" w:rsidR="00CF58B1" w:rsidRPr="000C4361" w:rsidRDefault="00CF58B1">
      <w:pPr>
        <w:spacing w:after="0" w:line="240" w:lineRule="auto"/>
        <w:rPr>
          <w:rFonts w:ascii="Times New Roman" w:hAnsi="Times New Roman" w:cs="Times New Roman"/>
          <w:b/>
          <w:sz w:val="24"/>
          <w:szCs w:val="24"/>
        </w:rPr>
      </w:pPr>
    </w:p>
    <w:p w14:paraId="74186742" w14:textId="77777777" w:rsidR="00CF58B1" w:rsidRPr="000C4361" w:rsidRDefault="00CF58B1">
      <w:pPr>
        <w:spacing w:after="0" w:line="240" w:lineRule="auto"/>
        <w:rPr>
          <w:rFonts w:ascii="Times New Roman" w:hAnsi="Times New Roman" w:cs="Times New Roman"/>
          <w:b/>
          <w:sz w:val="24"/>
          <w:szCs w:val="24"/>
        </w:rPr>
      </w:pPr>
    </w:p>
    <w:p w14:paraId="1BA9ABE3" w14:textId="2B86C0BB" w:rsidR="00835B80" w:rsidRPr="000C4361" w:rsidRDefault="00835B80" w:rsidP="00835B80">
      <w:pPr>
        <w:spacing w:after="0" w:line="240" w:lineRule="auto"/>
        <w:jc w:val="center"/>
        <w:rPr>
          <w:rFonts w:ascii="Times New Roman" w:hAnsi="Times New Roman" w:cs="Times New Roman"/>
          <w:b/>
          <w:bCs/>
          <w:sz w:val="24"/>
          <w:szCs w:val="24"/>
        </w:rPr>
      </w:pPr>
      <w:r w:rsidRPr="000C4361">
        <w:rPr>
          <w:rFonts w:ascii="Times New Roman" w:hAnsi="Times New Roman" w:cs="Times New Roman"/>
          <w:b/>
          <w:bCs/>
          <w:sz w:val="24"/>
          <w:szCs w:val="24"/>
        </w:rPr>
        <w:t>MINISTRUL JUSTIȚIEI INTERIMAR</w:t>
      </w:r>
    </w:p>
    <w:p w14:paraId="6B9C8FE3" w14:textId="77777777" w:rsidR="00835B80" w:rsidRPr="000C4361" w:rsidRDefault="00835B80" w:rsidP="00835B80">
      <w:pPr>
        <w:spacing w:after="0" w:line="240" w:lineRule="auto"/>
        <w:jc w:val="center"/>
        <w:rPr>
          <w:rFonts w:ascii="Times New Roman" w:hAnsi="Times New Roman" w:cs="Times New Roman"/>
          <w:b/>
          <w:bCs/>
          <w:sz w:val="24"/>
          <w:szCs w:val="24"/>
        </w:rPr>
      </w:pPr>
    </w:p>
    <w:p w14:paraId="5ABA1120" w14:textId="77777777" w:rsidR="00835B80" w:rsidRPr="000C4361" w:rsidRDefault="00835B80" w:rsidP="00835B80">
      <w:pPr>
        <w:spacing w:after="0" w:line="240" w:lineRule="auto"/>
        <w:jc w:val="center"/>
        <w:rPr>
          <w:rFonts w:ascii="Times New Roman" w:hAnsi="Times New Roman" w:cs="Times New Roman"/>
          <w:b/>
          <w:sz w:val="24"/>
          <w:szCs w:val="24"/>
        </w:rPr>
      </w:pPr>
      <w:r w:rsidRPr="000C4361">
        <w:rPr>
          <w:rFonts w:ascii="Times New Roman" w:hAnsi="Times New Roman" w:cs="Times New Roman"/>
          <w:b/>
          <w:bCs/>
          <w:sz w:val="24"/>
          <w:szCs w:val="24"/>
        </w:rPr>
        <w:t>LUCIAN NICOLAE BODE</w:t>
      </w:r>
    </w:p>
    <w:p w14:paraId="375C7F53" w14:textId="77777777" w:rsidR="00CF58B1" w:rsidRPr="000C4361" w:rsidRDefault="00CF58B1" w:rsidP="00AF37E8">
      <w:pPr>
        <w:spacing w:after="0" w:line="240" w:lineRule="auto"/>
        <w:jc w:val="center"/>
        <w:rPr>
          <w:rFonts w:ascii="Times New Roman" w:hAnsi="Times New Roman" w:cs="Times New Roman"/>
          <w:b/>
          <w:bCs/>
          <w:sz w:val="24"/>
          <w:szCs w:val="24"/>
        </w:rPr>
      </w:pPr>
    </w:p>
    <w:p w14:paraId="728D6F76" w14:textId="77777777" w:rsidR="00CF58B1" w:rsidRPr="000C4361" w:rsidRDefault="00CF58B1" w:rsidP="00AF37E8">
      <w:pPr>
        <w:spacing w:after="0" w:line="240" w:lineRule="auto"/>
        <w:jc w:val="center"/>
        <w:rPr>
          <w:rFonts w:ascii="Times New Roman" w:hAnsi="Times New Roman" w:cs="Times New Roman"/>
          <w:b/>
          <w:sz w:val="24"/>
          <w:szCs w:val="24"/>
        </w:rPr>
      </w:pPr>
    </w:p>
    <w:p w14:paraId="158C9559" w14:textId="77777777" w:rsidR="00FD6608" w:rsidRPr="000C4361" w:rsidRDefault="00FD6608">
      <w:pPr>
        <w:spacing w:after="0" w:line="240" w:lineRule="auto"/>
        <w:rPr>
          <w:rFonts w:ascii="Times New Roman" w:hAnsi="Times New Roman" w:cs="Times New Roman"/>
          <w:b/>
          <w:sz w:val="24"/>
          <w:szCs w:val="24"/>
        </w:rPr>
      </w:pPr>
    </w:p>
    <w:p w14:paraId="3E968955" w14:textId="77777777" w:rsidR="000A5861" w:rsidRPr="000C4361" w:rsidRDefault="000A5861" w:rsidP="00FD6608">
      <w:pPr>
        <w:spacing w:after="0" w:line="240" w:lineRule="auto"/>
        <w:jc w:val="center"/>
        <w:rPr>
          <w:rFonts w:ascii="Times New Roman" w:hAnsi="Times New Roman" w:cs="Times New Roman"/>
          <w:b/>
          <w:sz w:val="24"/>
          <w:szCs w:val="24"/>
        </w:rPr>
      </w:pPr>
    </w:p>
    <w:p w14:paraId="301F5E7E" w14:textId="77777777" w:rsidR="000A5861" w:rsidRPr="000C4361" w:rsidRDefault="000A5861" w:rsidP="00FD6608">
      <w:pPr>
        <w:spacing w:after="0" w:line="240" w:lineRule="auto"/>
        <w:jc w:val="center"/>
        <w:rPr>
          <w:rFonts w:ascii="Times New Roman" w:hAnsi="Times New Roman" w:cs="Times New Roman"/>
          <w:b/>
          <w:sz w:val="24"/>
          <w:szCs w:val="24"/>
        </w:rPr>
      </w:pPr>
    </w:p>
    <w:p w14:paraId="3E78CEBB" w14:textId="77777777" w:rsidR="000A5861" w:rsidRPr="000C4361" w:rsidRDefault="000A5861" w:rsidP="00FD6608">
      <w:pPr>
        <w:spacing w:after="0" w:line="240" w:lineRule="auto"/>
        <w:jc w:val="center"/>
        <w:rPr>
          <w:rFonts w:ascii="Times New Roman" w:hAnsi="Times New Roman" w:cs="Times New Roman"/>
          <w:b/>
          <w:sz w:val="24"/>
          <w:szCs w:val="24"/>
        </w:rPr>
      </w:pPr>
    </w:p>
    <w:p w14:paraId="3B9FB64C" w14:textId="77777777" w:rsidR="000A5861" w:rsidRPr="000C4361" w:rsidRDefault="000A5861" w:rsidP="00FD6608">
      <w:pPr>
        <w:spacing w:after="0" w:line="240" w:lineRule="auto"/>
        <w:jc w:val="center"/>
        <w:rPr>
          <w:rFonts w:ascii="Times New Roman" w:hAnsi="Times New Roman" w:cs="Times New Roman"/>
          <w:b/>
          <w:sz w:val="24"/>
          <w:szCs w:val="24"/>
        </w:rPr>
      </w:pPr>
    </w:p>
    <w:p w14:paraId="79215DB1" w14:textId="77777777" w:rsidR="000A5861" w:rsidRPr="000C4361" w:rsidRDefault="000A5861" w:rsidP="00FD6608">
      <w:pPr>
        <w:spacing w:after="0" w:line="240" w:lineRule="auto"/>
        <w:jc w:val="center"/>
        <w:rPr>
          <w:rFonts w:ascii="Times New Roman" w:hAnsi="Times New Roman" w:cs="Times New Roman"/>
          <w:b/>
          <w:sz w:val="24"/>
          <w:szCs w:val="24"/>
        </w:rPr>
      </w:pPr>
    </w:p>
    <w:p w14:paraId="10145893" w14:textId="77777777" w:rsidR="000A5861" w:rsidRPr="000C4361" w:rsidRDefault="000A5861" w:rsidP="00FD6608">
      <w:pPr>
        <w:spacing w:after="0" w:line="240" w:lineRule="auto"/>
        <w:jc w:val="center"/>
        <w:rPr>
          <w:rFonts w:ascii="Times New Roman" w:hAnsi="Times New Roman" w:cs="Times New Roman"/>
          <w:b/>
          <w:sz w:val="24"/>
          <w:szCs w:val="24"/>
        </w:rPr>
      </w:pPr>
    </w:p>
    <w:p w14:paraId="7796A9E2" w14:textId="77777777" w:rsidR="000A5861" w:rsidRPr="000C4361" w:rsidRDefault="000A5861" w:rsidP="00FD6608">
      <w:pPr>
        <w:spacing w:after="0" w:line="240" w:lineRule="auto"/>
        <w:jc w:val="center"/>
        <w:rPr>
          <w:rFonts w:ascii="Times New Roman" w:hAnsi="Times New Roman" w:cs="Times New Roman"/>
          <w:b/>
          <w:sz w:val="24"/>
          <w:szCs w:val="24"/>
        </w:rPr>
      </w:pPr>
    </w:p>
    <w:p w14:paraId="0573BFE8" w14:textId="77777777" w:rsidR="000A5861" w:rsidRPr="000C4361" w:rsidRDefault="000A5861" w:rsidP="00FD6608">
      <w:pPr>
        <w:spacing w:after="0" w:line="240" w:lineRule="auto"/>
        <w:jc w:val="center"/>
        <w:rPr>
          <w:rFonts w:ascii="Times New Roman" w:hAnsi="Times New Roman" w:cs="Times New Roman"/>
          <w:b/>
          <w:sz w:val="24"/>
          <w:szCs w:val="24"/>
        </w:rPr>
      </w:pPr>
    </w:p>
    <w:p w14:paraId="4495E47F" w14:textId="77777777" w:rsidR="000A5861" w:rsidRPr="000C4361" w:rsidRDefault="000A5861" w:rsidP="00FD6608">
      <w:pPr>
        <w:spacing w:after="0" w:line="240" w:lineRule="auto"/>
        <w:jc w:val="center"/>
        <w:rPr>
          <w:rFonts w:ascii="Times New Roman" w:hAnsi="Times New Roman" w:cs="Times New Roman"/>
          <w:b/>
          <w:sz w:val="24"/>
          <w:szCs w:val="24"/>
        </w:rPr>
      </w:pPr>
    </w:p>
    <w:p w14:paraId="456BC556" w14:textId="77777777" w:rsidR="000A5861" w:rsidRPr="000C4361" w:rsidRDefault="000A5861" w:rsidP="00FD6608">
      <w:pPr>
        <w:spacing w:after="0" w:line="240" w:lineRule="auto"/>
        <w:jc w:val="center"/>
        <w:rPr>
          <w:rFonts w:ascii="Times New Roman" w:hAnsi="Times New Roman" w:cs="Times New Roman"/>
          <w:b/>
          <w:sz w:val="24"/>
          <w:szCs w:val="24"/>
        </w:rPr>
      </w:pPr>
    </w:p>
    <w:p w14:paraId="252A9543" w14:textId="77777777" w:rsidR="00AF37E8" w:rsidRPr="000C4361" w:rsidRDefault="00AF37E8" w:rsidP="00FD6608">
      <w:pPr>
        <w:spacing w:after="0" w:line="240" w:lineRule="auto"/>
        <w:jc w:val="center"/>
        <w:rPr>
          <w:rFonts w:ascii="Times New Roman" w:hAnsi="Times New Roman" w:cs="Times New Roman"/>
          <w:b/>
          <w:sz w:val="24"/>
          <w:szCs w:val="24"/>
        </w:rPr>
      </w:pPr>
    </w:p>
    <w:p w14:paraId="6DACE9E7" w14:textId="77777777" w:rsidR="00AF37E8" w:rsidRPr="000C4361" w:rsidRDefault="00AF37E8" w:rsidP="00FD6608">
      <w:pPr>
        <w:spacing w:after="0" w:line="240" w:lineRule="auto"/>
        <w:jc w:val="center"/>
        <w:rPr>
          <w:rFonts w:ascii="Times New Roman" w:hAnsi="Times New Roman" w:cs="Times New Roman"/>
          <w:b/>
          <w:sz w:val="24"/>
          <w:szCs w:val="24"/>
        </w:rPr>
      </w:pPr>
    </w:p>
    <w:p w14:paraId="1D963676" w14:textId="77777777" w:rsidR="00AF37E8" w:rsidRPr="000C4361" w:rsidRDefault="00AF37E8" w:rsidP="00FD6608">
      <w:pPr>
        <w:spacing w:after="0" w:line="240" w:lineRule="auto"/>
        <w:jc w:val="center"/>
        <w:rPr>
          <w:rFonts w:ascii="Times New Roman" w:hAnsi="Times New Roman" w:cs="Times New Roman"/>
          <w:b/>
          <w:sz w:val="24"/>
          <w:szCs w:val="24"/>
        </w:rPr>
      </w:pPr>
    </w:p>
    <w:p w14:paraId="26B403F1" w14:textId="77777777" w:rsidR="00AF37E8" w:rsidRPr="000C4361" w:rsidRDefault="00AF37E8" w:rsidP="00FD6608">
      <w:pPr>
        <w:spacing w:after="0" w:line="240" w:lineRule="auto"/>
        <w:jc w:val="center"/>
        <w:rPr>
          <w:rFonts w:ascii="Times New Roman" w:hAnsi="Times New Roman" w:cs="Times New Roman"/>
          <w:b/>
          <w:sz w:val="24"/>
          <w:szCs w:val="24"/>
        </w:rPr>
      </w:pPr>
    </w:p>
    <w:p w14:paraId="527E4EFB" w14:textId="77777777" w:rsidR="000A5861" w:rsidRPr="000C4361" w:rsidRDefault="000A5861" w:rsidP="00FD6608">
      <w:pPr>
        <w:spacing w:after="0" w:line="240" w:lineRule="auto"/>
        <w:jc w:val="center"/>
        <w:rPr>
          <w:rFonts w:ascii="Times New Roman" w:hAnsi="Times New Roman" w:cs="Times New Roman"/>
          <w:b/>
          <w:sz w:val="24"/>
          <w:szCs w:val="24"/>
        </w:rPr>
      </w:pPr>
    </w:p>
    <w:p w14:paraId="309D530D" w14:textId="77777777" w:rsidR="000A5861" w:rsidRPr="000C4361" w:rsidRDefault="000A5861" w:rsidP="002653AF">
      <w:pPr>
        <w:spacing w:after="0" w:line="240" w:lineRule="auto"/>
        <w:rPr>
          <w:rFonts w:ascii="Times New Roman" w:hAnsi="Times New Roman" w:cs="Times New Roman"/>
          <w:b/>
          <w:sz w:val="24"/>
          <w:szCs w:val="24"/>
        </w:rPr>
      </w:pPr>
    </w:p>
    <w:p w14:paraId="362D7CAA" w14:textId="77777777" w:rsidR="00835B80" w:rsidRPr="000C4361" w:rsidRDefault="00835B80" w:rsidP="002653AF">
      <w:pPr>
        <w:spacing w:after="0" w:line="240" w:lineRule="auto"/>
        <w:rPr>
          <w:rFonts w:ascii="Times New Roman" w:hAnsi="Times New Roman" w:cs="Times New Roman"/>
          <w:b/>
          <w:sz w:val="24"/>
          <w:szCs w:val="24"/>
        </w:rPr>
      </w:pPr>
    </w:p>
    <w:p w14:paraId="0A145F4D" w14:textId="77777777" w:rsidR="00835B80" w:rsidRPr="000C4361" w:rsidRDefault="00835B80" w:rsidP="002653AF">
      <w:pPr>
        <w:spacing w:after="0" w:line="240" w:lineRule="auto"/>
        <w:rPr>
          <w:rFonts w:ascii="Times New Roman" w:hAnsi="Times New Roman" w:cs="Times New Roman"/>
          <w:b/>
          <w:sz w:val="24"/>
          <w:szCs w:val="24"/>
        </w:rPr>
      </w:pPr>
    </w:p>
    <w:p w14:paraId="4A98C2C5" w14:textId="77777777" w:rsidR="00835B80" w:rsidRPr="000C4361" w:rsidRDefault="00835B80" w:rsidP="002653AF">
      <w:pPr>
        <w:spacing w:after="0" w:line="240" w:lineRule="auto"/>
        <w:rPr>
          <w:rFonts w:ascii="Times New Roman" w:hAnsi="Times New Roman" w:cs="Times New Roman"/>
          <w:b/>
          <w:sz w:val="24"/>
          <w:szCs w:val="24"/>
        </w:rPr>
      </w:pPr>
    </w:p>
    <w:p w14:paraId="6174E970" w14:textId="77777777" w:rsidR="00835B80" w:rsidRPr="000C4361" w:rsidRDefault="00835B80" w:rsidP="002653AF">
      <w:pPr>
        <w:spacing w:after="0" w:line="240" w:lineRule="auto"/>
        <w:rPr>
          <w:rFonts w:ascii="Times New Roman" w:hAnsi="Times New Roman" w:cs="Times New Roman"/>
          <w:b/>
          <w:sz w:val="24"/>
          <w:szCs w:val="24"/>
        </w:rPr>
      </w:pPr>
    </w:p>
    <w:p w14:paraId="5D2C60C7" w14:textId="77777777" w:rsidR="00835B80" w:rsidRPr="000C4361" w:rsidRDefault="00835B80" w:rsidP="002653AF">
      <w:pPr>
        <w:spacing w:after="0" w:line="240" w:lineRule="auto"/>
        <w:rPr>
          <w:rFonts w:ascii="Times New Roman" w:hAnsi="Times New Roman" w:cs="Times New Roman"/>
          <w:b/>
          <w:sz w:val="24"/>
          <w:szCs w:val="24"/>
        </w:rPr>
      </w:pPr>
    </w:p>
    <w:p w14:paraId="0A898C23" w14:textId="77777777" w:rsidR="00835B80" w:rsidRPr="000C4361" w:rsidRDefault="00835B80" w:rsidP="002653AF">
      <w:pPr>
        <w:spacing w:after="0" w:line="240" w:lineRule="auto"/>
        <w:rPr>
          <w:rFonts w:ascii="Times New Roman" w:hAnsi="Times New Roman" w:cs="Times New Roman"/>
          <w:b/>
          <w:sz w:val="24"/>
          <w:szCs w:val="24"/>
        </w:rPr>
      </w:pPr>
    </w:p>
    <w:p w14:paraId="5FA6AD91" w14:textId="77777777" w:rsidR="00835B80" w:rsidRPr="000C4361" w:rsidRDefault="00835B80" w:rsidP="002653AF">
      <w:pPr>
        <w:spacing w:after="0" w:line="240" w:lineRule="auto"/>
        <w:rPr>
          <w:rFonts w:ascii="Times New Roman" w:hAnsi="Times New Roman" w:cs="Times New Roman"/>
          <w:b/>
          <w:sz w:val="24"/>
          <w:szCs w:val="24"/>
        </w:rPr>
      </w:pPr>
    </w:p>
    <w:p w14:paraId="185D8844" w14:textId="77777777" w:rsidR="00835B80" w:rsidRPr="000C4361" w:rsidRDefault="00835B80" w:rsidP="002653AF">
      <w:pPr>
        <w:spacing w:after="0" w:line="240" w:lineRule="auto"/>
        <w:rPr>
          <w:rFonts w:ascii="Times New Roman" w:hAnsi="Times New Roman" w:cs="Times New Roman"/>
          <w:b/>
          <w:sz w:val="24"/>
          <w:szCs w:val="24"/>
        </w:rPr>
      </w:pPr>
    </w:p>
    <w:sectPr w:rsidR="00835B80" w:rsidRPr="000C4361">
      <w:footerReference w:type="default" r:id="rId14"/>
      <w:pgSz w:w="11906" w:h="16838"/>
      <w:pgMar w:top="1135" w:right="1134" w:bottom="993" w:left="1134" w:header="0" w:footer="9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552C0" w14:textId="77777777" w:rsidR="004B4DBD" w:rsidRDefault="004B4DBD">
      <w:pPr>
        <w:spacing w:after="0" w:line="240" w:lineRule="auto"/>
      </w:pPr>
      <w:r>
        <w:separator/>
      </w:r>
    </w:p>
  </w:endnote>
  <w:endnote w:type="continuationSeparator" w:id="0">
    <w:p w14:paraId="68AAE135" w14:textId="77777777" w:rsidR="004B4DBD" w:rsidRDefault="004B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36429"/>
      <w:docPartObj>
        <w:docPartGallery w:val="Page Numbers (Bottom of Page)"/>
        <w:docPartUnique/>
      </w:docPartObj>
    </w:sdtPr>
    <w:sdtEndPr/>
    <w:sdtContent>
      <w:p w14:paraId="38729AE3" w14:textId="77777777" w:rsidR="00CF58B1" w:rsidRDefault="004D784F">
        <w:pPr>
          <w:pStyle w:val="Footer"/>
          <w:jc w:val="right"/>
        </w:pPr>
        <w:r>
          <w:fldChar w:fldCharType="begin"/>
        </w:r>
        <w:r>
          <w:instrText>PAGE</w:instrText>
        </w:r>
        <w:r>
          <w:fldChar w:fldCharType="separate"/>
        </w:r>
        <w:r w:rsidR="001D7DD5">
          <w:rPr>
            <w:noProof/>
          </w:rPr>
          <w:t>7</w:t>
        </w:r>
        <w:r>
          <w:fldChar w:fldCharType="end"/>
        </w:r>
      </w:p>
    </w:sdtContent>
  </w:sdt>
  <w:p w14:paraId="1FACDB9F" w14:textId="77777777" w:rsidR="00CF58B1" w:rsidRDefault="00CF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34EEE" w14:textId="77777777" w:rsidR="004B4DBD" w:rsidRDefault="004B4DBD">
      <w:pPr>
        <w:spacing w:after="0" w:line="240" w:lineRule="auto"/>
      </w:pPr>
      <w:r>
        <w:separator/>
      </w:r>
    </w:p>
  </w:footnote>
  <w:footnote w:type="continuationSeparator" w:id="0">
    <w:p w14:paraId="6732C371" w14:textId="77777777" w:rsidR="004B4DBD" w:rsidRDefault="004B4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EBF"/>
    <w:multiLevelType w:val="multilevel"/>
    <w:tmpl w:val="6FE28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B522E1F"/>
    <w:multiLevelType w:val="hybridMultilevel"/>
    <w:tmpl w:val="AD04ED90"/>
    <w:lvl w:ilvl="0" w:tplc="0DF24294">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2E1226E"/>
    <w:multiLevelType w:val="multilevel"/>
    <w:tmpl w:val="0A8C0726"/>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1E3FE5"/>
    <w:multiLevelType w:val="multilevel"/>
    <w:tmpl w:val="DB365C3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35F12B9"/>
    <w:multiLevelType w:val="hybridMultilevel"/>
    <w:tmpl w:val="EA74293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D7E8C"/>
    <w:multiLevelType w:val="hybridMultilevel"/>
    <w:tmpl w:val="38AC97FC"/>
    <w:lvl w:ilvl="0" w:tplc="924CF428">
      <w:start w:val="1"/>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42FA294D"/>
    <w:multiLevelType w:val="hybridMultilevel"/>
    <w:tmpl w:val="E9420BFE"/>
    <w:lvl w:ilvl="0" w:tplc="C0EA65E2">
      <w:start w:val="2"/>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B8C7025"/>
    <w:multiLevelType w:val="hybridMultilevel"/>
    <w:tmpl w:val="A8262B20"/>
    <w:lvl w:ilvl="0" w:tplc="1DF81966">
      <w:start w:val="2"/>
      <w:numFmt w:val="bullet"/>
      <w:lvlText w:val="-"/>
      <w:lvlJc w:val="left"/>
      <w:pPr>
        <w:ind w:left="420" w:hanging="360"/>
      </w:pPr>
      <w:rPr>
        <w:rFonts w:ascii="Arial" w:eastAsiaTheme="minorHAnsi" w:hAnsi="Arial" w:cs="Arial" w:hint="default"/>
        <w:b/>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55CC387A"/>
    <w:multiLevelType w:val="hybridMultilevel"/>
    <w:tmpl w:val="BA5A922E"/>
    <w:lvl w:ilvl="0" w:tplc="7CB6AD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BE7BA5"/>
    <w:multiLevelType w:val="multilevel"/>
    <w:tmpl w:val="7E4A40C2"/>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4127A2"/>
    <w:multiLevelType w:val="multilevel"/>
    <w:tmpl w:val="6FA23BF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07360E"/>
    <w:multiLevelType w:val="hybridMultilevel"/>
    <w:tmpl w:val="C9902026"/>
    <w:lvl w:ilvl="0" w:tplc="3C70EE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2C0BB2"/>
    <w:multiLevelType w:val="multilevel"/>
    <w:tmpl w:val="DF30C95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FC10D39"/>
    <w:multiLevelType w:val="hybridMultilevel"/>
    <w:tmpl w:val="B282B23E"/>
    <w:lvl w:ilvl="0" w:tplc="0CF08D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F5313"/>
    <w:multiLevelType w:val="multilevel"/>
    <w:tmpl w:val="7A7EDAB2"/>
    <w:lvl w:ilvl="0">
      <w:start w:val="1"/>
      <w:numFmt w:val="low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9A203B"/>
    <w:multiLevelType w:val="hybridMultilevel"/>
    <w:tmpl w:val="92EE2888"/>
    <w:lvl w:ilvl="0" w:tplc="19D45F0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2"/>
  </w:num>
  <w:num w:numId="4">
    <w:abstractNumId w:val="14"/>
  </w:num>
  <w:num w:numId="5">
    <w:abstractNumId w:val="3"/>
  </w:num>
  <w:num w:numId="6">
    <w:abstractNumId w:val="10"/>
  </w:num>
  <w:num w:numId="7">
    <w:abstractNumId w:val="0"/>
  </w:num>
  <w:num w:numId="8">
    <w:abstractNumId w:val="1"/>
  </w:num>
  <w:num w:numId="9">
    <w:abstractNumId w:val="6"/>
  </w:num>
  <w:num w:numId="10">
    <w:abstractNumId w:val="5"/>
  </w:num>
  <w:num w:numId="11">
    <w:abstractNumId w:val="7"/>
  </w:num>
  <w:num w:numId="12">
    <w:abstractNumId w:val="8"/>
  </w:num>
  <w:num w:numId="13">
    <w:abstractNumId w:val="13"/>
  </w:num>
  <w:num w:numId="14">
    <w:abstractNumId w:val="15"/>
  </w:num>
  <w:num w:numId="15">
    <w:abstractNumId w:val="4"/>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B1"/>
    <w:rsid w:val="00025386"/>
    <w:rsid w:val="00027B55"/>
    <w:rsid w:val="00031A05"/>
    <w:rsid w:val="00044FB4"/>
    <w:rsid w:val="000570B6"/>
    <w:rsid w:val="0008368B"/>
    <w:rsid w:val="000A5861"/>
    <w:rsid w:val="000B51AC"/>
    <w:rsid w:val="000C4361"/>
    <w:rsid w:val="000E058E"/>
    <w:rsid w:val="001033B2"/>
    <w:rsid w:val="00137BA8"/>
    <w:rsid w:val="001478FC"/>
    <w:rsid w:val="001659FB"/>
    <w:rsid w:val="0017640D"/>
    <w:rsid w:val="001D3688"/>
    <w:rsid w:val="001D7DD5"/>
    <w:rsid w:val="001F145D"/>
    <w:rsid w:val="001F5E5E"/>
    <w:rsid w:val="00201F4E"/>
    <w:rsid w:val="0020280A"/>
    <w:rsid w:val="002076FB"/>
    <w:rsid w:val="00221B49"/>
    <w:rsid w:val="0023573E"/>
    <w:rsid w:val="00236575"/>
    <w:rsid w:val="002376FA"/>
    <w:rsid w:val="00242290"/>
    <w:rsid w:val="00245EB4"/>
    <w:rsid w:val="00247F63"/>
    <w:rsid w:val="002653AF"/>
    <w:rsid w:val="002765EB"/>
    <w:rsid w:val="00291952"/>
    <w:rsid w:val="002A056A"/>
    <w:rsid w:val="002C6610"/>
    <w:rsid w:val="00301AC5"/>
    <w:rsid w:val="003037BA"/>
    <w:rsid w:val="00304ED2"/>
    <w:rsid w:val="003158DF"/>
    <w:rsid w:val="00316EA0"/>
    <w:rsid w:val="003474BC"/>
    <w:rsid w:val="003B2B5D"/>
    <w:rsid w:val="003E7CCC"/>
    <w:rsid w:val="004022A4"/>
    <w:rsid w:val="004160DA"/>
    <w:rsid w:val="00431592"/>
    <w:rsid w:val="00436A3A"/>
    <w:rsid w:val="00456409"/>
    <w:rsid w:val="0048337B"/>
    <w:rsid w:val="00487CAD"/>
    <w:rsid w:val="004B4DBD"/>
    <w:rsid w:val="004B7E72"/>
    <w:rsid w:val="004C0204"/>
    <w:rsid w:val="004D6BC4"/>
    <w:rsid w:val="004D784F"/>
    <w:rsid w:val="004E550E"/>
    <w:rsid w:val="004F11F5"/>
    <w:rsid w:val="00503455"/>
    <w:rsid w:val="005444FB"/>
    <w:rsid w:val="005523EE"/>
    <w:rsid w:val="00553FAF"/>
    <w:rsid w:val="00554204"/>
    <w:rsid w:val="00560DBA"/>
    <w:rsid w:val="005749EB"/>
    <w:rsid w:val="00595D87"/>
    <w:rsid w:val="005C2FA7"/>
    <w:rsid w:val="005E339E"/>
    <w:rsid w:val="005F6DE5"/>
    <w:rsid w:val="00603A25"/>
    <w:rsid w:val="00604E6E"/>
    <w:rsid w:val="00612F6C"/>
    <w:rsid w:val="0063016E"/>
    <w:rsid w:val="0063665B"/>
    <w:rsid w:val="0064294B"/>
    <w:rsid w:val="00651042"/>
    <w:rsid w:val="0065312F"/>
    <w:rsid w:val="006564CC"/>
    <w:rsid w:val="00683A90"/>
    <w:rsid w:val="006A7ECC"/>
    <w:rsid w:val="006C33A4"/>
    <w:rsid w:val="006E4AF0"/>
    <w:rsid w:val="006E6CAB"/>
    <w:rsid w:val="00724EDD"/>
    <w:rsid w:val="0072568F"/>
    <w:rsid w:val="00730C70"/>
    <w:rsid w:val="0075092A"/>
    <w:rsid w:val="00774A22"/>
    <w:rsid w:val="007A4E2C"/>
    <w:rsid w:val="007F6B61"/>
    <w:rsid w:val="00810FCA"/>
    <w:rsid w:val="0083438C"/>
    <w:rsid w:val="00835B80"/>
    <w:rsid w:val="00860EB0"/>
    <w:rsid w:val="00861EC1"/>
    <w:rsid w:val="00877268"/>
    <w:rsid w:val="008B0231"/>
    <w:rsid w:val="008B37D7"/>
    <w:rsid w:val="008E63ED"/>
    <w:rsid w:val="008F1737"/>
    <w:rsid w:val="008F373D"/>
    <w:rsid w:val="00903D88"/>
    <w:rsid w:val="0093548C"/>
    <w:rsid w:val="00935E58"/>
    <w:rsid w:val="00953392"/>
    <w:rsid w:val="00995138"/>
    <w:rsid w:val="009B5EF5"/>
    <w:rsid w:val="009D7F76"/>
    <w:rsid w:val="00A06467"/>
    <w:rsid w:val="00A27085"/>
    <w:rsid w:val="00A312CB"/>
    <w:rsid w:val="00A518BC"/>
    <w:rsid w:val="00AA499B"/>
    <w:rsid w:val="00AB07B9"/>
    <w:rsid w:val="00AC2B95"/>
    <w:rsid w:val="00AD5122"/>
    <w:rsid w:val="00AD66B9"/>
    <w:rsid w:val="00AF37E8"/>
    <w:rsid w:val="00B56893"/>
    <w:rsid w:val="00B618B6"/>
    <w:rsid w:val="00B65FEE"/>
    <w:rsid w:val="00B75381"/>
    <w:rsid w:val="00B82D13"/>
    <w:rsid w:val="00B83E05"/>
    <w:rsid w:val="00BA62BE"/>
    <w:rsid w:val="00BD613A"/>
    <w:rsid w:val="00BE36C6"/>
    <w:rsid w:val="00C22088"/>
    <w:rsid w:val="00C6120E"/>
    <w:rsid w:val="00C6228C"/>
    <w:rsid w:val="00C719FA"/>
    <w:rsid w:val="00C84C3C"/>
    <w:rsid w:val="00CB7473"/>
    <w:rsid w:val="00CC5E51"/>
    <w:rsid w:val="00CF58B1"/>
    <w:rsid w:val="00D0598F"/>
    <w:rsid w:val="00D13784"/>
    <w:rsid w:val="00D13DDE"/>
    <w:rsid w:val="00D1643B"/>
    <w:rsid w:val="00D20FFF"/>
    <w:rsid w:val="00D22289"/>
    <w:rsid w:val="00D3270E"/>
    <w:rsid w:val="00D36238"/>
    <w:rsid w:val="00D51078"/>
    <w:rsid w:val="00D64C34"/>
    <w:rsid w:val="00D863B5"/>
    <w:rsid w:val="00D8792D"/>
    <w:rsid w:val="00D935E2"/>
    <w:rsid w:val="00D97A4F"/>
    <w:rsid w:val="00DC2033"/>
    <w:rsid w:val="00DC4DFD"/>
    <w:rsid w:val="00DD0E32"/>
    <w:rsid w:val="00DE06AA"/>
    <w:rsid w:val="00E01D84"/>
    <w:rsid w:val="00E0282E"/>
    <w:rsid w:val="00E124E2"/>
    <w:rsid w:val="00E17A6E"/>
    <w:rsid w:val="00E21236"/>
    <w:rsid w:val="00E45C97"/>
    <w:rsid w:val="00E51FE0"/>
    <w:rsid w:val="00E65CFC"/>
    <w:rsid w:val="00E76CC8"/>
    <w:rsid w:val="00E8457E"/>
    <w:rsid w:val="00E93202"/>
    <w:rsid w:val="00EC6020"/>
    <w:rsid w:val="00EE089C"/>
    <w:rsid w:val="00EF1F6B"/>
    <w:rsid w:val="00EF6F74"/>
    <w:rsid w:val="00F006DE"/>
    <w:rsid w:val="00F03156"/>
    <w:rsid w:val="00F11A8C"/>
    <w:rsid w:val="00F13F19"/>
    <w:rsid w:val="00F420BA"/>
    <w:rsid w:val="00F82BBA"/>
    <w:rsid w:val="00FA1C1F"/>
    <w:rsid w:val="00FD6608"/>
    <w:rsid w:val="00FF0B98"/>
    <w:rsid w:val="00FF54FE"/>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6C"/>
    <w:pPr>
      <w:spacing w:after="160" w:line="259" w:lineRule="auto"/>
    </w:pPr>
  </w:style>
  <w:style w:type="paragraph" w:styleId="Heading2">
    <w:name w:val="heading 2"/>
    <w:basedOn w:val="Normal"/>
    <w:next w:val="Normal"/>
    <w:link w:val="Heading2Char"/>
    <w:qFormat/>
    <w:rsid w:val="0028356C"/>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B03A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28356C"/>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28356C"/>
  </w:style>
  <w:style w:type="character" w:customStyle="1" w:styleId="BalloonTextChar">
    <w:name w:val="Balloon Text Char"/>
    <w:basedOn w:val="DefaultParagraphFont"/>
    <w:link w:val="BalloonText"/>
    <w:uiPriority w:val="99"/>
    <w:semiHidden/>
    <w:qFormat/>
    <w:rsid w:val="00E16335"/>
    <w:rPr>
      <w:rFonts w:ascii="Tahoma" w:hAnsi="Tahoma" w:cs="Tahoma"/>
      <w:sz w:val="16"/>
      <w:szCs w:val="16"/>
    </w:rPr>
  </w:style>
  <w:style w:type="character" w:customStyle="1" w:styleId="InternetLink">
    <w:name w:val="Internet Link"/>
    <w:basedOn w:val="DefaultParagraphFont"/>
    <w:uiPriority w:val="99"/>
    <w:unhideWhenUsed/>
    <w:rsid w:val="00E16B55"/>
    <w:rPr>
      <w:color w:val="0563C1" w:themeColor="hyperlink"/>
      <w:u w:val="single"/>
    </w:rPr>
  </w:style>
  <w:style w:type="character" w:customStyle="1" w:styleId="rvts1">
    <w:name w:val="rvts1"/>
    <w:basedOn w:val="DefaultParagraphFont"/>
    <w:uiPriority w:val="99"/>
    <w:qFormat/>
    <w:rsid w:val="00707EAF"/>
  </w:style>
  <w:style w:type="character" w:customStyle="1" w:styleId="rvts3">
    <w:name w:val="rvts3"/>
    <w:basedOn w:val="DefaultParagraphFont"/>
    <w:qFormat/>
    <w:rsid w:val="00872B8D"/>
  </w:style>
  <w:style w:type="character" w:customStyle="1" w:styleId="Heading4Char">
    <w:name w:val="Heading 4 Char"/>
    <w:basedOn w:val="DefaultParagraphFont"/>
    <w:link w:val="Heading4"/>
    <w:uiPriority w:val="9"/>
    <w:qFormat/>
    <w:rsid w:val="00B03AB0"/>
    <w:rPr>
      <w:rFonts w:asciiTheme="majorHAnsi" w:eastAsiaTheme="majorEastAsia" w:hAnsiTheme="majorHAnsi" w:cstheme="majorBidi"/>
      <w:i/>
      <w:iCs/>
      <w:color w:val="2E74B5" w:themeColor="accent1" w:themeShade="BF"/>
    </w:rPr>
  </w:style>
  <w:style w:type="character" w:customStyle="1" w:styleId="cmg">
    <w:name w:val="cmg"/>
    <w:basedOn w:val="DefaultParagraphFont"/>
    <w:qFormat/>
    <w:rsid w:val="00B03AB0"/>
  </w:style>
  <w:style w:type="character" w:customStyle="1" w:styleId="BodyTextChar">
    <w:name w:val="Body Text Char"/>
    <w:basedOn w:val="DefaultParagraphFont"/>
    <w:link w:val="BodyText"/>
    <w:qFormat/>
    <w:rsid w:val="001802E8"/>
    <w:rPr>
      <w:rFonts w:ascii="Times New Roman" w:eastAsia="Times New Roman" w:hAnsi="Times New Roman" w:cs="Times New Roman"/>
      <w:sz w:val="24"/>
      <w:szCs w:val="24"/>
    </w:rPr>
  </w:style>
  <w:style w:type="character" w:customStyle="1" w:styleId="lrzxr">
    <w:name w:val="lrzxr"/>
    <w:basedOn w:val="DefaultParagraphFont"/>
    <w:qFormat/>
    <w:rsid w:val="001802E8"/>
  </w:style>
  <w:style w:type="character" w:customStyle="1" w:styleId="rvts2">
    <w:name w:val="rvts2"/>
    <w:basedOn w:val="DefaultParagraphFont"/>
    <w:qFormat/>
    <w:rsid w:val="00B74732"/>
  </w:style>
  <w:style w:type="character" w:customStyle="1" w:styleId="rvts6">
    <w:name w:val="rvts6"/>
    <w:basedOn w:val="DefaultParagraphFont"/>
    <w:qFormat/>
    <w:rsid w:val="002805A3"/>
  </w:style>
  <w:style w:type="character" w:customStyle="1" w:styleId="psearchhighlight">
    <w:name w:val="psearchhighlight"/>
    <w:basedOn w:val="DefaultParagraphFont"/>
    <w:qFormat/>
    <w:rsid w:val="002805A3"/>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hAnsi="Arial" w:cs="Arial"/>
      <w:b/>
      <w:color w:val="auto"/>
      <w:u w:val="non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1802E8"/>
    <w:pPr>
      <w:spacing w:before="120" w:after="120" w:line="240" w:lineRule="auto"/>
      <w:jc w:val="both"/>
    </w:pPr>
    <w:rPr>
      <w:rFonts w:ascii="Times New Roman" w:eastAsia="Times New Roman" w:hAnsi="Times New Roman" w:cs="Times New Roman"/>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8356C"/>
    <w:pPr>
      <w:ind w:left="720"/>
      <w:contextualSpacing/>
    </w:pPr>
  </w:style>
  <w:style w:type="paragraph" w:styleId="Footer">
    <w:name w:val="footer"/>
    <w:basedOn w:val="Normal"/>
    <w:link w:val="FooterChar"/>
    <w:uiPriority w:val="99"/>
    <w:unhideWhenUsed/>
    <w:rsid w:val="0028356C"/>
    <w:pPr>
      <w:tabs>
        <w:tab w:val="center" w:pos="4536"/>
        <w:tab w:val="right" w:pos="9072"/>
      </w:tabs>
      <w:spacing w:after="0" w:line="240" w:lineRule="auto"/>
    </w:pPr>
  </w:style>
  <w:style w:type="paragraph" w:styleId="NoSpacing">
    <w:name w:val="No Spacing"/>
    <w:uiPriority w:val="1"/>
    <w:qFormat/>
    <w:rsid w:val="0028356C"/>
    <w:rPr>
      <w:lang w:val="en-US"/>
    </w:rPr>
  </w:style>
  <w:style w:type="paragraph" w:styleId="BalloonText">
    <w:name w:val="Balloon Text"/>
    <w:basedOn w:val="Normal"/>
    <w:link w:val="BalloonTextChar"/>
    <w:uiPriority w:val="99"/>
    <w:semiHidden/>
    <w:unhideWhenUsed/>
    <w:qFormat/>
    <w:rsid w:val="00E16335"/>
    <w:pPr>
      <w:spacing w:after="0" w:line="240" w:lineRule="auto"/>
    </w:pPr>
    <w:rPr>
      <w:rFonts w:ascii="Tahoma" w:hAnsi="Tahoma" w:cs="Tahoma"/>
      <w:sz w:val="16"/>
      <w:szCs w:val="16"/>
    </w:rPr>
  </w:style>
  <w:style w:type="paragraph" w:customStyle="1" w:styleId="al">
    <w:name w:val="a_l"/>
    <w:basedOn w:val="Normal"/>
    <w:qFormat/>
    <w:rsid w:val="00B03AB0"/>
    <w:pPr>
      <w:spacing w:beforeAutospacing="1"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8356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608"/>
    <w:rPr>
      <w:color w:val="0563C1" w:themeColor="hyperlink"/>
      <w:u w:val="single"/>
    </w:rPr>
  </w:style>
  <w:style w:type="paragraph" w:customStyle="1" w:styleId="rvps3">
    <w:name w:val="rvps3"/>
    <w:basedOn w:val="Normal"/>
    <w:rsid w:val="006E4AF0"/>
    <w:pPr>
      <w:spacing w:before="100" w:beforeAutospacing="1" w:after="100" w:afterAutospacing="1" w:line="240" w:lineRule="auto"/>
    </w:pPr>
    <w:rPr>
      <w:rFonts w:ascii="Times New Roman" w:hAnsi="Times New Roman" w:cs="Times New Roman"/>
      <w:sz w:val="24"/>
      <w:szCs w:val="24"/>
      <w:lang w:val="en-US"/>
    </w:rPr>
  </w:style>
  <w:style w:type="character" w:customStyle="1" w:styleId="rvts7">
    <w:name w:val="rvts7"/>
    <w:basedOn w:val="DefaultParagraphFont"/>
    <w:rsid w:val="006E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6C"/>
    <w:pPr>
      <w:spacing w:after="160" w:line="259" w:lineRule="auto"/>
    </w:pPr>
  </w:style>
  <w:style w:type="paragraph" w:styleId="Heading2">
    <w:name w:val="heading 2"/>
    <w:basedOn w:val="Normal"/>
    <w:next w:val="Normal"/>
    <w:link w:val="Heading2Char"/>
    <w:qFormat/>
    <w:rsid w:val="0028356C"/>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B03A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28356C"/>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28356C"/>
  </w:style>
  <w:style w:type="character" w:customStyle="1" w:styleId="BalloonTextChar">
    <w:name w:val="Balloon Text Char"/>
    <w:basedOn w:val="DefaultParagraphFont"/>
    <w:link w:val="BalloonText"/>
    <w:uiPriority w:val="99"/>
    <w:semiHidden/>
    <w:qFormat/>
    <w:rsid w:val="00E16335"/>
    <w:rPr>
      <w:rFonts w:ascii="Tahoma" w:hAnsi="Tahoma" w:cs="Tahoma"/>
      <w:sz w:val="16"/>
      <w:szCs w:val="16"/>
    </w:rPr>
  </w:style>
  <w:style w:type="character" w:customStyle="1" w:styleId="InternetLink">
    <w:name w:val="Internet Link"/>
    <w:basedOn w:val="DefaultParagraphFont"/>
    <w:uiPriority w:val="99"/>
    <w:unhideWhenUsed/>
    <w:rsid w:val="00E16B55"/>
    <w:rPr>
      <w:color w:val="0563C1" w:themeColor="hyperlink"/>
      <w:u w:val="single"/>
    </w:rPr>
  </w:style>
  <w:style w:type="character" w:customStyle="1" w:styleId="rvts1">
    <w:name w:val="rvts1"/>
    <w:basedOn w:val="DefaultParagraphFont"/>
    <w:uiPriority w:val="99"/>
    <w:qFormat/>
    <w:rsid w:val="00707EAF"/>
  </w:style>
  <w:style w:type="character" w:customStyle="1" w:styleId="rvts3">
    <w:name w:val="rvts3"/>
    <w:basedOn w:val="DefaultParagraphFont"/>
    <w:qFormat/>
    <w:rsid w:val="00872B8D"/>
  </w:style>
  <w:style w:type="character" w:customStyle="1" w:styleId="Heading4Char">
    <w:name w:val="Heading 4 Char"/>
    <w:basedOn w:val="DefaultParagraphFont"/>
    <w:link w:val="Heading4"/>
    <w:uiPriority w:val="9"/>
    <w:qFormat/>
    <w:rsid w:val="00B03AB0"/>
    <w:rPr>
      <w:rFonts w:asciiTheme="majorHAnsi" w:eastAsiaTheme="majorEastAsia" w:hAnsiTheme="majorHAnsi" w:cstheme="majorBidi"/>
      <w:i/>
      <w:iCs/>
      <w:color w:val="2E74B5" w:themeColor="accent1" w:themeShade="BF"/>
    </w:rPr>
  </w:style>
  <w:style w:type="character" w:customStyle="1" w:styleId="cmg">
    <w:name w:val="cmg"/>
    <w:basedOn w:val="DefaultParagraphFont"/>
    <w:qFormat/>
    <w:rsid w:val="00B03AB0"/>
  </w:style>
  <w:style w:type="character" w:customStyle="1" w:styleId="BodyTextChar">
    <w:name w:val="Body Text Char"/>
    <w:basedOn w:val="DefaultParagraphFont"/>
    <w:link w:val="BodyText"/>
    <w:qFormat/>
    <w:rsid w:val="001802E8"/>
    <w:rPr>
      <w:rFonts w:ascii="Times New Roman" w:eastAsia="Times New Roman" w:hAnsi="Times New Roman" w:cs="Times New Roman"/>
      <w:sz w:val="24"/>
      <w:szCs w:val="24"/>
    </w:rPr>
  </w:style>
  <w:style w:type="character" w:customStyle="1" w:styleId="lrzxr">
    <w:name w:val="lrzxr"/>
    <w:basedOn w:val="DefaultParagraphFont"/>
    <w:qFormat/>
    <w:rsid w:val="001802E8"/>
  </w:style>
  <w:style w:type="character" w:customStyle="1" w:styleId="rvts2">
    <w:name w:val="rvts2"/>
    <w:basedOn w:val="DefaultParagraphFont"/>
    <w:qFormat/>
    <w:rsid w:val="00B74732"/>
  </w:style>
  <w:style w:type="character" w:customStyle="1" w:styleId="rvts6">
    <w:name w:val="rvts6"/>
    <w:basedOn w:val="DefaultParagraphFont"/>
    <w:qFormat/>
    <w:rsid w:val="002805A3"/>
  </w:style>
  <w:style w:type="character" w:customStyle="1" w:styleId="psearchhighlight">
    <w:name w:val="psearchhighlight"/>
    <w:basedOn w:val="DefaultParagraphFont"/>
    <w:qFormat/>
    <w:rsid w:val="002805A3"/>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hAnsi="Arial" w:cs="Arial"/>
      <w:b/>
      <w:color w:val="auto"/>
      <w:u w:val="non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1802E8"/>
    <w:pPr>
      <w:spacing w:before="120" w:after="120" w:line="240" w:lineRule="auto"/>
      <w:jc w:val="both"/>
    </w:pPr>
    <w:rPr>
      <w:rFonts w:ascii="Times New Roman" w:eastAsia="Times New Roman" w:hAnsi="Times New Roman" w:cs="Times New Roman"/>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8356C"/>
    <w:pPr>
      <w:ind w:left="720"/>
      <w:contextualSpacing/>
    </w:pPr>
  </w:style>
  <w:style w:type="paragraph" w:styleId="Footer">
    <w:name w:val="footer"/>
    <w:basedOn w:val="Normal"/>
    <w:link w:val="FooterChar"/>
    <w:uiPriority w:val="99"/>
    <w:unhideWhenUsed/>
    <w:rsid w:val="0028356C"/>
    <w:pPr>
      <w:tabs>
        <w:tab w:val="center" w:pos="4536"/>
        <w:tab w:val="right" w:pos="9072"/>
      </w:tabs>
      <w:spacing w:after="0" w:line="240" w:lineRule="auto"/>
    </w:pPr>
  </w:style>
  <w:style w:type="paragraph" w:styleId="NoSpacing">
    <w:name w:val="No Spacing"/>
    <w:uiPriority w:val="1"/>
    <w:qFormat/>
    <w:rsid w:val="0028356C"/>
    <w:rPr>
      <w:lang w:val="en-US"/>
    </w:rPr>
  </w:style>
  <w:style w:type="paragraph" w:styleId="BalloonText">
    <w:name w:val="Balloon Text"/>
    <w:basedOn w:val="Normal"/>
    <w:link w:val="BalloonTextChar"/>
    <w:uiPriority w:val="99"/>
    <w:semiHidden/>
    <w:unhideWhenUsed/>
    <w:qFormat/>
    <w:rsid w:val="00E16335"/>
    <w:pPr>
      <w:spacing w:after="0" w:line="240" w:lineRule="auto"/>
    </w:pPr>
    <w:rPr>
      <w:rFonts w:ascii="Tahoma" w:hAnsi="Tahoma" w:cs="Tahoma"/>
      <w:sz w:val="16"/>
      <w:szCs w:val="16"/>
    </w:rPr>
  </w:style>
  <w:style w:type="paragraph" w:customStyle="1" w:styleId="al">
    <w:name w:val="a_l"/>
    <w:basedOn w:val="Normal"/>
    <w:qFormat/>
    <w:rsid w:val="00B03AB0"/>
    <w:pPr>
      <w:spacing w:beforeAutospacing="1"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8356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608"/>
    <w:rPr>
      <w:color w:val="0563C1" w:themeColor="hyperlink"/>
      <w:u w:val="single"/>
    </w:rPr>
  </w:style>
  <w:style w:type="paragraph" w:customStyle="1" w:styleId="rvps3">
    <w:name w:val="rvps3"/>
    <w:basedOn w:val="Normal"/>
    <w:rsid w:val="006E4AF0"/>
    <w:pPr>
      <w:spacing w:before="100" w:beforeAutospacing="1" w:after="100" w:afterAutospacing="1" w:line="240" w:lineRule="auto"/>
    </w:pPr>
    <w:rPr>
      <w:rFonts w:ascii="Times New Roman" w:hAnsi="Times New Roman" w:cs="Times New Roman"/>
      <w:sz w:val="24"/>
      <w:szCs w:val="24"/>
      <w:lang w:val="en-US"/>
    </w:rPr>
  </w:style>
  <w:style w:type="character" w:customStyle="1" w:styleId="rvts7">
    <w:name w:val="rvts7"/>
    <w:basedOn w:val="DefaultParagraphFont"/>
    <w:rsid w:val="006E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5148">
      <w:bodyDiv w:val="1"/>
      <w:marLeft w:val="0"/>
      <w:marRight w:val="0"/>
      <w:marTop w:val="0"/>
      <w:marBottom w:val="0"/>
      <w:divBdr>
        <w:top w:val="none" w:sz="0" w:space="0" w:color="auto"/>
        <w:left w:val="none" w:sz="0" w:space="0" w:color="auto"/>
        <w:bottom w:val="none" w:sz="0" w:space="0" w:color="auto"/>
        <w:right w:val="none" w:sz="0" w:space="0" w:color="auto"/>
      </w:divBdr>
    </w:div>
    <w:div w:id="1297951831">
      <w:bodyDiv w:val="1"/>
      <w:marLeft w:val="0"/>
      <w:marRight w:val="0"/>
      <w:marTop w:val="0"/>
      <w:marBottom w:val="0"/>
      <w:divBdr>
        <w:top w:val="none" w:sz="0" w:space="0" w:color="auto"/>
        <w:left w:val="none" w:sz="0" w:space="0" w:color="auto"/>
        <w:bottom w:val="none" w:sz="0" w:space="0" w:color="auto"/>
        <w:right w:val="none" w:sz="0" w:space="0" w:color="auto"/>
      </w:divBdr>
    </w:div>
    <w:div w:id="1502550634">
      <w:bodyDiv w:val="1"/>
      <w:marLeft w:val="0"/>
      <w:marRight w:val="0"/>
      <w:marTop w:val="0"/>
      <w:marBottom w:val="0"/>
      <w:divBdr>
        <w:top w:val="none" w:sz="0" w:space="0" w:color="auto"/>
        <w:left w:val="none" w:sz="0" w:space="0" w:color="auto"/>
        <w:bottom w:val="none" w:sz="0" w:space="0" w:color="auto"/>
        <w:right w:val="none" w:sz="0" w:space="0" w:color="auto"/>
      </w:divBdr>
    </w:div>
    <w:div w:id="1807117906">
      <w:bodyDiv w:val="1"/>
      <w:marLeft w:val="0"/>
      <w:marRight w:val="0"/>
      <w:marTop w:val="0"/>
      <w:marBottom w:val="0"/>
      <w:divBdr>
        <w:top w:val="none" w:sz="0" w:space="0" w:color="auto"/>
        <w:left w:val="none" w:sz="0" w:space="0" w:color="auto"/>
        <w:bottom w:val="none" w:sz="0" w:space="0" w:color="auto"/>
        <w:right w:val="none" w:sz="0" w:space="0" w:color="auto"/>
      </w:divBdr>
    </w:div>
    <w:div w:id="181563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93E1-9C55-494D-95D1-34B43790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2280</Words>
  <Characters>13225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Brinza</dc:creator>
  <cp:lastModifiedBy>Daniela d. Mihailescu</cp:lastModifiedBy>
  <cp:revision>4</cp:revision>
  <cp:lastPrinted>2021-11-04T09:08:00Z</cp:lastPrinted>
  <dcterms:created xsi:type="dcterms:W3CDTF">2021-11-09T12:51:00Z</dcterms:created>
  <dcterms:modified xsi:type="dcterms:W3CDTF">2021-11-10T13:35:00Z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