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8E66" w14:textId="77777777" w:rsidR="004A3452" w:rsidRPr="009C1EA1" w:rsidRDefault="00E77B84" w:rsidP="009C1EA1">
      <w:pPr>
        <w:spacing w:before="120" w:after="120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9C1EA1">
        <w:rPr>
          <w:rFonts w:asciiTheme="majorHAnsi" w:hAnsiTheme="majorHAnsi" w:cstheme="majorHAnsi"/>
          <w:b/>
          <w:bCs/>
          <w:sz w:val="24"/>
          <w:szCs w:val="24"/>
          <w:lang w:val="ro-RO"/>
        </w:rPr>
        <w:t>Obligațiile de raportare privind aspectele de mediu</w:t>
      </w:r>
      <w:r w:rsidR="00CD1811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ale companiilor</w:t>
      </w:r>
      <w:r w:rsidRPr="009C1EA1">
        <w:rPr>
          <w:rFonts w:asciiTheme="majorHAnsi" w:hAnsiTheme="majorHAnsi" w:cstheme="majorHAnsi"/>
          <w:b/>
          <w:bCs/>
          <w:sz w:val="24"/>
          <w:szCs w:val="24"/>
          <w:lang w:val="ro-RO"/>
        </w:rPr>
        <w:t>: declarația nefinanciară și regulamentul privind taxonomia</w:t>
      </w:r>
    </w:p>
    <w:p w14:paraId="7346D6B6" w14:textId="77777777" w:rsidR="00A922EF" w:rsidRDefault="00A922EF" w:rsidP="00DC5245">
      <w:pPr>
        <w:spacing w:before="120" w:after="120"/>
        <w:jc w:val="both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</w:p>
    <w:p w14:paraId="7FA80777" w14:textId="32494623" w:rsidR="004A3452" w:rsidRPr="004A3452" w:rsidRDefault="004A3452" w:rsidP="00DC5245">
      <w:pPr>
        <w:spacing w:before="120" w:after="120"/>
        <w:jc w:val="both"/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  <w:r w:rsidRPr="004A3452">
        <w:rPr>
          <w:rFonts w:asciiTheme="majorHAnsi" w:hAnsiTheme="majorHAnsi" w:cstheme="majorHAnsi"/>
          <w:i/>
          <w:iCs/>
          <w:sz w:val="20"/>
          <w:szCs w:val="20"/>
          <w:lang w:val="ro-RO"/>
        </w:rPr>
        <w:t>Material de opinie de Corina Dimitriu,</w:t>
      </w:r>
      <w:r w:rsidR="003D400A" w:rsidRPr="003D400A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="003D400A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Partener </w:t>
      </w:r>
      <w:r w:rsidR="000B06DE">
        <w:rPr>
          <w:rFonts w:ascii="Calibri Light" w:hAnsi="Calibri Light" w:cs="Calibri Light"/>
          <w:i/>
          <w:iCs/>
          <w:sz w:val="20"/>
          <w:szCs w:val="20"/>
          <w:lang w:val="ro-RO"/>
        </w:rPr>
        <w:t>A</w:t>
      </w:r>
      <w:r w:rsidR="003D400A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udit și </w:t>
      </w:r>
      <w:bookmarkStart w:id="0" w:name="_Hlk86309099"/>
      <w:r w:rsidR="003D400A">
        <w:rPr>
          <w:rFonts w:ascii="Calibri Light" w:hAnsi="Calibri Light" w:cs="Calibri Light"/>
          <w:i/>
          <w:iCs/>
          <w:sz w:val="20"/>
          <w:szCs w:val="20"/>
          <w:lang w:val="ro-RO"/>
        </w:rPr>
        <w:t>Liderul serviciilor de asigurare privind rapoartele de sustenabilitate</w:t>
      </w:r>
      <w:r w:rsidRPr="004A3452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, și </w:t>
      </w:r>
      <w:r w:rsidR="00E77B84">
        <w:rPr>
          <w:rFonts w:asciiTheme="majorHAnsi" w:hAnsiTheme="majorHAnsi" w:cstheme="majorHAnsi"/>
          <w:i/>
          <w:iCs/>
          <w:sz w:val="20"/>
          <w:szCs w:val="20"/>
          <w:lang w:val="ro-RO"/>
        </w:rPr>
        <w:t>Sorin Elisei</w:t>
      </w:r>
      <w:r w:rsidR="00A922EF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, </w:t>
      </w:r>
      <w:r w:rsidR="00A922EF" w:rsidRPr="00A922EF">
        <w:rPr>
          <w:rFonts w:asciiTheme="majorHAnsi" w:hAnsiTheme="majorHAnsi" w:cstheme="majorHAnsi"/>
          <w:bCs/>
          <w:i/>
          <w:iCs/>
          <w:sz w:val="20"/>
          <w:szCs w:val="20"/>
          <w:lang w:val="ro-RO"/>
        </w:rPr>
        <w:t>Director și Liderul practicilor de energie și sustenabilitate</w:t>
      </w:r>
      <w:r w:rsidR="00A922EF">
        <w:rPr>
          <w:rFonts w:asciiTheme="majorHAnsi" w:hAnsiTheme="majorHAnsi" w:cstheme="majorHAnsi"/>
          <w:bCs/>
          <w:i/>
          <w:iCs/>
          <w:sz w:val="20"/>
          <w:szCs w:val="20"/>
          <w:lang w:val="ro-RO"/>
        </w:rPr>
        <w:t>, Deloitte România</w:t>
      </w:r>
      <w:r w:rsidR="00A922EF" w:rsidRPr="00A922EF">
        <w:rPr>
          <w:rFonts w:asciiTheme="majorHAnsi" w:hAnsiTheme="majorHAnsi" w:cstheme="majorHAnsi"/>
          <w:bCs/>
          <w:i/>
          <w:iCs/>
          <w:sz w:val="20"/>
          <w:szCs w:val="20"/>
          <w:lang w:val="ro-RO"/>
        </w:rPr>
        <w:t xml:space="preserve"> </w:t>
      </w:r>
      <w:bookmarkEnd w:id="0"/>
    </w:p>
    <w:p w14:paraId="6C334A1A" w14:textId="77777777" w:rsidR="004A3452" w:rsidRDefault="004A3452" w:rsidP="00DC524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06AEBA9D" w14:textId="77777777" w:rsidR="00C26A32" w:rsidRDefault="003C2D43" w:rsidP="00DC5245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bookmarkStart w:id="1" w:name="_Hlk86308831"/>
      <w:r w:rsidRPr="009C1EA1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ntre </w:t>
      </w:r>
      <w:r w:rsidR="000103B7" w:rsidRPr="009C1EA1">
        <w:rPr>
          <w:rFonts w:asciiTheme="majorHAnsi" w:hAnsiTheme="majorHAnsi" w:cstheme="majorHAnsi"/>
          <w:sz w:val="20"/>
          <w:szCs w:val="20"/>
          <w:lang w:val="ro-RO"/>
        </w:rPr>
        <w:t>raportare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0103B7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>trimestrial</w:t>
      </w:r>
      <w:r w:rsidRP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0103B7" w:rsidRPr="009C1EA1">
        <w:rPr>
          <w:rFonts w:asciiTheme="majorHAnsi" w:hAnsiTheme="majorHAnsi" w:cstheme="majorHAnsi"/>
          <w:sz w:val="20"/>
          <w:szCs w:val="20"/>
          <w:lang w:val="ro-RO"/>
        </w:rPr>
        <w:t>, preg</w:t>
      </w:r>
      <w:r w:rsidRP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0103B7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tirea pentru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raportarea în format electronic european (</w:t>
      </w:r>
      <w:r w:rsidR="00136641" w:rsidRPr="009C1EA1">
        <w:rPr>
          <w:rFonts w:ascii="Calibri Light" w:hAnsi="Calibri Light" w:cs="Calibri Light"/>
          <w:i/>
          <w:iCs/>
          <w:sz w:val="20"/>
          <w:szCs w:val="20"/>
          <w:lang w:val="ro-RO"/>
        </w:rPr>
        <w:t>European Single Electronic Format</w:t>
      </w:r>
      <w:r w:rsidR="00136641" w:rsidRPr="009C1EA1">
        <w:rPr>
          <w:rFonts w:ascii="Calibri Light" w:hAnsi="Calibri Light" w:cs="Calibri Light"/>
          <w:sz w:val="20"/>
          <w:szCs w:val="20"/>
          <w:lang w:val="ro-RO"/>
        </w:rPr>
        <w:t xml:space="preserve"> – </w:t>
      </w:r>
      <w:r w:rsidR="000103B7" w:rsidRPr="009C1EA1">
        <w:rPr>
          <w:rFonts w:asciiTheme="majorHAnsi" w:hAnsiTheme="majorHAnsi" w:cstheme="majorHAnsi"/>
          <w:sz w:val="20"/>
          <w:szCs w:val="20"/>
          <w:lang w:val="ro-RO"/>
        </w:rPr>
        <w:t>ESEF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) și </w:t>
      </w:r>
      <w:r w:rsidR="000103B7" w:rsidRPr="009C1EA1">
        <w:rPr>
          <w:rFonts w:asciiTheme="majorHAnsi" w:hAnsiTheme="majorHAnsi" w:cstheme="majorHAnsi"/>
          <w:sz w:val="20"/>
          <w:szCs w:val="20"/>
          <w:lang w:val="ro-RO"/>
        </w:rPr>
        <w:t>aprobarea politicii de remunerare,</w:t>
      </w:r>
      <w:r w:rsidR="00FC5AE1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companiile 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>trebuie s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>in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pasul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i cu </w:t>
      </w:r>
      <w:r w:rsidR="00E77B84">
        <w:rPr>
          <w:rFonts w:asciiTheme="majorHAnsi" w:hAnsiTheme="majorHAnsi" w:cstheme="majorHAnsi"/>
          <w:sz w:val="20"/>
          <w:szCs w:val="20"/>
          <w:lang w:val="ro-RO"/>
        </w:rPr>
        <w:t xml:space="preserve">o serie de 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>cerin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e </w:t>
      </w:r>
      <w:r w:rsidR="00E77B84">
        <w:rPr>
          <w:rFonts w:asciiTheme="majorHAnsi" w:hAnsiTheme="majorHAnsi" w:cstheme="majorHAnsi"/>
          <w:sz w:val="20"/>
          <w:szCs w:val="20"/>
          <w:lang w:val="ro-RO"/>
        </w:rPr>
        <w:t xml:space="preserve">suplimentare </w:t>
      </w:r>
      <w:r w:rsidR="008324FC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privind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raportarea nefinanciară</w:t>
      </w:r>
      <w:bookmarkEnd w:id="1"/>
      <w:r w:rsidR="00C26A32">
        <w:rPr>
          <w:rFonts w:asciiTheme="majorHAnsi" w:hAnsiTheme="majorHAnsi" w:cstheme="majorHAnsi"/>
          <w:sz w:val="20"/>
          <w:szCs w:val="20"/>
          <w:lang w:val="ro-RO"/>
        </w:rPr>
        <w:t xml:space="preserve">, aspect care poate avea un impact asupra </w:t>
      </w:r>
      <w:r w:rsidR="00C26A32" w:rsidRPr="004A3452">
        <w:rPr>
          <w:rFonts w:asciiTheme="majorHAnsi" w:hAnsiTheme="majorHAnsi" w:cstheme="majorHAnsi"/>
          <w:sz w:val="20"/>
          <w:szCs w:val="20"/>
          <w:lang w:val="ro-RO"/>
        </w:rPr>
        <w:t>raport</w:t>
      </w:r>
      <w:r w:rsidR="00C26A32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C26A32" w:rsidRPr="004A3452">
        <w:rPr>
          <w:rFonts w:asciiTheme="majorHAnsi" w:hAnsiTheme="majorHAnsi" w:cstheme="majorHAnsi"/>
          <w:sz w:val="20"/>
          <w:szCs w:val="20"/>
          <w:lang w:val="ro-RO"/>
        </w:rPr>
        <w:t>r</w:t>
      </w:r>
      <w:r w:rsidR="00C26A32">
        <w:rPr>
          <w:rFonts w:asciiTheme="majorHAnsi" w:hAnsiTheme="majorHAnsi" w:cstheme="majorHAnsi"/>
          <w:sz w:val="20"/>
          <w:szCs w:val="20"/>
          <w:lang w:val="ro-RO"/>
        </w:rPr>
        <w:t>ii</w:t>
      </w:r>
      <w:r w:rsidR="00C26A3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financiar</w:t>
      </w:r>
      <w:r w:rsidR="00C26A32">
        <w:rPr>
          <w:rFonts w:asciiTheme="majorHAnsi" w:hAnsiTheme="majorHAnsi" w:cstheme="majorHAnsi"/>
          <w:sz w:val="20"/>
          <w:szCs w:val="20"/>
          <w:lang w:val="ro-RO"/>
        </w:rPr>
        <w:t xml:space="preserve">e. </w:t>
      </w:r>
    </w:p>
    <w:p w14:paraId="7839D38D" w14:textId="4E20CE11" w:rsidR="00E77B84" w:rsidRDefault="009D1134" w:rsidP="00DC5245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P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otrivit Directivei 2014/95/EU</w:t>
      </w:r>
      <w:r w:rsidR="00C26A32">
        <w:rPr>
          <w:rFonts w:asciiTheme="majorHAnsi" w:hAnsiTheme="majorHAnsi" w:cstheme="majorHAnsi"/>
          <w:sz w:val="20"/>
          <w:szCs w:val="20"/>
          <w:lang w:val="ro-RO"/>
        </w:rPr>
        <w:t xml:space="preserve"> privind raportarea nefinanciară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(</w:t>
      </w:r>
      <w:r w:rsidR="00C26A32" w:rsidRPr="009C1EA1">
        <w:rPr>
          <w:rFonts w:asciiTheme="majorHAnsi" w:hAnsiTheme="majorHAnsi" w:cstheme="majorHAnsi"/>
          <w:i/>
          <w:iCs/>
          <w:sz w:val="20"/>
          <w:szCs w:val="20"/>
        </w:rPr>
        <w:t>Non-Financial Reporting Directive</w:t>
      </w:r>
      <w:r w:rsidR="00C26A32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-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NFRD), transpusă local prin O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rdinul ministrului finanțelor publice (OMFP)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1802/2014 și OMF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P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2844/2016, societățile comerciale cu peste 500 de angajați </w:t>
      </w:r>
      <w:r w:rsidR="00E77B84">
        <w:rPr>
          <w:rFonts w:asciiTheme="majorHAnsi" w:hAnsiTheme="majorHAnsi" w:cstheme="majorHAnsi"/>
          <w:sz w:val="20"/>
          <w:szCs w:val="20"/>
          <w:lang w:val="ro-RO"/>
        </w:rPr>
        <w:t>aveau obligația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să prezinte o evaluare a impactului 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pe care 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 xml:space="preserve">activitatea 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>acest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ora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 xml:space="preserve">o are </w:t>
      </w:r>
      <w:r w:rsidR="00136641" w:rsidRPr="009C1EA1">
        <w:rPr>
          <w:rFonts w:asciiTheme="majorHAnsi" w:hAnsiTheme="majorHAnsi" w:cstheme="majorHAnsi"/>
          <w:sz w:val="20"/>
          <w:szCs w:val="20"/>
          <w:lang w:val="ro-RO"/>
        </w:rPr>
        <w:t>asupra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mediului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 xml:space="preserve"> a 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aspectelor sociale și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tratamentului aplicat angajaților, 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dar și un bilanț al eforturilor privind respectarea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drepturil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omului, 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 xml:space="preserve">eradicarea </w:t>
      </w:r>
      <w:r w:rsidR="00A0627C" w:rsidRPr="00A0627C">
        <w:rPr>
          <w:rFonts w:asciiTheme="majorHAnsi" w:hAnsiTheme="majorHAnsi" w:cstheme="majorHAnsi"/>
          <w:sz w:val="20"/>
          <w:szCs w:val="20"/>
          <w:lang w:val="ro-RO"/>
        </w:rPr>
        <w:t>corup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A0627C" w:rsidRPr="00A0627C">
        <w:rPr>
          <w:rFonts w:asciiTheme="majorHAnsi" w:hAnsiTheme="majorHAnsi" w:cstheme="majorHAnsi"/>
          <w:sz w:val="20"/>
          <w:szCs w:val="20"/>
          <w:lang w:val="ro-RO"/>
        </w:rPr>
        <w:t>ie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>mitei</w:t>
      </w:r>
      <w:r w:rsidR="00A0627C"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 xml:space="preserve">asigurarea 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>diversit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>ății</w:t>
      </w:r>
      <w:r w:rsidR="00C26A32" w:rsidRPr="009C1EA1">
        <w:rPr>
          <w:rFonts w:asciiTheme="majorHAnsi" w:hAnsiTheme="majorHAnsi" w:cstheme="majorHAnsi"/>
          <w:sz w:val="20"/>
          <w:szCs w:val="20"/>
          <w:lang w:val="ro-RO"/>
        </w:rPr>
        <w:t xml:space="preserve"> în consiliile companiei (în ceea ce privește vârsta, sexul, mediul educațional și profesional).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5D75C31B" w14:textId="77777777" w:rsidR="00454BB8" w:rsidRPr="004A3452" w:rsidRDefault="00454BB8" w:rsidP="00DC5245">
      <w:pPr>
        <w:spacing w:before="120" w:after="12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="00727CA2" w:rsidRPr="004A3452">
        <w:rPr>
          <w:rFonts w:asciiTheme="majorHAnsi" w:hAnsiTheme="majorHAnsi" w:cstheme="majorHAnsi"/>
          <w:sz w:val="20"/>
          <w:szCs w:val="20"/>
          <w:lang w:val="ro-RO"/>
        </w:rPr>
        <w:t>urma adopt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27CA2" w:rsidRPr="004A3452">
        <w:rPr>
          <w:rFonts w:asciiTheme="majorHAnsi" w:hAnsiTheme="majorHAnsi" w:cstheme="majorHAnsi"/>
          <w:sz w:val="20"/>
          <w:szCs w:val="20"/>
          <w:lang w:val="ro-RO"/>
        </w:rPr>
        <w:t>rii Pactului Verde European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727CA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a ap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27CA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rut necesitatea de a avea criterii unitare privind raportarea </w:t>
      </w:r>
      <w:r w:rsidR="00727CA2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activităților economice care pot fi considerate durabile din punctul de vedere al mediului</w:t>
      </w:r>
      <w:r w:rsidR="00BC6CAF" w:rsidRPr="004A3452">
        <w:rPr>
          <w:rFonts w:asciiTheme="majorHAnsi" w:hAnsiTheme="majorHAnsi" w:cstheme="majorHAnsi"/>
          <w:sz w:val="20"/>
          <w:szCs w:val="20"/>
          <w:lang w:val="ro-RO"/>
        </w:rPr>
        <w:t>, criterii care s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BC6CAF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asigure</w:t>
      </w:r>
      <w:r w:rsidR="00727CA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27CA2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creșterea transparenței și a coerenței clasificării acestor activități și limitarea ris</w:t>
      </w:r>
      <w:r w:rsidR="00A1669B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cului de </w:t>
      </w:r>
      <w:r w:rsidR="00E77B84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dezinformare ecologic</w:t>
      </w: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ă</w:t>
      </w:r>
      <w:r w:rsidR="00A1669B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.</w:t>
      </w:r>
      <w:r w:rsidR="00D277A1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09CAB875" w14:textId="77777777" w:rsidR="00727CA2" w:rsidRDefault="00454BB8" w:rsidP="00DC5245">
      <w:pPr>
        <w:spacing w:before="120" w:after="12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ro-RO"/>
        </w:rPr>
      </w:pP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Astfel, </w:t>
      </w:r>
      <w:bookmarkStart w:id="2" w:name="_Hlk86308903"/>
      <w:r w:rsidR="00D277A1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î</w:t>
      </w:r>
      <w:r w:rsidR="00D44F3E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n iunie 2020 a </w:t>
      </w: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apărut</w:t>
      </w:r>
      <w:r w:rsidR="00D44F3E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Regulamentul (UE) 2020/852</w:t>
      </w:r>
      <w:r w:rsidR="001D2BE8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</w:t>
      </w:r>
      <w:r w:rsidR="005850E7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(Regulament)</w:t>
      </w:r>
      <w:r w:rsidR="00385A81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, </w:t>
      </w:r>
      <w:r w:rsidR="00385A81" w:rsidRPr="004A3452">
        <w:rPr>
          <w:rFonts w:asciiTheme="majorHAnsi" w:hAnsiTheme="majorHAnsi" w:cstheme="majorHAnsi"/>
          <w:sz w:val="20"/>
          <w:szCs w:val="20"/>
          <w:lang w:val="ro-RO"/>
        </w:rPr>
        <w:t>aplicabil pentru raport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385A81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rile financiare publicate 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385A81" w:rsidRPr="004A3452">
        <w:rPr>
          <w:rFonts w:asciiTheme="majorHAnsi" w:hAnsiTheme="majorHAnsi" w:cstheme="majorHAnsi"/>
          <w:sz w:val="20"/>
          <w:szCs w:val="20"/>
          <w:lang w:val="ro-RO"/>
        </w:rPr>
        <w:t>ncep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385A81" w:rsidRPr="004A3452">
        <w:rPr>
          <w:rFonts w:asciiTheme="majorHAnsi" w:hAnsiTheme="majorHAnsi" w:cstheme="majorHAnsi"/>
          <w:sz w:val="20"/>
          <w:szCs w:val="20"/>
          <w:lang w:val="ro-RO"/>
        </w:rPr>
        <w:t>nd cu 1 ianuarie 2022 pentru exerci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385A81" w:rsidRPr="004A3452">
        <w:rPr>
          <w:rFonts w:asciiTheme="majorHAnsi" w:hAnsiTheme="majorHAnsi" w:cstheme="majorHAnsi"/>
          <w:sz w:val="20"/>
          <w:szCs w:val="20"/>
          <w:lang w:val="ro-RO"/>
        </w:rPr>
        <w:t>iul financiar anterior (2021)</w:t>
      </w:r>
      <w:bookmarkEnd w:id="2"/>
      <w:r w:rsidR="00385A81" w:rsidRPr="004A3452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5850E7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</w:t>
      </w:r>
      <w:r w:rsidR="00385A81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Acesta </w:t>
      </w:r>
      <w:r w:rsidR="00D44F3E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introduce </w:t>
      </w:r>
      <w:r w:rsidR="00D277A1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ș</w:t>
      </w:r>
      <w:r w:rsidR="00D44F3E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ase o</w:t>
      </w:r>
      <w:r w:rsidR="00D44F3E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biective</w:t>
      </w:r>
      <w:r w:rsidR="00DA682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tematice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: 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atenuarea schimbărilor climatice</w:t>
      </w:r>
      <w:r w:rsidR="001D2BE8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adaptarea la schimbările climatice</w:t>
      </w:r>
      <w:r w:rsidR="001D2BE8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folosirea durabilă </w:t>
      </w:r>
      <w:r w:rsidR="009D113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a apelor, 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protecția </w:t>
      </w:r>
      <w:r w:rsidR="009D113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acestora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 și a resurselor marine</w:t>
      </w:r>
      <w:r w:rsidR="001D2BE8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tranziția către o economie circulară</w:t>
      </w:r>
      <w:r w:rsidR="001D2BE8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1D2BE8" w:rsidRPr="004A3452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prevenirea și controlul poluării și protecția și refacerea biodiversității și a ecosistemelor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,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bookmarkStart w:id="3" w:name="_Hlk86309193"/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din perspectiva c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rora trebuie analizate activit</w:t>
      </w:r>
      <w:r w:rsidR="00D277A1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ile economice ale companiilor</w:t>
      </w:r>
      <w:r w:rsidR="00BF77F5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D2BE8">
        <w:rPr>
          <w:rFonts w:asciiTheme="majorHAnsi" w:hAnsiTheme="majorHAnsi" w:cstheme="majorHAnsi"/>
          <w:sz w:val="20"/>
          <w:szCs w:val="20"/>
          <w:lang w:val="ro-RO"/>
        </w:rPr>
        <w:t xml:space="preserve">cu scopul de a </w:t>
      </w:r>
      <w:r w:rsidR="00BF77F5">
        <w:rPr>
          <w:rFonts w:asciiTheme="majorHAnsi" w:hAnsiTheme="majorHAnsi" w:cstheme="majorHAnsi"/>
          <w:sz w:val="20"/>
          <w:szCs w:val="20"/>
          <w:lang w:val="ro-RO"/>
        </w:rPr>
        <w:t>atest</w:t>
      </w:r>
      <w:r w:rsidR="001D2BE8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BF77F5">
        <w:rPr>
          <w:rFonts w:asciiTheme="majorHAnsi" w:hAnsiTheme="majorHAnsi" w:cstheme="majorHAnsi"/>
          <w:sz w:val="20"/>
          <w:szCs w:val="20"/>
          <w:lang w:val="ro-RO"/>
        </w:rPr>
        <w:t xml:space="preserve"> dacă acestea sunt durabile din punct de vedere al mediului</w:t>
      </w:r>
      <w:bookmarkEnd w:id="3"/>
      <w:r w:rsidR="00BF77F5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1D2BE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B6183">
        <w:rPr>
          <w:rFonts w:asciiTheme="majorHAnsi" w:hAnsiTheme="majorHAnsi" w:cstheme="majorHAnsi"/>
          <w:sz w:val="20"/>
          <w:szCs w:val="20"/>
          <w:lang w:val="ro-RO"/>
        </w:rPr>
        <w:t>Astfel</w:t>
      </w:r>
      <w:r w:rsidR="001D2BE8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1D2BE8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r</w:t>
      </w:r>
      <w:r w:rsidR="00D44F3E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egulamentul </w:t>
      </w:r>
      <w:r w:rsidR="00727CA2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solicit</w:t>
      </w:r>
      <w:r w:rsidR="001D2BE8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ă</w:t>
      </w:r>
      <w:r w:rsidR="00BC6CAF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societ</w:t>
      </w:r>
      <w:r w:rsidR="001D2BE8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ăț</w:t>
      </w:r>
      <w:r w:rsidR="00BC6CAF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ilor comerciale</w:t>
      </w:r>
      <w:r w:rsidR="00BC6CAF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care aplic</w:t>
      </w:r>
      <w:r w:rsidR="009B6183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ă</w:t>
      </w:r>
      <w:r w:rsidR="00BC6CAF" w:rsidRPr="004A345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NFRD </w:t>
      </w:r>
      <w:r w:rsidR="00BC6CAF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s</w:t>
      </w:r>
      <w:r w:rsidR="001D2BE8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ă</w:t>
      </w:r>
      <w:r w:rsidR="00BC6CAF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 includ</w:t>
      </w:r>
      <w:r w:rsidR="001D2BE8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ă</w:t>
      </w:r>
      <w:r w:rsidR="00727CA2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 în declarația nefinanciară sau în declarația nefinanciară consolidată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, pe lângă aspectele menționate anterior, </w:t>
      </w:r>
      <w:r w:rsidR="00727CA2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informații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 </w:t>
      </w:r>
      <w:r w:rsidR="00727CA2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cu privire la modul și măsura în care activitățile </w:t>
      </w:r>
      <w:r w:rsidR="001D2BE8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companiei</w:t>
      </w:r>
      <w:r w:rsidR="00727CA2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 xml:space="preserve"> sunt asociate cu activități economice care se califică drept durabile di</w:t>
      </w:r>
      <w:r w:rsidR="00BC6CAF" w:rsidRPr="009C1EA1">
        <w:rPr>
          <w:rFonts w:asciiTheme="majorHAnsi" w:hAnsiTheme="majorHAnsi" w:cstheme="majorHAnsi"/>
          <w:b/>
          <w:bCs/>
          <w:color w:val="000000"/>
          <w:sz w:val="20"/>
          <w:szCs w:val="20"/>
          <w:lang w:val="ro-RO"/>
        </w:rPr>
        <w:t>n punctul de vedere al mediului</w:t>
      </w:r>
      <w:r w:rsidR="00BC6CAF" w:rsidRPr="004A3452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(Regulament</w:t>
      </w:r>
      <w:r w:rsidR="001B4618">
        <w:rPr>
          <w:rFonts w:asciiTheme="majorHAnsi" w:hAnsiTheme="majorHAnsi" w:cstheme="majorHAnsi"/>
          <w:color w:val="000000"/>
          <w:sz w:val="20"/>
          <w:szCs w:val="20"/>
          <w:lang w:val="ro-RO"/>
        </w:rPr>
        <w:t>ul</w:t>
      </w:r>
      <w:r w:rsidR="009B6183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 UE 2020/852</w:t>
      </w:r>
      <w:r w:rsidR="00BC6CAF" w:rsidRPr="004A3452">
        <w:rPr>
          <w:rFonts w:asciiTheme="majorHAnsi" w:hAnsiTheme="majorHAnsi" w:cstheme="majorHAnsi"/>
          <w:color w:val="000000"/>
          <w:sz w:val="20"/>
          <w:szCs w:val="20"/>
          <w:lang w:val="ro-RO"/>
        </w:rPr>
        <w:t>)</w:t>
      </w:r>
      <w:r w:rsidR="009B6183">
        <w:rPr>
          <w:rFonts w:asciiTheme="majorHAnsi" w:hAnsiTheme="majorHAnsi" w:cstheme="majorHAnsi"/>
          <w:color w:val="000000"/>
          <w:sz w:val="20"/>
          <w:szCs w:val="20"/>
          <w:lang w:val="ro-RO"/>
        </w:rPr>
        <w:t xml:space="preserve">. </w:t>
      </w:r>
    </w:p>
    <w:p w14:paraId="41130538" w14:textId="77777777" w:rsidR="009B6183" w:rsidRPr="004A3452" w:rsidRDefault="009B6183" w:rsidP="00DC5245">
      <w:pPr>
        <w:spacing w:before="120" w:after="12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</w:pP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În momentul </w:t>
      </w:r>
      <w:r w:rsidR="00DE0F9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redactării</w:t>
      </w: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</w:t>
      </w:r>
      <w:r w:rsidR="00DE0F9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>declarației nefinanciare, c</w:t>
      </w:r>
      <w:r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ompaniile trebuie să aibă în vedere o serie de indicatori-cheie </w:t>
      </w:r>
      <w:r w:rsidR="00DE0F92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de performanță în domeniul climei, precum </w:t>
      </w:r>
      <w:r w:rsidR="005850E7" w:rsidRPr="009C1EA1">
        <w:rPr>
          <w:rFonts w:asciiTheme="majorHAnsi" w:eastAsia="Times New Roman" w:hAnsiTheme="majorHAnsi" w:cstheme="majorHAnsi"/>
          <w:b/>
          <w:bCs/>
          <w:sz w:val="20"/>
          <w:szCs w:val="20"/>
          <w:lang w:val="ro-RO"/>
        </w:rPr>
        <w:t>proporția din cifra de afaceri obținută din produse sau servicii asociate cu activități economice care se califică drept durabile din punctul de vedere al mediului</w:t>
      </w:r>
      <w:r w:rsidR="005850E7" w:rsidRPr="00D34DB1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în conformitate cu cerințele</w:t>
      </w:r>
      <w:r w:rsidR="005850E7" w:rsidRPr="004A3452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Regulamentului</w:t>
      </w:r>
      <w:r w:rsidR="00D34DB1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, </w:t>
      </w:r>
      <w:r w:rsidR="005850E7" w:rsidRPr="009C1EA1">
        <w:rPr>
          <w:rFonts w:asciiTheme="majorHAnsi" w:eastAsia="Times New Roman" w:hAnsiTheme="majorHAnsi" w:cstheme="majorHAnsi"/>
          <w:b/>
          <w:bCs/>
          <w:sz w:val="20"/>
          <w:szCs w:val="20"/>
          <w:lang w:val="ro-RO"/>
        </w:rPr>
        <w:t>proporția din cheltuielile de capital și proporția din cheltuielile</w:t>
      </w:r>
      <w:r w:rsidR="005850E7" w:rsidRPr="004A3452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</w:t>
      </w:r>
      <w:r w:rsidR="005850E7" w:rsidRPr="009C1EA1">
        <w:rPr>
          <w:rFonts w:asciiTheme="majorHAnsi" w:eastAsia="Times New Roman" w:hAnsiTheme="majorHAnsi" w:cstheme="majorHAnsi"/>
          <w:b/>
          <w:bCs/>
          <w:sz w:val="20"/>
          <w:szCs w:val="20"/>
          <w:lang w:val="ro-RO"/>
        </w:rPr>
        <w:t>de exploatare</w:t>
      </w:r>
      <w:r w:rsidR="005850E7" w:rsidRPr="004A3452">
        <w:rPr>
          <w:rFonts w:asciiTheme="majorHAnsi" w:eastAsia="Times New Roman" w:hAnsiTheme="majorHAnsi" w:cstheme="majorHAnsi"/>
          <w:sz w:val="20"/>
          <w:szCs w:val="20"/>
          <w:lang w:val="ro-RO"/>
        </w:rPr>
        <w:t xml:space="preserve"> legate de active sau procese asociate cu activități economice care se califică drept durabile din punctul de vedere al mediului</w:t>
      </w:r>
      <w:r w:rsidR="001B4618">
        <w:rPr>
          <w:rFonts w:asciiTheme="majorHAnsi" w:eastAsia="Times New Roman" w:hAnsiTheme="majorHAnsi" w:cstheme="majorHAnsi"/>
          <w:sz w:val="20"/>
          <w:szCs w:val="20"/>
          <w:lang w:val="ro-RO"/>
        </w:rPr>
        <w:t>.</w:t>
      </w:r>
    </w:p>
    <w:p w14:paraId="11BC0F56" w14:textId="37972262" w:rsidR="00173F9C" w:rsidRPr="004A3452" w:rsidRDefault="00B81F1D" w:rsidP="009C1EA1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Pentru a putea 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>ntocmi aceast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raportare, societ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ile comerciale trebuie </w:t>
      </w:r>
      <w:r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s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ă</w:t>
      </w:r>
      <w:r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fac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ă</w:t>
      </w:r>
      <w:r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o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analiz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ă</w:t>
      </w:r>
      <w:r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a cifrei de afaceri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8324F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imobiliz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ă</w:t>
      </w:r>
      <w:r w:rsidR="008324F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ri</w:t>
      </w:r>
      <w:r w:rsidR="001B4618">
        <w:rPr>
          <w:rFonts w:asciiTheme="majorHAnsi" w:hAnsiTheme="majorHAnsi" w:cstheme="majorHAnsi"/>
          <w:b/>
          <w:bCs/>
          <w:sz w:val="20"/>
          <w:szCs w:val="20"/>
          <w:lang w:val="ro-RO"/>
        </w:rPr>
        <w:t>lor</w:t>
      </w:r>
      <w:r w:rsidR="008324F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corporale 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ș</w:t>
      </w:r>
      <w:r w:rsidR="008324F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i necorporale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, precum 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a cheltuielilor de exploatare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02A99" w:rsidRPr="004A3452">
        <w:rPr>
          <w:rFonts w:asciiTheme="majorHAnsi" w:hAnsiTheme="majorHAnsi" w:cstheme="majorHAnsi"/>
          <w:sz w:val="20"/>
          <w:szCs w:val="20"/>
          <w:lang w:val="ro-RO"/>
        </w:rPr>
        <w:t>din prisma activit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202A99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ilor eligibile conform 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t</w:t>
      </w:r>
      <w:r w:rsidR="00202A99" w:rsidRPr="004A3452">
        <w:rPr>
          <w:rFonts w:asciiTheme="majorHAnsi" w:hAnsiTheme="majorHAnsi" w:cstheme="majorHAnsi"/>
          <w:sz w:val="20"/>
          <w:szCs w:val="20"/>
          <w:lang w:val="ro-RO"/>
        </w:rPr>
        <w:t>axonomiei</w:t>
      </w:r>
      <w:r w:rsidR="009E4846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C5245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3919E5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="003919E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s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ă</w:t>
      </w:r>
      <w:r w:rsidR="003919E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determine </w:t>
      </w:r>
      <w:r w:rsidR="00DA682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ponderea </w:t>
      </w:r>
      <w:r w:rsidR="003919E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activit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ăț</w:t>
      </w:r>
      <w:r w:rsidR="00DA682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ilor considerate sustenabile 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din</w:t>
      </w:r>
      <w:r w:rsidR="00DA682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="003919E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totalul elemente</w:t>
      </w:r>
      <w:r w:rsidR="00DC5245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>lor</w:t>
      </w:r>
      <w:r w:rsidR="00173F9C" w:rsidRPr="009C1EA1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financiare</w:t>
      </w:r>
      <w:r w:rsidR="003919E5" w:rsidRPr="004A3452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202A99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Acest demers presupune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>identificarea activit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>ilor societ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conform clasific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rilor men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ionate 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t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axonomie (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n principal pe baza codurilor CAEN)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verificarea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dac</w:t>
      </w:r>
      <w:r w:rsidR="00F1699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ace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stea sunt eligibile sau nu din punct de vedere al taxonomiei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din R</w:t>
      </w:r>
      <w:r w:rsidR="00D44F3E" w:rsidRPr="004A3452">
        <w:rPr>
          <w:rFonts w:asciiTheme="majorHAnsi" w:hAnsiTheme="majorHAnsi" w:cstheme="majorHAnsi"/>
          <w:sz w:val="20"/>
          <w:szCs w:val="20"/>
          <w:lang w:val="ro-RO"/>
        </w:rPr>
        <w:t>egulament,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 xml:space="preserve"> examinarea</w:t>
      </w:r>
      <w:r w:rsidR="000B79B3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dac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aceste activit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ndeplinesc criteriile tehnice incluse 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n taxonomie, respectiv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contribu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ia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în mod substanțial la unul sau mai multe dintre obiectivele de mediu 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 xml:space="preserve"> lipsa unui 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prejudici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u adus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în mod semnificativ unu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ia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dintre obiectivele de mediu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. T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oate aceste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 xml:space="preserve"> procese trebuie realizate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n conformitate cu garan</w:t>
      </w:r>
      <w:r w:rsidR="000B79B3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A1B92" w:rsidRPr="004A3452">
        <w:rPr>
          <w:rFonts w:asciiTheme="majorHAnsi" w:hAnsiTheme="majorHAnsi" w:cstheme="majorHAnsi"/>
          <w:sz w:val="20"/>
          <w:szCs w:val="20"/>
          <w:lang w:val="ro-RO"/>
        </w:rPr>
        <w:t>iile minime, respectiv prin respectarea drepturilor omului</w:t>
      </w:r>
      <w:r w:rsidR="008324FC" w:rsidRPr="004A3452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6A50F7C" w14:textId="77777777" w:rsidR="00A15DE8" w:rsidRPr="004A3452" w:rsidRDefault="00B02D7A" w:rsidP="00DC5245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lastRenderedPageBreak/>
        <w:t>Î</w:t>
      </w:r>
      <w:r w:rsidR="00A15DE8" w:rsidRPr="004A3452">
        <w:rPr>
          <w:rFonts w:asciiTheme="majorHAnsi" w:hAnsiTheme="majorHAnsi" w:cstheme="majorHAnsi"/>
          <w:sz w:val="20"/>
          <w:szCs w:val="20"/>
          <w:lang w:val="ro-RO"/>
        </w:rPr>
        <w:t>n determinarea criteriilor tehnice, societ</w:t>
      </w:r>
      <w:r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A15DE8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ile comerciale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care urmăresc obiectivul de mediu privind atenuarea schimbărilor climatice </w:t>
      </w:r>
      <w:r w:rsidR="00A15DE8" w:rsidRPr="004A3452">
        <w:rPr>
          <w:rFonts w:asciiTheme="majorHAnsi" w:hAnsiTheme="majorHAnsi" w:cstheme="majorHAnsi"/>
          <w:sz w:val="20"/>
          <w:szCs w:val="20"/>
          <w:lang w:val="ro-RO"/>
        </w:rPr>
        <w:t>trebuie s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A15DE8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aib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A15DE8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A15DE8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n vedere 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>cerin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ele Regulamentului, </w:t>
      </w:r>
      <w:r>
        <w:rPr>
          <w:rFonts w:asciiTheme="majorHAnsi" w:hAnsiTheme="majorHAnsi" w:cstheme="majorHAnsi"/>
          <w:sz w:val="20"/>
          <w:szCs w:val="20"/>
          <w:lang w:val="ro-RO"/>
        </w:rPr>
        <w:t>precum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aportul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substanțial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adus 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>la stabilizarea emisiilor de gaze cu efect de seră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>prin evitarea sau reducerea acestora sau prin creșterea absorbției de gaze cu efect de seră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și 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>coeren</w:t>
      </w:r>
      <w:r>
        <w:rPr>
          <w:rFonts w:asciiTheme="majorHAnsi" w:hAnsiTheme="majorHAnsi" w:cstheme="majorHAnsi"/>
          <w:sz w:val="20"/>
          <w:szCs w:val="20"/>
          <w:lang w:val="ro-RO"/>
        </w:rPr>
        <w:t>ța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cu obiectivul pe termen lung privind 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limitarea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nc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lzirii climatice </w:t>
      </w:r>
      <w:r>
        <w:rPr>
          <w:rFonts w:asciiTheme="majorHAnsi" w:hAnsiTheme="majorHAnsi" w:cstheme="majorHAnsi"/>
          <w:sz w:val="20"/>
          <w:szCs w:val="20"/>
          <w:lang w:val="ro-RO"/>
        </w:rPr>
        <w:t>menționate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n cadrul </w:t>
      </w:r>
      <w:r w:rsidR="00B97109" w:rsidRPr="004A3452">
        <w:rPr>
          <w:rFonts w:asciiTheme="majorHAnsi" w:hAnsiTheme="majorHAnsi" w:cstheme="majorHAnsi"/>
          <w:sz w:val="20"/>
          <w:szCs w:val="20"/>
          <w:lang w:val="ro-RO"/>
        </w:rPr>
        <w:t>Acordului de la Paris. Respectivul obiectiv de mediu ar trebui interpretat în conformitate cu dreptul relevant al Uniunii, inclusiv cu Directiva 2009/31/CE a Parlamentului European și a Consiliului</w:t>
      </w:r>
      <w:r w:rsidR="001B4618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354FFF8F" w14:textId="2B77B206" w:rsidR="002C6743" w:rsidRDefault="00D44F3E" w:rsidP="00DC5245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4A3452">
        <w:rPr>
          <w:rFonts w:asciiTheme="majorHAnsi" w:hAnsiTheme="majorHAnsi" w:cstheme="majorHAnsi"/>
          <w:sz w:val="20"/>
          <w:szCs w:val="20"/>
          <w:lang w:val="ro-RO"/>
        </w:rPr>
        <w:t>Pentru moment</w:t>
      </w:r>
      <w:r w:rsidR="00DA682C" w:rsidRPr="004A3452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taxonomia este dezvoltat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B0434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doar 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="001B4618">
        <w:rPr>
          <w:rFonts w:asciiTheme="majorHAnsi" w:hAnsiTheme="majorHAnsi" w:cstheme="majorHAnsi"/>
          <w:sz w:val="20"/>
          <w:szCs w:val="20"/>
          <w:lang w:val="ro-RO"/>
        </w:rPr>
        <w:t>primele</w:t>
      </w:r>
      <w:r w:rsidR="001B4618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A3452">
        <w:rPr>
          <w:rFonts w:asciiTheme="majorHAnsi" w:hAnsiTheme="majorHAnsi" w:cstheme="majorHAnsi"/>
          <w:sz w:val="20"/>
          <w:szCs w:val="20"/>
          <w:lang w:val="ro-RO"/>
        </w:rPr>
        <w:t>obiecti</w:t>
      </w:r>
      <w:r w:rsidR="00CB0434" w:rsidRPr="004A3452">
        <w:rPr>
          <w:rFonts w:asciiTheme="majorHAnsi" w:hAnsiTheme="majorHAnsi" w:cstheme="majorHAnsi"/>
          <w:sz w:val="20"/>
          <w:szCs w:val="20"/>
          <w:lang w:val="ro-RO"/>
        </w:rPr>
        <w:t>ve</w:t>
      </w:r>
      <w:r w:rsidR="00173F9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de mediu</w:t>
      </w:r>
      <w:r w:rsidR="001B4618">
        <w:rPr>
          <w:rFonts w:asciiTheme="majorHAnsi" w:hAnsiTheme="majorHAnsi" w:cstheme="majorHAnsi"/>
          <w:sz w:val="20"/>
          <w:szCs w:val="20"/>
          <w:lang w:val="ro-RO"/>
        </w:rPr>
        <w:t xml:space="preserve"> din cele șase prezentate în Regulament</w:t>
      </w:r>
      <w:r w:rsidR="00173F9C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0F3E36" w:rsidRPr="004A3452">
        <w:rPr>
          <w:rFonts w:asciiTheme="majorHAnsi" w:hAnsiTheme="majorHAnsi" w:cstheme="majorHAnsi"/>
          <w:sz w:val="20"/>
          <w:szCs w:val="20"/>
          <w:lang w:val="ro-RO"/>
        </w:rPr>
        <w:t>Regulamentul nu aduce modific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0F3E36" w:rsidRPr="004A3452">
        <w:rPr>
          <w:rFonts w:asciiTheme="majorHAnsi" w:hAnsiTheme="majorHAnsi" w:cstheme="majorHAnsi"/>
          <w:sz w:val="20"/>
          <w:szCs w:val="20"/>
          <w:lang w:val="ro-RO"/>
        </w:rPr>
        <w:t>ri privind auditarea declara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0F3E36" w:rsidRPr="004A3452">
        <w:rPr>
          <w:rFonts w:asciiTheme="majorHAnsi" w:hAnsiTheme="majorHAnsi" w:cstheme="majorHAnsi"/>
          <w:sz w:val="20"/>
          <w:szCs w:val="20"/>
          <w:lang w:val="ro-RO"/>
        </w:rPr>
        <w:t>iei financiare, acesteia fiindu-i aplicabile cerin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0F3E36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ele incluse 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0F3E36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n NFRD. </w:t>
      </w:r>
      <w:r w:rsidR="00BB362D" w:rsidRPr="004A3452">
        <w:rPr>
          <w:rFonts w:asciiTheme="majorHAnsi" w:hAnsiTheme="majorHAnsi" w:cstheme="majorHAnsi"/>
          <w:sz w:val="20"/>
          <w:szCs w:val="20"/>
          <w:lang w:val="ro-RO"/>
        </w:rPr>
        <w:t>Aceste cerin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BB362D" w:rsidRPr="004A3452">
        <w:rPr>
          <w:rFonts w:asciiTheme="majorHAnsi" w:hAnsiTheme="majorHAnsi" w:cstheme="majorHAnsi"/>
          <w:sz w:val="20"/>
          <w:szCs w:val="20"/>
          <w:lang w:val="ro-RO"/>
        </w:rPr>
        <w:t>e se vor modifica odat</w:t>
      </w:r>
      <w:r w:rsidR="00385A8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BB362D" w:rsidRPr="004A3452">
        <w:rPr>
          <w:rFonts w:asciiTheme="majorHAnsi" w:hAnsiTheme="majorHAnsi" w:cstheme="majorHAnsi"/>
          <w:sz w:val="20"/>
          <w:szCs w:val="20"/>
          <w:lang w:val="ro-RO"/>
        </w:rPr>
        <w:t xml:space="preserve"> cu adoptarea noii directive </w:t>
      </w:r>
      <w:r w:rsidR="00704237">
        <w:rPr>
          <w:rFonts w:asciiTheme="majorHAnsi" w:hAnsiTheme="majorHAnsi" w:cstheme="majorHAnsi"/>
          <w:sz w:val="20"/>
          <w:szCs w:val="20"/>
          <w:lang w:val="ro-RO"/>
        </w:rPr>
        <w:t xml:space="preserve">privind raportarea de sustenabilitate corporativă </w:t>
      </w:r>
      <w:r w:rsidR="00BB362D" w:rsidRPr="004A3452">
        <w:rPr>
          <w:rFonts w:asciiTheme="majorHAnsi" w:hAnsiTheme="majorHAnsi" w:cstheme="majorHAnsi"/>
          <w:sz w:val="20"/>
          <w:szCs w:val="20"/>
          <w:lang w:val="ro-RO"/>
        </w:rPr>
        <w:t>(</w:t>
      </w:r>
      <w:proofErr w:type="spellStart"/>
      <w:r w:rsidR="00385A81">
        <w:rPr>
          <w:rFonts w:asciiTheme="majorHAnsi" w:hAnsiTheme="majorHAnsi" w:cstheme="majorHAnsi"/>
          <w:i/>
          <w:iCs/>
          <w:sz w:val="20"/>
          <w:szCs w:val="20"/>
          <w:lang w:val="ro-RO"/>
        </w:rPr>
        <w:t>Corporate</w:t>
      </w:r>
      <w:proofErr w:type="spellEnd"/>
      <w:r w:rsidR="00385A8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="00385A81">
        <w:rPr>
          <w:rFonts w:asciiTheme="majorHAnsi" w:hAnsiTheme="majorHAnsi" w:cstheme="majorHAnsi"/>
          <w:i/>
          <w:iCs/>
          <w:sz w:val="20"/>
          <w:szCs w:val="20"/>
          <w:lang w:val="ro-RO"/>
        </w:rPr>
        <w:t>Sustainability</w:t>
      </w:r>
      <w:proofErr w:type="spellEnd"/>
      <w:r w:rsidR="00385A8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</w:t>
      </w:r>
      <w:proofErr w:type="spellStart"/>
      <w:r w:rsidR="00385A81">
        <w:rPr>
          <w:rFonts w:asciiTheme="majorHAnsi" w:hAnsiTheme="majorHAnsi" w:cstheme="majorHAnsi"/>
          <w:i/>
          <w:iCs/>
          <w:sz w:val="20"/>
          <w:szCs w:val="20"/>
          <w:lang w:val="ro-RO"/>
        </w:rPr>
        <w:t>Reporting</w:t>
      </w:r>
      <w:proofErr w:type="spellEnd"/>
      <w:r w:rsidR="00385A81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 Directive - </w:t>
      </w:r>
      <w:r w:rsidR="00BB362D" w:rsidRPr="004A3452">
        <w:rPr>
          <w:rFonts w:asciiTheme="majorHAnsi" w:hAnsiTheme="majorHAnsi" w:cstheme="majorHAnsi"/>
          <w:sz w:val="20"/>
          <w:szCs w:val="20"/>
          <w:lang w:val="ro-RO"/>
        </w:rPr>
        <w:t>CSRD)</w:t>
      </w:r>
      <w:r w:rsidR="001B4618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1B4618" w:rsidRPr="004A3452" w:rsidDel="001B46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379D2BAE" w14:textId="0520393A" w:rsidR="00AC6A59" w:rsidRPr="004A3452" w:rsidRDefault="008101EE" w:rsidP="009C1EA1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Cerința regulamentului a fost preluat</w:t>
      </w:r>
      <w:r w:rsidR="00704237">
        <w:rPr>
          <w:rFonts w:asciiTheme="majorHAnsi" w:hAnsiTheme="majorHAnsi" w:cstheme="majorHAnsi"/>
          <w:sz w:val="20"/>
          <w:szCs w:val="20"/>
          <w:lang w:val="ro-RO"/>
        </w:rPr>
        <w:t>ă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local prin Ordinul 1239/octombrie 2021, publicat 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 xml:space="preserve">pe </w:t>
      </w:r>
      <w:r>
        <w:rPr>
          <w:rFonts w:asciiTheme="majorHAnsi" w:hAnsiTheme="majorHAnsi" w:cstheme="majorHAnsi"/>
          <w:sz w:val="20"/>
          <w:szCs w:val="20"/>
          <w:lang w:val="ro-RO"/>
        </w:rPr>
        <w:t>22 octombrie 2021</w:t>
      </w:r>
      <w:r w:rsidR="00F25D09">
        <w:rPr>
          <w:rFonts w:asciiTheme="majorHAnsi" w:hAnsiTheme="majorHAnsi" w:cstheme="majorHAnsi"/>
          <w:sz w:val="20"/>
          <w:szCs w:val="20"/>
          <w:lang w:val="ro-RO"/>
        </w:rPr>
        <w:t>.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 xml:space="preserve">În acest context, 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>societățil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 xml:space="preserve"> comerciale 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 xml:space="preserve">trebuie 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>s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 xml:space="preserve"> se informeze asupra noilor cerințe incluse 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 xml:space="preserve">n Regulament 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>i s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 xml:space="preserve"> se pregătească pentru colectarea informațiilor necesare prezentării indicatorilor din declarația nefinanciar</w:t>
      </w:r>
      <w:r w:rsidR="009C1EA1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2C6743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23A17739" w14:textId="77777777" w:rsidR="00FC5AE1" w:rsidRPr="004A3452" w:rsidRDefault="00FC5AE1" w:rsidP="00DC5245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0467845A" w14:textId="77777777" w:rsidR="00FC5AE1" w:rsidRPr="004A3452" w:rsidRDefault="00FC5AE1" w:rsidP="00DC524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124D1E7B" w14:textId="77777777" w:rsidR="000103B7" w:rsidRPr="004A3452" w:rsidRDefault="000103B7" w:rsidP="00DC5245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sectPr w:rsidR="000103B7" w:rsidRPr="004A3452" w:rsidSect="004A34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73E1" w14:textId="77777777" w:rsidR="006A3E48" w:rsidRDefault="006A3E48" w:rsidP="00CA3749">
      <w:pPr>
        <w:spacing w:after="0" w:line="240" w:lineRule="auto"/>
      </w:pPr>
      <w:r>
        <w:separator/>
      </w:r>
    </w:p>
  </w:endnote>
  <w:endnote w:type="continuationSeparator" w:id="0">
    <w:p w14:paraId="0EE30D0E" w14:textId="77777777" w:rsidR="006A3E48" w:rsidRDefault="006A3E48" w:rsidP="00CA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14AA" w14:textId="77777777" w:rsidR="006A3E48" w:rsidRDefault="006A3E48" w:rsidP="00CA3749">
      <w:pPr>
        <w:spacing w:after="0" w:line="240" w:lineRule="auto"/>
      </w:pPr>
      <w:r>
        <w:separator/>
      </w:r>
    </w:p>
  </w:footnote>
  <w:footnote w:type="continuationSeparator" w:id="0">
    <w:p w14:paraId="5B92F24F" w14:textId="77777777" w:rsidR="006A3E48" w:rsidRDefault="006A3E48" w:rsidP="00CA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5E5" w14:textId="77777777" w:rsidR="004A3452" w:rsidRDefault="004A34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D43F4" wp14:editId="0DC4B9FD">
          <wp:simplePos x="0" y="0"/>
          <wp:positionH relativeFrom="column">
            <wp:posOffset>-283580</wp:posOffset>
          </wp:positionH>
          <wp:positionV relativeFrom="paragraph">
            <wp:posOffset>-376177</wp:posOffset>
          </wp:positionV>
          <wp:extent cx="2216150" cy="901700"/>
          <wp:effectExtent l="0" t="0" r="0" b="0"/>
          <wp:wrapNone/>
          <wp:docPr id="1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563D"/>
    <w:multiLevelType w:val="hybridMultilevel"/>
    <w:tmpl w:val="7A84ACFC"/>
    <w:lvl w:ilvl="0" w:tplc="0FDCE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B7"/>
    <w:rsid w:val="00005264"/>
    <w:rsid w:val="000103B7"/>
    <w:rsid w:val="000176E0"/>
    <w:rsid w:val="000236BB"/>
    <w:rsid w:val="00027332"/>
    <w:rsid w:val="000309B6"/>
    <w:rsid w:val="0003435A"/>
    <w:rsid w:val="00043839"/>
    <w:rsid w:val="00067679"/>
    <w:rsid w:val="00086311"/>
    <w:rsid w:val="00096AA5"/>
    <w:rsid w:val="000970C2"/>
    <w:rsid w:val="000A19CE"/>
    <w:rsid w:val="000B06DE"/>
    <w:rsid w:val="000B79B3"/>
    <w:rsid w:val="000C5614"/>
    <w:rsid w:val="000D6C57"/>
    <w:rsid w:val="000E0983"/>
    <w:rsid w:val="000E0CAE"/>
    <w:rsid w:val="000E2035"/>
    <w:rsid w:val="000E68AA"/>
    <w:rsid w:val="000E6CFA"/>
    <w:rsid w:val="000E6E6D"/>
    <w:rsid w:val="000F3CA1"/>
    <w:rsid w:val="000F3E36"/>
    <w:rsid w:val="0010624E"/>
    <w:rsid w:val="00117167"/>
    <w:rsid w:val="00122F2D"/>
    <w:rsid w:val="0013455E"/>
    <w:rsid w:val="00136641"/>
    <w:rsid w:val="00137191"/>
    <w:rsid w:val="00150A1D"/>
    <w:rsid w:val="001601E6"/>
    <w:rsid w:val="0017156A"/>
    <w:rsid w:val="00173F9C"/>
    <w:rsid w:val="0017420B"/>
    <w:rsid w:val="00192693"/>
    <w:rsid w:val="001A08E5"/>
    <w:rsid w:val="001A758D"/>
    <w:rsid w:val="001B4618"/>
    <w:rsid w:val="001C2910"/>
    <w:rsid w:val="001D2BE8"/>
    <w:rsid w:val="001D6057"/>
    <w:rsid w:val="001E7E34"/>
    <w:rsid w:val="00202A99"/>
    <w:rsid w:val="002040D0"/>
    <w:rsid w:val="002273BF"/>
    <w:rsid w:val="00250B22"/>
    <w:rsid w:val="00263792"/>
    <w:rsid w:val="00263C17"/>
    <w:rsid w:val="00264158"/>
    <w:rsid w:val="0027006C"/>
    <w:rsid w:val="00270BAB"/>
    <w:rsid w:val="00276DC2"/>
    <w:rsid w:val="00282C0A"/>
    <w:rsid w:val="002A02CE"/>
    <w:rsid w:val="002A1303"/>
    <w:rsid w:val="002C6743"/>
    <w:rsid w:val="002E7F28"/>
    <w:rsid w:val="002F5FF3"/>
    <w:rsid w:val="00314FB8"/>
    <w:rsid w:val="003162F5"/>
    <w:rsid w:val="003214E4"/>
    <w:rsid w:val="003225E9"/>
    <w:rsid w:val="0033135B"/>
    <w:rsid w:val="003347F0"/>
    <w:rsid w:val="00336ECA"/>
    <w:rsid w:val="00345E71"/>
    <w:rsid w:val="003479BF"/>
    <w:rsid w:val="003720B2"/>
    <w:rsid w:val="0038001F"/>
    <w:rsid w:val="00385A81"/>
    <w:rsid w:val="003919E5"/>
    <w:rsid w:val="00392559"/>
    <w:rsid w:val="003A4CDB"/>
    <w:rsid w:val="003A7FF4"/>
    <w:rsid w:val="003C2D43"/>
    <w:rsid w:val="003D400A"/>
    <w:rsid w:val="003D40AF"/>
    <w:rsid w:val="003D4257"/>
    <w:rsid w:val="003D42AA"/>
    <w:rsid w:val="003D7BC4"/>
    <w:rsid w:val="003E5BF7"/>
    <w:rsid w:val="003F38F0"/>
    <w:rsid w:val="00420FA8"/>
    <w:rsid w:val="00427648"/>
    <w:rsid w:val="00454BB8"/>
    <w:rsid w:val="004629B3"/>
    <w:rsid w:val="00473D51"/>
    <w:rsid w:val="00476DE3"/>
    <w:rsid w:val="00491C25"/>
    <w:rsid w:val="00495B7E"/>
    <w:rsid w:val="004A3452"/>
    <w:rsid w:val="004A7C36"/>
    <w:rsid w:val="004B0010"/>
    <w:rsid w:val="004C3C40"/>
    <w:rsid w:val="004D5ADD"/>
    <w:rsid w:val="004D5F5F"/>
    <w:rsid w:val="004E12AC"/>
    <w:rsid w:val="004F35F6"/>
    <w:rsid w:val="004F5040"/>
    <w:rsid w:val="00516083"/>
    <w:rsid w:val="00525CF7"/>
    <w:rsid w:val="00526BC3"/>
    <w:rsid w:val="00541852"/>
    <w:rsid w:val="00560BEE"/>
    <w:rsid w:val="005624DC"/>
    <w:rsid w:val="005628ED"/>
    <w:rsid w:val="00572222"/>
    <w:rsid w:val="005850E7"/>
    <w:rsid w:val="0058580D"/>
    <w:rsid w:val="00586926"/>
    <w:rsid w:val="00592493"/>
    <w:rsid w:val="00596CC1"/>
    <w:rsid w:val="005B14F7"/>
    <w:rsid w:val="005D41C9"/>
    <w:rsid w:val="005E3B09"/>
    <w:rsid w:val="00616D65"/>
    <w:rsid w:val="00620677"/>
    <w:rsid w:val="00635F8F"/>
    <w:rsid w:val="00653D61"/>
    <w:rsid w:val="00664986"/>
    <w:rsid w:val="006675E1"/>
    <w:rsid w:val="00690F67"/>
    <w:rsid w:val="006A3E48"/>
    <w:rsid w:val="006B5564"/>
    <w:rsid w:val="006B5DD3"/>
    <w:rsid w:val="006D0C26"/>
    <w:rsid w:val="007022DF"/>
    <w:rsid w:val="00704237"/>
    <w:rsid w:val="0071103C"/>
    <w:rsid w:val="00715708"/>
    <w:rsid w:val="007176DA"/>
    <w:rsid w:val="00727CA2"/>
    <w:rsid w:val="007707D0"/>
    <w:rsid w:val="007743A3"/>
    <w:rsid w:val="00782908"/>
    <w:rsid w:val="00792556"/>
    <w:rsid w:val="007A552B"/>
    <w:rsid w:val="007B2F95"/>
    <w:rsid w:val="007C02D4"/>
    <w:rsid w:val="007D00B0"/>
    <w:rsid w:val="007D61E4"/>
    <w:rsid w:val="007E2219"/>
    <w:rsid w:val="007E3A2B"/>
    <w:rsid w:val="007E46A5"/>
    <w:rsid w:val="00807772"/>
    <w:rsid w:val="008101EE"/>
    <w:rsid w:val="00810CF5"/>
    <w:rsid w:val="008221F1"/>
    <w:rsid w:val="008268ED"/>
    <w:rsid w:val="008301DD"/>
    <w:rsid w:val="008324FC"/>
    <w:rsid w:val="00836029"/>
    <w:rsid w:val="00847DCE"/>
    <w:rsid w:val="008513DA"/>
    <w:rsid w:val="00877DF9"/>
    <w:rsid w:val="008819CB"/>
    <w:rsid w:val="008928B7"/>
    <w:rsid w:val="00896681"/>
    <w:rsid w:val="00896723"/>
    <w:rsid w:val="0089795E"/>
    <w:rsid w:val="008A1B92"/>
    <w:rsid w:val="008A6A98"/>
    <w:rsid w:val="008C1E6A"/>
    <w:rsid w:val="008E5096"/>
    <w:rsid w:val="009031DA"/>
    <w:rsid w:val="00904D2B"/>
    <w:rsid w:val="00913686"/>
    <w:rsid w:val="00915B21"/>
    <w:rsid w:val="0092445C"/>
    <w:rsid w:val="00931062"/>
    <w:rsid w:val="00931805"/>
    <w:rsid w:val="009444EF"/>
    <w:rsid w:val="00971879"/>
    <w:rsid w:val="00981365"/>
    <w:rsid w:val="0098394C"/>
    <w:rsid w:val="00986823"/>
    <w:rsid w:val="00997FCD"/>
    <w:rsid w:val="009A182C"/>
    <w:rsid w:val="009B5DAC"/>
    <w:rsid w:val="009B6183"/>
    <w:rsid w:val="009C0FA5"/>
    <w:rsid w:val="009C1EA1"/>
    <w:rsid w:val="009D1134"/>
    <w:rsid w:val="009D485B"/>
    <w:rsid w:val="009E4846"/>
    <w:rsid w:val="009E5581"/>
    <w:rsid w:val="00A0627C"/>
    <w:rsid w:val="00A15DE8"/>
    <w:rsid w:val="00A1669B"/>
    <w:rsid w:val="00A247D2"/>
    <w:rsid w:val="00A26F24"/>
    <w:rsid w:val="00A34916"/>
    <w:rsid w:val="00A907D4"/>
    <w:rsid w:val="00A922EF"/>
    <w:rsid w:val="00AB2037"/>
    <w:rsid w:val="00AB3512"/>
    <w:rsid w:val="00AC28F2"/>
    <w:rsid w:val="00AC6A59"/>
    <w:rsid w:val="00AC6B0A"/>
    <w:rsid w:val="00AE09B9"/>
    <w:rsid w:val="00AE31B3"/>
    <w:rsid w:val="00AF03AE"/>
    <w:rsid w:val="00B02D7A"/>
    <w:rsid w:val="00B04344"/>
    <w:rsid w:val="00B10E17"/>
    <w:rsid w:val="00B20D21"/>
    <w:rsid w:val="00B3190F"/>
    <w:rsid w:val="00B34BDA"/>
    <w:rsid w:val="00B43080"/>
    <w:rsid w:val="00B51C76"/>
    <w:rsid w:val="00B5267C"/>
    <w:rsid w:val="00B64A18"/>
    <w:rsid w:val="00B65C0E"/>
    <w:rsid w:val="00B72915"/>
    <w:rsid w:val="00B75868"/>
    <w:rsid w:val="00B81872"/>
    <w:rsid w:val="00B81F1D"/>
    <w:rsid w:val="00B82055"/>
    <w:rsid w:val="00B85F1E"/>
    <w:rsid w:val="00B93E9E"/>
    <w:rsid w:val="00B9466C"/>
    <w:rsid w:val="00B97109"/>
    <w:rsid w:val="00BA389D"/>
    <w:rsid w:val="00BB362D"/>
    <w:rsid w:val="00BC6CAF"/>
    <w:rsid w:val="00BC78E3"/>
    <w:rsid w:val="00BE08A8"/>
    <w:rsid w:val="00BE67D8"/>
    <w:rsid w:val="00BE7190"/>
    <w:rsid w:val="00BE76A1"/>
    <w:rsid w:val="00BF753A"/>
    <w:rsid w:val="00BF77F5"/>
    <w:rsid w:val="00C0531A"/>
    <w:rsid w:val="00C06329"/>
    <w:rsid w:val="00C07F12"/>
    <w:rsid w:val="00C12431"/>
    <w:rsid w:val="00C140C3"/>
    <w:rsid w:val="00C15983"/>
    <w:rsid w:val="00C26A32"/>
    <w:rsid w:val="00C36DCE"/>
    <w:rsid w:val="00C63E3D"/>
    <w:rsid w:val="00C76ED9"/>
    <w:rsid w:val="00C86F3E"/>
    <w:rsid w:val="00C87385"/>
    <w:rsid w:val="00C975BF"/>
    <w:rsid w:val="00CA3749"/>
    <w:rsid w:val="00CB0434"/>
    <w:rsid w:val="00CC43EC"/>
    <w:rsid w:val="00CD1811"/>
    <w:rsid w:val="00CE4AE3"/>
    <w:rsid w:val="00D04B3E"/>
    <w:rsid w:val="00D135F5"/>
    <w:rsid w:val="00D277A1"/>
    <w:rsid w:val="00D34DB1"/>
    <w:rsid w:val="00D44F3E"/>
    <w:rsid w:val="00D66BC9"/>
    <w:rsid w:val="00D85E95"/>
    <w:rsid w:val="00D903F1"/>
    <w:rsid w:val="00DA1B36"/>
    <w:rsid w:val="00DA53FD"/>
    <w:rsid w:val="00DA682C"/>
    <w:rsid w:val="00DC5245"/>
    <w:rsid w:val="00DE0F92"/>
    <w:rsid w:val="00DF72C1"/>
    <w:rsid w:val="00E30EB7"/>
    <w:rsid w:val="00E44B88"/>
    <w:rsid w:val="00E531F8"/>
    <w:rsid w:val="00E66C52"/>
    <w:rsid w:val="00E746B4"/>
    <w:rsid w:val="00E74D61"/>
    <w:rsid w:val="00E76633"/>
    <w:rsid w:val="00E77B84"/>
    <w:rsid w:val="00E82BB8"/>
    <w:rsid w:val="00E86358"/>
    <w:rsid w:val="00EA0DB0"/>
    <w:rsid w:val="00EA37C9"/>
    <w:rsid w:val="00EA5C91"/>
    <w:rsid w:val="00EB2953"/>
    <w:rsid w:val="00EC7BC6"/>
    <w:rsid w:val="00EE091E"/>
    <w:rsid w:val="00EE67ED"/>
    <w:rsid w:val="00EF1897"/>
    <w:rsid w:val="00EF2B4C"/>
    <w:rsid w:val="00F12616"/>
    <w:rsid w:val="00F14DEC"/>
    <w:rsid w:val="00F16991"/>
    <w:rsid w:val="00F16EB5"/>
    <w:rsid w:val="00F24645"/>
    <w:rsid w:val="00F24A69"/>
    <w:rsid w:val="00F25D09"/>
    <w:rsid w:val="00F30022"/>
    <w:rsid w:val="00F3471C"/>
    <w:rsid w:val="00F62BE5"/>
    <w:rsid w:val="00F67EBC"/>
    <w:rsid w:val="00F8276F"/>
    <w:rsid w:val="00F900D7"/>
    <w:rsid w:val="00F97ED7"/>
    <w:rsid w:val="00FA3FC7"/>
    <w:rsid w:val="00FA53B1"/>
    <w:rsid w:val="00FC2439"/>
    <w:rsid w:val="00FC5AE1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E862"/>
  <w15:chartTrackingRefBased/>
  <w15:docId w15:val="{C376958A-255E-47BD-A521-343B6F3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25"/>
    <w:pPr>
      <w:ind w:left="720"/>
      <w:contextualSpacing/>
    </w:pPr>
  </w:style>
  <w:style w:type="character" w:customStyle="1" w:styleId="footnotereference">
    <w:name w:val="footnotereference"/>
    <w:basedOn w:val="DefaultParagraphFont"/>
    <w:rsid w:val="00AB3512"/>
  </w:style>
  <w:style w:type="character" w:styleId="Hyperlink">
    <w:name w:val="Hyperlink"/>
    <w:basedOn w:val="DefaultParagraphFont"/>
    <w:uiPriority w:val="99"/>
    <w:unhideWhenUsed/>
    <w:rsid w:val="00AB3512"/>
    <w:rPr>
      <w:color w:val="0000FF"/>
      <w:u w:val="single"/>
    </w:rPr>
  </w:style>
  <w:style w:type="paragraph" w:customStyle="1" w:styleId="oj-normal">
    <w:name w:val="oj-normal"/>
    <w:basedOn w:val="Normal"/>
    <w:rsid w:val="0000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1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52"/>
  </w:style>
  <w:style w:type="paragraph" w:styleId="Footer">
    <w:name w:val="footer"/>
    <w:basedOn w:val="Normal"/>
    <w:link w:val="FooterChar"/>
    <w:uiPriority w:val="99"/>
    <w:unhideWhenUsed/>
    <w:rsid w:val="004A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52"/>
  </w:style>
  <w:style w:type="paragraph" w:styleId="Revision">
    <w:name w:val="Revision"/>
    <w:hidden/>
    <w:uiPriority w:val="99"/>
    <w:semiHidden/>
    <w:rsid w:val="00D277A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17FC-A3C9-4378-8D8A-A2884CB8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Dimitriu, Corina</dc:creator>
  <cp:keywords/>
  <dc:description/>
  <cp:lastModifiedBy>Marcu, Cristina</cp:lastModifiedBy>
  <cp:revision>8</cp:revision>
  <dcterms:created xsi:type="dcterms:W3CDTF">2021-10-27T07:11:00Z</dcterms:created>
  <dcterms:modified xsi:type="dcterms:W3CDTF">2021-10-28T07:45:00Z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2021-10-24T09:33:24Z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23cfc2d8-ce11-4020-b86f-c3135dbc8529</vt:lpwstr>
  </property>
  <property fmtid="{D5CDD505-2E9C-101B-9397-08002B2CF9AE}" pid="8" name="MSIP_Label_ea60d57e-af5b-4752-ac57-3e4f28ca11dc_ContentBits">
    <vt:lpwstr>0</vt:lpwstr>
  </property>
</Properties>
</file>