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4A41" w14:textId="49DE0568" w:rsidR="00D33C32" w:rsidRPr="00E848A0" w:rsidRDefault="00D33C32" w:rsidP="004E4DE0">
      <w:pPr>
        <w:spacing w:after="120" w:line="264" w:lineRule="auto"/>
        <w:jc w:val="center"/>
        <w:rPr>
          <w:rFonts w:asciiTheme="majorHAnsi" w:hAnsiTheme="majorHAnsi" w:cstheme="majorHAnsi"/>
          <w:b/>
          <w:szCs w:val="24"/>
          <w:lang w:val="ro-RO"/>
        </w:rPr>
      </w:pPr>
      <w:r w:rsidRPr="00E848A0">
        <w:rPr>
          <w:rFonts w:asciiTheme="majorHAnsi" w:hAnsiTheme="majorHAnsi" w:cstheme="majorHAnsi"/>
          <w:b/>
          <w:szCs w:val="24"/>
          <w:lang w:val="ro-RO"/>
        </w:rPr>
        <w:t xml:space="preserve">Managementul stocurilor – implicații fiscale și raportarea </w:t>
      </w:r>
      <w:r w:rsidR="00741F1F">
        <w:rPr>
          <w:rFonts w:asciiTheme="majorHAnsi" w:hAnsiTheme="majorHAnsi" w:cstheme="majorHAnsi"/>
          <w:b/>
          <w:szCs w:val="24"/>
          <w:lang w:val="ro-RO"/>
        </w:rPr>
        <w:t xml:space="preserve">în </w:t>
      </w:r>
      <w:r w:rsidRPr="00E848A0">
        <w:rPr>
          <w:rFonts w:asciiTheme="majorHAnsi" w:hAnsiTheme="majorHAnsi" w:cstheme="majorHAnsi"/>
          <w:b/>
          <w:szCs w:val="24"/>
          <w:lang w:val="ro-RO"/>
        </w:rPr>
        <w:t>SAF-T</w:t>
      </w:r>
    </w:p>
    <w:p w14:paraId="2A72A709" w14:textId="77777777" w:rsidR="004B1D0B" w:rsidRDefault="004B1D0B" w:rsidP="004E4DE0">
      <w:pPr>
        <w:spacing w:after="120" w:line="264" w:lineRule="auto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5D6A526A" w14:textId="5D9B50AB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Camelia Malahov, </w:t>
      </w:r>
      <w:r w:rsidR="00741F1F">
        <w:rPr>
          <w:rFonts w:asciiTheme="majorHAnsi" w:hAnsiTheme="majorHAnsi" w:cstheme="majorHAnsi"/>
          <w:i/>
          <w:sz w:val="20"/>
          <w:szCs w:val="20"/>
          <w:lang w:val="ro-RO"/>
        </w:rPr>
        <w:t>Director,</w:t>
      </w:r>
      <w:r w:rsidRPr="00E848A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și Andreea Geacu</w:t>
      </w:r>
      <w:r w:rsidR="00741F1F">
        <w:rPr>
          <w:rFonts w:asciiTheme="majorHAnsi" w:hAnsiTheme="majorHAnsi" w:cstheme="majorHAnsi"/>
          <w:i/>
          <w:sz w:val="20"/>
          <w:szCs w:val="20"/>
          <w:lang w:val="ro-RO"/>
        </w:rPr>
        <w:t>, Senior Manager, Taxe Directe, Deloitte România</w:t>
      </w:r>
    </w:p>
    <w:p w14:paraId="18DFFA9A" w14:textId="77777777" w:rsidR="004B1D0B" w:rsidRDefault="004B1D0B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3E570BEB" w14:textId="37351287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>Managementul stocurilor reprezintă o activitate complexă din perspectivă operațională și depinde de numeroase aspecte precum</w:t>
      </w:r>
      <w:r w:rsidR="00741F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specificul activității, gradul de perisabilitate a produselor sau reglementările legale aplicabile modului de comercializare.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 xml:space="preserve"> În plus, agenții economici trebui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 xml:space="preserve"> să știe care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sunt aspectele fiscale de 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 xml:space="preserve">luat în calcul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atunci când gestio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>nează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stocurile 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>pe care le dețin și c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e reguli și restricții se aplic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din perspectiva deductibilității cheltuielilor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 xml:space="preserve">. Nu în ultimul rând, 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 xml:space="preserve">trebuie să țină cont de </w:t>
      </w:r>
      <w:r w:rsidR="006345FF">
        <w:rPr>
          <w:rFonts w:asciiTheme="majorHAnsi" w:hAnsiTheme="majorHAnsi" w:cstheme="majorHAnsi"/>
          <w:sz w:val="20"/>
          <w:szCs w:val="20"/>
          <w:lang w:val="ro-RO"/>
        </w:rPr>
        <w:t>noutățile aduse de raportarea SAF-T în această zonă.</w:t>
      </w:r>
    </w:p>
    <w:p w14:paraId="2C71013A" w14:textId="315002BC" w:rsidR="00D33C32" w:rsidRPr="00E848A0" w:rsidRDefault="006345FF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cazul în care produsele aflate pe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stoc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sunt în condiții optime pentru a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fi vândute, aspectele sunt clare. Însă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în contextul economic actual, 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i mai ales 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>
        <w:rPr>
          <w:rFonts w:asciiTheme="majorHAnsi" w:hAnsiTheme="majorHAnsi" w:cstheme="majorHAnsi"/>
          <w:sz w:val="20"/>
          <w:szCs w:val="20"/>
          <w:lang w:val="ro-RO"/>
        </w:rPr>
        <w:t>condițiile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pandemi</w:t>
      </w:r>
      <w:r>
        <w:rPr>
          <w:rFonts w:asciiTheme="majorHAnsi" w:hAnsiTheme="majorHAnsi" w:cstheme="majorHAnsi"/>
          <w:sz w:val="20"/>
          <w:szCs w:val="20"/>
          <w:lang w:val="ro-RO"/>
        </w:rPr>
        <w:t>ei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, există multe situații în care bunurile se degradează calitativ, expiră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4745B">
        <w:rPr>
          <w:rFonts w:asciiTheme="majorHAnsi" w:hAnsiTheme="majorHAnsi" w:cstheme="majorHAnsi"/>
          <w:sz w:val="20"/>
          <w:szCs w:val="20"/>
          <w:lang w:val="ro-RO"/>
        </w:rPr>
        <w:t xml:space="preserve">sunt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perisabile</w:t>
      </w:r>
      <w:r w:rsidR="00D4745B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se distrug (din diverse motive)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 xml:space="preserve"> înainte de comercializare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n a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stfel de cazuri,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regulile fiscale și criteriile care se aplică pentru a susține deductibilitatea </w:t>
      </w:r>
      <w:r w:rsidR="00E848A0">
        <w:rPr>
          <w:rFonts w:asciiTheme="majorHAnsi" w:hAnsiTheme="majorHAnsi" w:cstheme="majorHAnsi"/>
          <w:sz w:val="20"/>
          <w:szCs w:val="20"/>
          <w:lang w:val="ro-RO"/>
        </w:rPr>
        <w:t>pierderilor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sunt diferite.</w:t>
      </w:r>
    </w:p>
    <w:p w14:paraId="0648D328" w14:textId="0A14A601" w:rsidR="00D33C32" w:rsidRPr="00E848A0" w:rsidRDefault="00E848A0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n primul rând, 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 xml:space="preserve">agenții economici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trebuie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determin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natura acelor pierderi – de exemplu, nu toate bunurile degradate pot fi tratate drept perisabilități și încadrate în limitele deductibile prevăzute de legislația specifică. Perisabilități sunt doar acele pierderi </w:t>
      </w:r>
      <w:r>
        <w:rPr>
          <w:rFonts w:asciiTheme="majorHAnsi" w:hAnsiTheme="majorHAnsi" w:cstheme="majorHAnsi"/>
          <w:sz w:val="20"/>
          <w:szCs w:val="20"/>
          <w:lang w:val="ro-RO"/>
        </w:rPr>
        <w:t>cauzate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de procesele naturale (uscare, evaporare, fermentare). Pierderile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cauzate d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e erori umane nu sunt perisabilități – în cazul acestora, companiile trebuie să poată face dovada distrugerii lor, fie prin mijloace proprii, fie prin predarea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produselor distruse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către unități specializate pentru a susține deductibilitatea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pierder</w:t>
      </w:r>
      <w:r w:rsidR="006078F8" w:rsidRPr="00E848A0">
        <w:rPr>
          <w:rFonts w:asciiTheme="majorHAnsi" w:hAnsiTheme="majorHAnsi" w:cstheme="majorHAnsi"/>
          <w:sz w:val="20"/>
          <w:szCs w:val="20"/>
          <w:lang w:val="ro-RO"/>
        </w:rPr>
        <w:t>ilor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32D96B24" w14:textId="5531297D" w:rsidR="00D33C32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Pentru celelalte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lipsuri din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inventar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care nu intră în categoriile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 xml:space="preserve">menționate anterior, trebuie să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analiz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 xml:space="preserve">eze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dacă stocurile respective erau asigurate sau costurile înregistrate cu aceste pierderi pot fi imputate, conform prevederilor contractuale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unei terțe părți (de exemplu, firma de pază a magazinului/depozitului, transportatorului etc.).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 xml:space="preserve">În caz contrar,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aceste pierderi sunt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în general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nedeductibile din punct de vedere fiscal, iar impozitul pe profit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 xml:space="preserve"> aferent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va reprezenta un cost suplimentar pentru companie.</w:t>
      </w:r>
    </w:p>
    <w:p w14:paraId="59F0141A" w14:textId="6E03F41E" w:rsidR="00D33C32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>Pentru producători, obligațiile documentare sunt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de asemenea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foarte importante. Rețeta pentru fabricarea unui bun nu este același lucru cu norma tehnologică, iar în baza legii, pentru deducerea pierderilor tehnologice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este necesar și acest document.</w:t>
      </w:r>
    </w:p>
    <w:p w14:paraId="7C59D3E4" w14:textId="77777777" w:rsidR="004B1D0B" w:rsidRDefault="004B1D0B" w:rsidP="004E4DE0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040CDA20" w14:textId="1A06DF43" w:rsidR="009169C5" w:rsidRPr="00D4745B" w:rsidRDefault="004B1D0B" w:rsidP="004E4DE0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e trebuie să conțină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 m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odulul </w:t>
      </w:r>
      <w:r w:rsidR="009169C5" w:rsidRPr="00D4745B">
        <w:rPr>
          <w:rFonts w:asciiTheme="majorHAnsi" w:hAnsiTheme="majorHAnsi" w:cstheme="majorHAnsi"/>
          <w:b/>
          <w:sz w:val="20"/>
          <w:szCs w:val="20"/>
          <w:lang w:val="ro-RO"/>
        </w:rPr>
        <w:t>stocuri</w:t>
      </w:r>
      <w:r w:rsidR="009169C5">
        <w:rPr>
          <w:rFonts w:asciiTheme="majorHAnsi" w:hAnsiTheme="majorHAnsi" w:cstheme="majorHAnsi"/>
          <w:b/>
          <w:sz w:val="20"/>
          <w:szCs w:val="20"/>
          <w:lang w:val="ro-RO"/>
        </w:rPr>
        <w:t xml:space="preserve"> din raportarea SAF-T?</w:t>
      </w:r>
    </w:p>
    <w:p w14:paraId="6A4002FB" w14:textId="14AFD859" w:rsidR="00D33C32" w:rsidRPr="00E848A0" w:rsidRDefault="009169C5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nformații</w:t>
      </w:r>
      <w:r>
        <w:rPr>
          <w:rFonts w:asciiTheme="majorHAnsi" w:hAnsiTheme="majorHAnsi" w:cstheme="majorHAnsi"/>
          <w:sz w:val="20"/>
          <w:szCs w:val="20"/>
          <w:lang w:val="ro-RO"/>
        </w:rPr>
        <w:t>le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menționate mai sus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E5DA8">
        <w:rPr>
          <w:rFonts w:asciiTheme="majorHAnsi" w:hAnsiTheme="majorHAnsi" w:cstheme="majorHAnsi"/>
          <w:sz w:val="20"/>
          <w:szCs w:val="20"/>
          <w:lang w:val="ro-RO"/>
        </w:rPr>
        <w:t xml:space="preserve">și mișcările stocurilor </w:t>
      </w:r>
      <w:r w:rsidR="002C3DD5">
        <w:rPr>
          <w:rFonts w:asciiTheme="majorHAnsi" w:hAnsiTheme="majorHAnsi" w:cstheme="majorHAnsi"/>
          <w:sz w:val="20"/>
          <w:szCs w:val="20"/>
          <w:lang w:val="ro-RO"/>
        </w:rPr>
        <w:t xml:space="preserve">sunt importante pentru că vor putea fi solicitate de autorități,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începând cu </w:t>
      </w:r>
      <w:r w:rsidR="002C3DD5">
        <w:rPr>
          <w:rFonts w:asciiTheme="majorHAnsi" w:hAnsiTheme="majorHAnsi" w:cstheme="majorHAnsi"/>
          <w:sz w:val="20"/>
          <w:szCs w:val="20"/>
          <w:lang w:val="ro-RO"/>
        </w:rPr>
        <w:t xml:space="preserve">data de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1 ianuarie 2022 (pentru marii contribuabili și ulterior și pentru ceilalți)</w:t>
      </w:r>
      <w:r w:rsidR="002C3DD5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prin intermediul modulului dedicat stocurilor din cadrul raportării SAF-T (</w:t>
      </w:r>
      <m:oMath>
        <m:r>
          <w:rPr>
            <w:rFonts w:ascii="Cambria Math" w:hAnsi="Cambria Math" w:cstheme="majorHAnsi"/>
            <w:sz w:val="20"/>
            <w:szCs w:val="20"/>
            <w:lang w:val="ro-RO"/>
          </w:rPr>
          <m:t>„</m:t>
        </m:r>
      </m:oMath>
      <w:r w:rsidR="00D33C32" w:rsidRPr="00E848A0">
        <w:rPr>
          <w:rFonts w:asciiTheme="majorHAnsi" w:hAnsiTheme="majorHAnsi" w:cstheme="majorHAnsi"/>
          <w:sz w:val="20"/>
          <w:szCs w:val="20"/>
          <w:lang w:val="ro-RO"/>
        </w:rPr>
        <w:t>Standard Audit File for Tax Purposes”).</w:t>
      </w:r>
    </w:p>
    <w:p w14:paraId="34BF59B6" w14:textId="77777777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>Deși raportarea modulului de stocuri nu se va face periodic, ci la cererea autorităților fiscale, volumul de informații solicitate este considerabil și va reprezenta o provocare pentru contribuabili.</w:t>
      </w:r>
    </w:p>
    <w:p w14:paraId="2BE15EA1" w14:textId="77806792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Astfel, </w:t>
      </w:r>
      <w:r w:rsidR="002C3DD5">
        <w:rPr>
          <w:rFonts w:asciiTheme="majorHAnsi" w:hAnsiTheme="majorHAnsi" w:cstheme="majorHAnsi"/>
          <w:sz w:val="20"/>
          <w:szCs w:val="20"/>
          <w:lang w:val="ro-RO"/>
        </w:rPr>
        <w:t xml:space="preserve">la cererea ANAF,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companiile vor fi obligate să transmită un </w:t>
      </w:r>
      <w:hyperlink r:id="rId7" w:history="1">
        <w:r w:rsidRPr="00D106E2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raport cu pr</w:t>
        </w:r>
        <w:r w:rsidRPr="00D106E2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i</w:t>
        </w:r>
        <w:r w:rsidRPr="00D106E2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vire la stocuri</w:t>
        </w:r>
      </w:hyperlink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(în format electronic)</w:t>
      </w:r>
      <w:r w:rsidR="00512B1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care va conține informații precum: depozitul unde sunt păstrate mărfurile, codul și tipul produselor, proprietarul lor (relevant mai ales pentru produse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le aflate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n custodie), prețul, cantitatea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i valoarea. De asemenea, autoritățile </w:t>
      </w:r>
      <w:r w:rsidR="002C3DD5">
        <w:rPr>
          <w:rFonts w:asciiTheme="majorHAnsi" w:hAnsiTheme="majorHAnsi" w:cstheme="majorHAnsi"/>
          <w:sz w:val="20"/>
          <w:szCs w:val="20"/>
          <w:lang w:val="ro-RO"/>
        </w:rPr>
        <w:t>solicită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i raportarea unor informații detaliate privind mișcăr</w:t>
      </w:r>
      <w:r w:rsidR="00512B1C">
        <w:rPr>
          <w:rFonts w:asciiTheme="majorHAnsi" w:hAnsiTheme="majorHAnsi" w:cstheme="majorHAnsi"/>
          <w:sz w:val="20"/>
          <w:szCs w:val="20"/>
          <w:lang w:val="ro-RO"/>
        </w:rPr>
        <w:t>ile de stocuri (nu doar intrări/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ieșiri, dar </w:t>
      </w:r>
      <w:r w:rsidR="006078F8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i ce fel de ieș</w:t>
      </w:r>
      <w:r w:rsidR="00512B1C">
        <w:rPr>
          <w:rFonts w:asciiTheme="majorHAnsi" w:hAnsiTheme="majorHAnsi" w:cstheme="majorHAnsi"/>
          <w:sz w:val="20"/>
          <w:szCs w:val="20"/>
          <w:lang w:val="ro-RO"/>
        </w:rPr>
        <w:t>iri - de exemplu: consum, plus/minus la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inventar, bunuri acordate gratuit, bunuri degradate, bunuri expirate). </w:t>
      </w:r>
    </w:p>
    <w:p w14:paraId="7FF81336" w14:textId="4C604B79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>O parte dintre aceste informații se pot raporta în forma în care ele există la nivelul companiei, însă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pentru altele</w:t>
      </w:r>
      <w:r w:rsidR="004B1D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autoritățile au dezvoltat nomenclatoare și codificări standard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pe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care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contribuabilii vor fi obligați să le folosească în raportări. </w:t>
      </w:r>
    </w:p>
    <w:p w14:paraId="6B05FED1" w14:textId="0E100839" w:rsidR="00D33C32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lastRenderedPageBreak/>
        <w:t>Această procedură reprezintă o noutate absolută, având în vedere că astfel de cerințe nu au existat în trecut</w:t>
      </w:r>
      <w:r w:rsidR="007A5D8B">
        <w:rPr>
          <w:rFonts w:asciiTheme="majorHAnsi" w:hAnsiTheme="majorHAnsi" w:cstheme="majorHAnsi"/>
          <w:sz w:val="20"/>
          <w:szCs w:val="20"/>
          <w:lang w:val="ro-RO"/>
        </w:rPr>
        <w:t xml:space="preserve">, informațiile despre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stocuri</w:t>
      </w:r>
      <w:r w:rsidR="007A5D8B">
        <w:rPr>
          <w:rFonts w:asciiTheme="majorHAnsi" w:hAnsiTheme="majorHAnsi" w:cstheme="majorHAnsi"/>
          <w:sz w:val="20"/>
          <w:szCs w:val="20"/>
          <w:lang w:val="ro-RO"/>
        </w:rPr>
        <w:t xml:space="preserve"> fiind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verificate de către inspectorii fiscali în cadrul controalelor derulate la </w:t>
      </w:r>
      <w:r w:rsidR="007A5D8B">
        <w:rPr>
          <w:rFonts w:asciiTheme="majorHAnsi" w:hAnsiTheme="majorHAnsi" w:cstheme="majorHAnsi"/>
          <w:sz w:val="20"/>
          <w:szCs w:val="20"/>
          <w:lang w:val="ro-RO"/>
        </w:rPr>
        <w:t xml:space="preserve">sediul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contribuabili</w:t>
      </w:r>
      <w:r w:rsidR="007A5D8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07A1CFB" w14:textId="3DCED7B6" w:rsidR="009E083C" w:rsidRPr="00E848A0" w:rsidRDefault="00D33C32" w:rsidP="004E4DE0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Astfel, prin intermediul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raportării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SAF-T, autoritățile vor putea corela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mai rapid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informațiile primite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vor putea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realiza o primă verificare a riscului în ceea ce privește deductibilitatea diverselor tipuri de pierderi, 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prezentate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mai sus</w:t>
      </w:r>
      <w:r w:rsidR="00D94282">
        <w:rPr>
          <w:rFonts w:asciiTheme="majorHAnsi" w:hAnsiTheme="majorHAnsi" w:cstheme="majorHAnsi"/>
          <w:sz w:val="20"/>
          <w:szCs w:val="20"/>
          <w:lang w:val="ro-RO"/>
        </w:rPr>
        <w:t xml:space="preserve">. Din aceste considerente, gestionarea adecvată a stocurilor, documentarea corespunzătoare și transmiterea informațiilor către autorități în formatul solicitat </w:t>
      </w:r>
      <w:r w:rsidR="007408BF">
        <w:rPr>
          <w:rFonts w:asciiTheme="majorHAnsi" w:hAnsiTheme="majorHAnsi" w:cstheme="majorHAnsi"/>
          <w:sz w:val="20"/>
          <w:szCs w:val="20"/>
          <w:lang w:val="ro-RO"/>
        </w:rPr>
        <w:t xml:space="preserve">devin acțiuni tot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mai important</w:t>
      </w:r>
      <w:r w:rsidR="007408BF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7408BF">
        <w:rPr>
          <w:rFonts w:asciiTheme="majorHAnsi" w:hAnsiTheme="majorHAnsi" w:cstheme="majorHAnsi"/>
          <w:sz w:val="20"/>
          <w:szCs w:val="20"/>
          <w:lang w:val="ro-RO"/>
        </w:rPr>
        <w:t xml:space="preserve">mai 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>relevant</w:t>
      </w:r>
      <w:r w:rsidR="007408BF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E848A0">
        <w:rPr>
          <w:rFonts w:asciiTheme="majorHAnsi" w:hAnsiTheme="majorHAnsi" w:cstheme="majorHAnsi"/>
          <w:sz w:val="20"/>
          <w:szCs w:val="20"/>
          <w:lang w:val="ro-RO"/>
        </w:rPr>
        <w:t xml:space="preserve"> pentru companii.</w:t>
      </w:r>
    </w:p>
    <w:sectPr w:rsidR="009E083C" w:rsidRPr="00E848A0" w:rsidSect="00C619F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0BF2" w14:textId="77777777" w:rsidR="007C7CFF" w:rsidRDefault="007C7CFF" w:rsidP="00B01EC1">
      <w:pPr>
        <w:spacing w:after="0" w:line="240" w:lineRule="auto"/>
      </w:pPr>
      <w:r>
        <w:separator/>
      </w:r>
    </w:p>
  </w:endnote>
  <w:endnote w:type="continuationSeparator" w:id="0">
    <w:p w14:paraId="64D9103C" w14:textId="77777777" w:rsidR="007C7CFF" w:rsidRDefault="007C7CFF" w:rsidP="00B0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476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354B03F0" w14:textId="7058354A" w:rsidR="00C20617" w:rsidRPr="004E4DE0" w:rsidRDefault="002D4C07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4E4DE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4E4DE0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4E4DE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512B1C" w:rsidRPr="004E4DE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4E4DE0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19E2D73F" w14:textId="77777777" w:rsidR="00C20617" w:rsidRDefault="007C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1C14" w14:textId="77777777" w:rsidR="007C7CFF" w:rsidRDefault="007C7CFF" w:rsidP="00B01EC1">
      <w:pPr>
        <w:spacing w:after="0" w:line="240" w:lineRule="auto"/>
      </w:pPr>
      <w:r>
        <w:separator/>
      </w:r>
    </w:p>
  </w:footnote>
  <w:footnote w:type="continuationSeparator" w:id="0">
    <w:p w14:paraId="75A443B0" w14:textId="77777777" w:rsidR="007C7CFF" w:rsidRDefault="007C7CFF" w:rsidP="00B0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5B1" w14:textId="77777777" w:rsidR="00C20617" w:rsidRDefault="002D4C07">
    <w:pPr>
      <w:pStyle w:val="Header"/>
    </w:pPr>
    <w:r w:rsidRPr="00BD5748">
      <w:rPr>
        <w:noProof/>
      </w:rPr>
      <w:drawing>
        <wp:anchor distT="0" distB="0" distL="114300" distR="114300" simplePos="0" relativeHeight="251659264" behindDoc="0" locked="0" layoutInCell="1" allowOverlap="1" wp14:anchorId="70E63DDC" wp14:editId="4BE00E51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AD7"/>
    <w:multiLevelType w:val="hybridMultilevel"/>
    <w:tmpl w:val="B8D0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397"/>
    <w:multiLevelType w:val="hybridMultilevel"/>
    <w:tmpl w:val="45C06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BB5"/>
    <w:multiLevelType w:val="hybridMultilevel"/>
    <w:tmpl w:val="DFB4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C1"/>
    <w:rsid w:val="000077A0"/>
    <w:rsid w:val="00025130"/>
    <w:rsid w:val="00035DA3"/>
    <w:rsid w:val="00072534"/>
    <w:rsid w:val="000F3CFF"/>
    <w:rsid w:val="000F62F5"/>
    <w:rsid w:val="00125F35"/>
    <w:rsid w:val="001452C3"/>
    <w:rsid w:val="001C7024"/>
    <w:rsid w:val="0020193A"/>
    <w:rsid w:val="002227E1"/>
    <w:rsid w:val="002B2FC9"/>
    <w:rsid w:val="002C3DD5"/>
    <w:rsid w:val="002C710D"/>
    <w:rsid w:val="002D4C07"/>
    <w:rsid w:val="002F37F0"/>
    <w:rsid w:val="003063AA"/>
    <w:rsid w:val="003069E2"/>
    <w:rsid w:val="003163CF"/>
    <w:rsid w:val="00333165"/>
    <w:rsid w:val="0033637B"/>
    <w:rsid w:val="00372011"/>
    <w:rsid w:val="00372FD9"/>
    <w:rsid w:val="00392864"/>
    <w:rsid w:val="003E36FC"/>
    <w:rsid w:val="003E5DA8"/>
    <w:rsid w:val="004040CD"/>
    <w:rsid w:val="0047523F"/>
    <w:rsid w:val="00485A91"/>
    <w:rsid w:val="004B1D0B"/>
    <w:rsid w:val="004D603B"/>
    <w:rsid w:val="004E4DE0"/>
    <w:rsid w:val="00505DF4"/>
    <w:rsid w:val="00512B1C"/>
    <w:rsid w:val="00555313"/>
    <w:rsid w:val="00591C07"/>
    <w:rsid w:val="005A208F"/>
    <w:rsid w:val="005F6B4C"/>
    <w:rsid w:val="006072C4"/>
    <w:rsid w:val="006078F8"/>
    <w:rsid w:val="00607EF3"/>
    <w:rsid w:val="006255B6"/>
    <w:rsid w:val="006345FF"/>
    <w:rsid w:val="00636E81"/>
    <w:rsid w:val="006C71FD"/>
    <w:rsid w:val="006D245B"/>
    <w:rsid w:val="006E3CAF"/>
    <w:rsid w:val="00705A2B"/>
    <w:rsid w:val="007408BF"/>
    <w:rsid w:val="00741F1F"/>
    <w:rsid w:val="007867D0"/>
    <w:rsid w:val="0079640E"/>
    <w:rsid w:val="007A5D8B"/>
    <w:rsid w:val="007B2A09"/>
    <w:rsid w:val="007C7CFF"/>
    <w:rsid w:val="007E3FC4"/>
    <w:rsid w:val="007F5480"/>
    <w:rsid w:val="00891FC8"/>
    <w:rsid w:val="008F5BF9"/>
    <w:rsid w:val="00914493"/>
    <w:rsid w:val="009169C5"/>
    <w:rsid w:val="00983523"/>
    <w:rsid w:val="00990B13"/>
    <w:rsid w:val="009B3D4F"/>
    <w:rsid w:val="009E083C"/>
    <w:rsid w:val="00A27D79"/>
    <w:rsid w:val="00B01EC1"/>
    <w:rsid w:val="00B35205"/>
    <w:rsid w:val="00B631AF"/>
    <w:rsid w:val="00B97A87"/>
    <w:rsid w:val="00C043F1"/>
    <w:rsid w:val="00C700AC"/>
    <w:rsid w:val="00C952D9"/>
    <w:rsid w:val="00CA05E4"/>
    <w:rsid w:val="00CB6F19"/>
    <w:rsid w:val="00CF1C79"/>
    <w:rsid w:val="00D106E2"/>
    <w:rsid w:val="00D1751B"/>
    <w:rsid w:val="00D33C32"/>
    <w:rsid w:val="00D379CA"/>
    <w:rsid w:val="00D4745B"/>
    <w:rsid w:val="00D94282"/>
    <w:rsid w:val="00DE406A"/>
    <w:rsid w:val="00E033E3"/>
    <w:rsid w:val="00E04DCB"/>
    <w:rsid w:val="00E73E36"/>
    <w:rsid w:val="00E848A0"/>
    <w:rsid w:val="00EB286A"/>
    <w:rsid w:val="00EE5397"/>
    <w:rsid w:val="00F0410E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8703"/>
  <w15:chartTrackingRefBased/>
  <w15:docId w15:val="{FC714D2D-B522-485D-A9C8-B2A482E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3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79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6A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6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2E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3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06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5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33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47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09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12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7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4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19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16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76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32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ro/pages/about-deloitte/events/industria-de-comert-si-bunuri-de-larg-consum-la-o-cafea-pe-teme-fiscale-stocurile-implicatii-fiscale-si-contabile.html?nc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Oana Anghel</cp:lastModifiedBy>
  <cp:revision>3</cp:revision>
  <dcterms:created xsi:type="dcterms:W3CDTF">2021-10-07T06:40:00Z</dcterms:created>
  <dcterms:modified xsi:type="dcterms:W3CDTF">2021-10-07T06:43:00Z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2021-09-09T13:59:23Z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07df76ef-ee2f-451b-8955-3b7e534f7af3</vt:lpwstr>
  </property>
  <property fmtid="{D5CDD505-2E9C-101B-9397-08002B2CF9AE}" pid="8" name="MSIP_Label_ea60d57e-af5b-4752-ac57-3e4f28ca11dc_ContentBits">
    <vt:lpwstr>0</vt:lpwstr>
  </property>
</Properties>
</file>