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4C" w:rsidRPr="00570450" w:rsidRDefault="00AF594C" w:rsidP="00AF594C">
      <w:pPr>
        <w:jc w:val="center"/>
        <w:rPr>
          <w:rFonts w:ascii="Times New Roman" w:hAnsi="Times New Roman" w:cs="Times New Roman"/>
          <w:b/>
          <w:color w:val="000000"/>
          <w:sz w:val="24"/>
          <w:szCs w:val="24"/>
        </w:rPr>
      </w:pPr>
      <w:bookmarkStart w:id="0" w:name="_GoBack"/>
      <w:bookmarkEnd w:id="0"/>
    </w:p>
    <w:p w:rsidR="00AF594C" w:rsidRPr="00570450" w:rsidRDefault="00AF594C" w:rsidP="00AF594C">
      <w:pPr>
        <w:jc w:val="center"/>
        <w:rPr>
          <w:rFonts w:ascii="Times New Roman" w:hAnsi="Times New Roman" w:cs="Times New Roman"/>
          <w:b/>
          <w:color w:val="000000"/>
          <w:sz w:val="24"/>
          <w:szCs w:val="24"/>
        </w:rPr>
      </w:pPr>
    </w:p>
    <w:p w:rsidR="00AF594C" w:rsidRPr="00570450" w:rsidRDefault="00AF594C" w:rsidP="00AF594C">
      <w:pPr>
        <w:jc w:val="center"/>
        <w:rPr>
          <w:rFonts w:ascii="Times New Roman" w:hAnsi="Times New Roman" w:cs="Times New Roman"/>
          <w:b/>
          <w:color w:val="000000"/>
          <w:sz w:val="24"/>
          <w:szCs w:val="24"/>
        </w:rPr>
      </w:pPr>
    </w:p>
    <w:p w:rsidR="00AF594C" w:rsidRPr="00570450" w:rsidRDefault="00AF594C" w:rsidP="00AF594C">
      <w:pPr>
        <w:jc w:val="center"/>
        <w:rPr>
          <w:rFonts w:ascii="Times New Roman" w:hAnsi="Times New Roman" w:cs="Times New Roman"/>
          <w:sz w:val="24"/>
          <w:szCs w:val="24"/>
        </w:rPr>
      </w:pPr>
      <w:r w:rsidRPr="00570450">
        <w:rPr>
          <w:rFonts w:ascii="Times New Roman" w:hAnsi="Times New Roman" w:cs="Times New Roman"/>
          <w:b/>
          <w:color w:val="000000"/>
          <w:sz w:val="24"/>
          <w:szCs w:val="24"/>
        </w:rPr>
        <w:t>HOTĂRÂRE</w:t>
      </w:r>
    </w:p>
    <w:p w:rsidR="00AF594C" w:rsidRPr="00570450" w:rsidRDefault="00AF594C" w:rsidP="00AF594C">
      <w:pPr>
        <w:jc w:val="center"/>
        <w:rPr>
          <w:rFonts w:ascii="Times New Roman" w:hAnsi="Times New Roman" w:cs="Times New Roman"/>
          <w:sz w:val="24"/>
          <w:szCs w:val="24"/>
        </w:rPr>
      </w:pPr>
      <w:r w:rsidRPr="00570450">
        <w:rPr>
          <w:rFonts w:ascii="Times New Roman" w:hAnsi="Times New Roman" w:cs="Times New Roman"/>
          <w:b/>
          <w:color w:val="000000"/>
          <w:sz w:val="24"/>
          <w:szCs w:val="24"/>
        </w:rPr>
        <w:t xml:space="preserve">pentru modificarea și completarea Normelor metodologice de aplicare a </w:t>
      </w:r>
    </w:p>
    <w:p w:rsidR="00AF594C" w:rsidRPr="00570450" w:rsidRDefault="00AF594C" w:rsidP="00AF594C">
      <w:pPr>
        <w:jc w:val="center"/>
        <w:rPr>
          <w:rFonts w:ascii="Times New Roman" w:hAnsi="Times New Roman" w:cs="Times New Roman"/>
          <w:sz w:val="24"/>
          <w:szCs w:val="24"/>
        </w:rPr>
      </w:pPr>
      <w:r w:rsidRPr="00570450">
        <w:rPr>
          <w:rFonts w:ascii="Times New Roman" w:hAnsi="Times New Roman" w:cs="Times New Roman"/>
          <w:b/>
          <w:color w:val="000000"/>
          <w:sz w:val="24"/>
          <w:szCs w:val="24"/>
        </w:rPr>
        <w:t>Legii nr. 227/2015 privind Codul fiscal, aprobate prin Hotărârea Guvernului nr. 1/2016</w:t>
      </w:r>
    </w:p>
    <w:p w:rsidR="00AF594C" w:rsidRPr="00570450" w:rsidRDefault="00AF594C" w:rsidP="00AF594C">
      <w:pPr>
        <w:jc w:val="both"/>
        <w:rPr>
          <w:rFonts w:ascii="Times New Roman" w:hAnsi="Times New Roman" w:cs="Times New Roman"/>
          <w:color w:val="000000"/>
          <w:sz w:val="24"/>
          <w:szCs w:val="24"/>
        </w:rPr>
      </w:pPr>
    </w:p>
    <w:p w:rsidR="00AF594C" w:rsidRPr="00570450" w:rsidRDefault="00AF594C" w:rsidP="00AF594C">
      <w:pPr>
        <w:ind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În temeiul art. 108 din Constituția României, republicată,</w:t>
      </w:r>
    </w:p>
    <w:p w:rsidR="00AF594C" w:rsidRPr="00570450" w:rsidRDefault="00AF594C" w:rsidP="00AF594C">
      <w:pPr>
        <w:jc w:val="both"/>
        <w:rPr>
          <w:rFonts w:ascii="Times New Roman" w:hAnsi="Times New Roman" w:cs="Times New Roman"/>
          <w:color w:val="000000"/>
          <w:sz w:val="24"/>
          <w:szCs w:val="24"/>
        </w:rPr>
      </w:pPr>
    </w:p>
    <w:p w:rsidR="00AF594C" w:rsidRPr="00570450" w:rsidRDefault="00AF594C" w:rsidP="00AF594C">
      <w:pPr>
        <w:ind w:firstLine="708"/>
        <w:jc w:val="both"/>
        <w:rPr>
          <w:rFonts w:ascii="Times New Roman" w:hAnsi="Times New Roman" w:cs="Times New Roman"/>
          <w:sz w:val="24"/>
          <w:szCs w:val="24"/>
        </w:rPr>
      </w:pPr>
      <w:r w:rsidRPr="00570450">
        <w:rPr>
          <w:rFonts w:ascii="Times New Roman" w:hAnsi="Times New Roman" w:cs="Times New Roman"/>
          <w:b/>
          <w:bCs/>
          <w:color w:val="000000"/>
          <w:sz w:val="24"/>
          <w:szCs w:val="24"/>
        </w:rPr>
        <w:t>Guvernul României</w:t>
      </w:r>
      <w:r w:rsidRPr="00570450">
        <w:rPr>
          <w:rFonts w:ascii="Times New Roman" w:hAnsi="Times New Roman" w:cs="Times New Roman"/>
          <w:color w:val="000000"/>
          <w:sz w:val="24"/>
          <w:szCs w:val="24"/>
        </w:rPr>
        <w:t xml:space="preserve"> adoptă prezenta hotărâre.</w:t>
      </w:r>
    </w:p>
    <w:p w:rsidR="00AF594C" w:rsidRPr="00570450" w:rsidRDefault="00AF594C" w:rsidP="00AF594C">
      <w:pPr>
        <w:ind w:firstLine="708"/>
        <w:jc w:val="both"/>
        <w:rPr>
          <w:rFonts w:ascii="Times New Roman" w:hAnsi="Times New Roman" w:cs="Times New Roman"/>
          <w:color w:val="000000"/>
          <w:sz w:val="24"/>
          <w:szCs w:val="24"/>
        </w:rPr>
      </w:pP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b/>
          <w:sz w:val="24"/>
          <w:szCs w:val="24"/>
        </w:rPr>
        <w:t xml:space="preserve">Articol unic </w:t>
      </w:r>
      <w:r w:rsidRPr="00570450">
        <w:rPr>
          <w:rFonts w:ascii="Times New Roman" w:hAnsi="Times New Roman" w:cs="Times New Roman"/>
          <w:b/>
          <w:color w:val="000000"/>
          <w:sz w:val="24"/>
          <w:szCs w:val="24"/>
        </w:rPr>
        <w:t>- Normele metodologice de aplicare a Legii nr. 227/2015 privind Codul fiscal, aprobate prin Hotărârea Guvernului nr. 1/2016, publicată în Monitorul Oficial al României, Partea I, nr. 22 din 13 ianuarie 2016, cu modificările și completările ulterioare, se modifică şi se completează după cum urmează:</w:t>
      </w:r>
    </w:p>
    <w:p w:rsidR="00AF594C" w:rsidRPr="00570450" w:rsidRDefault="00AF594C" w:rsidP="00AF594C">
      <w:pPr>
        <w:ind w:firstLine="708"/>
        <w:jc w:val="both"/>
        <w:rPr>
          <w:rFonts w:ascii="Times New Roman" w:hAnsi="Times New Roman" w:cs="Times New Roman"/>
          <w:color w:val="000000"/>
          <w:sz w:val="24"/>
          <w:szCs w:val="24"/>
        </w:rPr>
      </w:pPr>
    </w:p>
    <w:p w:rsidR="00AF594C" w:rsidRPr="00570450" w:rsidRDefault="00AF594C" w:rsidP="00AF594C">
      <w:pPr>
        <w:pStyle w:val="BodyText"/>
        <w:numPr>
          <w:ilvl w:val="0"/>
          <w:numId w:val="7"/>
        </w:numPr>
        <w:tabs>
          <w:tab w:val="left" w:pos="1080"/>
        </w:tabs>
        <w:ind w:right="360" w:hanging="232"/>
        <w:jc w:val="both"/>
        <w:rPr>
          <w:rFonts w:ascii="Times New Roman" w:hAnsi="Times New Roman" w:cs="Times New Roman"/>
          <w:sz w:val="24"/>
          <w:szCs w:val="24"/>
        </w:rPr>
      </w:pPr>
      <w:r w:rsidRPr="00570450">
        <w:rPr>
          <w:rFonts w:ascii="Times New Roman" w:hAnsi="Times New Roman" w:cs="Times New Roman"/>
          <w:b/>
          <w:bCs/>
          <w:color w:val="000000"/>
          <w:sz w:val="24"/>
          <w:szCs w:val="24"/>
        </w:rPr>
        <w:t>Titlul II “Impozitul pe profit”</w:t>
      </w:r>
    </w:p>
    <w:p w:rsidR="00AF594C" w:rsidRPr="00570450" w:rsidRDefault="00AF594C" w:rsidP="00AF594C">
      <w:pPr>
        <w:tabs>
          <w:tab w:val="left" w:pos="1080"/>
        </w:tabs>
        <w:jc w:val="both"/>
        <w:rPr>
          <w:rFonts w:ascii="Times New Roman" w:hAnsi="Times New Roman" w:cs="Times New Roman"/>
          <w:bCs/>
          <w:color w:val="000000"/>
          <w:sz w:val="24"/>
          <w:szCs w:val="24"/>
        </w:rPr>
      </w:pPr>
    </w:p>
    <w:p w:rsidR="00AF594C" w:rsidRPr="00570450" w:rsidRDefault="00AF594C" w:rsidP="00AF594C">
      <w:pPr>
        <w:pStyle w:val="ListParagraph"/>
        <w:numPr>
          <w:ilvl w:val="0"/>
          <w:numId w:val="8"/>
        </w:numPr>
        <w:tabs>
          <w:tab w:val="left" w:pos="1080"/>
        </w:tabs>
        <w:ind w:left="0"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13 alineatul (2) după litera c) se introduce o nouă literă, lit. d), cu următorul cuprinsul:</w:t>
      </w:r>
    </w:p>
    <w:p w:rsidR="00AF594C" w:rsidRPr="00570450" w:rsidRDefault="00AF594C" w:rsidP="00AF594C">
      <w:pPr>
        <w:pStyle w:val="ListParagraph"/>
        <w:tabs>
          <w:tab w:val="left" w:pos="1080"/>
        </w:tabs>
        <w:ind w:left="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„d) cheltuielile efectuate în vederea respectării obligațiilor de compensare prevăzute de Ordonanța de urgență a Guvernului nr. 189/2002 privind operațiunile compensatorii referitoare la contractele de achiziții pentru nevoi de apărare, ordine publică și siguranță națională, cu modificările și completările ulterioare.”</w:t>
      </w:r>
    </w:p>
    <w:p w:rsidR="00AF594C" w:rsidRPr="00570450" w:rsidRDefault="00AF594C" w:rsidP="00AF594C">
      <w:pPr>
        <w:pStyle w:val="ListParagraph"/>
        <w:tabs>
          <w:tab w:val="left" w:pos="1080"/>
        </w:tabs>
        <w:ind w:left="952" w:right="360" w:hanging="232"/>
        <w:jc w:val="both"/>
        <w:rPr>
          <w:rFonts w:ascii="Times New Roman" w:hAnsi="Times New Roman" w:cs="Times New Roman"/>
          <w:b/>
          <w:bCs/>
          <w:color w:val="000000"/>
          <w:sz w:val="24"/>
          <w:szCs w:val="24"/>
        </w:rPr>
      </w:pPr>
    </w:p>
    <w:p w:rsidR="00AF594C" w:rsidRPr="00570450" w:rsidRDefault="00AF594C" w:rsidP="00AF594C">
      <w:pPr>
        <w:pStyle w:val="ListParagraph"/>
        <w:numPr>
          <w:ilvl w:val="0"/>
          <w:numId w:val="7"/>
        </w:numPr>
        <w:tabs>
          <w:tab w:val="left" w:pos="1080"/>
        </w:tabs>
        <w:ind w:right="360" w:hanging="232"/>
        <w:jc w:val="both"/>
        <w:rPr>
          <w:rFonts w:ascii="Times New Roman" w:hAnsi="Times New Roman" w:cs="Times New Roman"/>
          <w:sz w:val="24"/>
          <w:szCs w:val="24"/>
        </w:rPr>
      </w:pPr>
      <w:r w:rsidRPr="00570450">
        <w:rPr>
          <w:rFonts w:ascii="Times New Roman" w:hAnsi="Times New Roman" w:cs="Times New Roman"/>
          <w:b/>
          <w:bCs/>
          <w:color w:val="000000"/>
          <w:sz w:val="24"/>
          <w:szCs w:val="24"/>
        </w:rPr>
        <w:t xml:space="preserve"> Titlul VII “Taxa pe valoarea adăugată”</w:t>
      </w:r>
    </w:p>
    <w:p w:rsidR="00AF594C" w:rsidRPr="00570450" w:rsidRDefault="00AF594C" w:rsidP="00AF594C">
      <w:pPr>
        <w:pStyle w:val="ListParagraph"/>
        <w:tabs>
          <w:tab w:val="left" w:pos="1080"/>
        </w:tabs>
        <w:ind w:left="502" w:right="360"/>
        <w:jc w:val="both"/>
        <w:rPr>
          <w:rFonts w:ascii="Times New Roman" w:hAnsi="Times New Roman" w:cs="Times New Roman"/>
          <w:b/>
          <w:bCs/>
          <w:color w:val="000000"/>
          <w:sz w:val="24"/>
          <w:szCs w:val="24"/>
        </w:rPr>
      </w:pPr>
    </w:p>
    <w:p w:rsidR="00AF594C" w:rsidRPr="00570450" w:rsidRDefault="00AF594C" w:rsidP="00AF594C">
      <w:pPr>
        <w:pStyle w:val="ListParagraph"/>
        <w:numPr>
          <w:ilvl w:val="0"/>
          <w:numId w:val="8"/>
        </w:numPr>
        <w:tabs>
          <w:tab w:val="left" w:pos="1080"/>
        </w:tabs>
        <w:ind w:left="0"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4 alineatul (5), exemplul nr. 2 se modifică și va avea următorul cuprins:</w:t>
      </w:r>
    </w:p>
    <w:p w:rsidR="00AF594C" w:rsidRPr="00570450" w:rsidRDefault="00AF594C" w:rsidP="00AF594C">
      <w:pPr>
        <w:tabs>
          <w:tab w:val="left" w:pos="810"/>
        </w:tabs>
        <w:ind w:right="360"/>
        <w:jc w:val="both"/>
        <w:rPr>
          <w:rFonts w:ascii="Times New Roman" w:hAnsi="Times New Roman" w:cs="Times New Roman"/>
          <w:sz w:val="24"/>
          <w:szCs w:val="24"/>
        </w:rPr>
      </w:pPr>
      <w:r w:rsidRPr="00570450">
        <w:rPr>
          <w:rFonts w:ascii="Times New Roman" w:hAnsi="Times New Roman" w:cs="Times New Roman"/>
          <w:color w:val="000000"/>
          <w:sz w:val="24"/>
          <w:szCs w:val="24"/>
        </w:rPr>
        <w:tab/>
        <w:t xml:space="preserve">„Exemplul nr. 2: O persoană fizică vinde în luna ianuarie 2020 un teren construibil sau o construcţie nouă în sensul art. 292 alin. (2) lit. f) din Codul fiscal. Deşi, în principiu, operaţiunea nu ar fi scutită de taxă conform art. 292 alin. (2) lit. f) din Codul fiscal, indiferent de valoarea livrării, dacă persoana fizică nu realizează şi alte operaţiuni pentru care ar deveni persoană impozabilă în cursul anului 2020, această operaţiune este considerată ocazională şi persoana fizică nu datorează TVA pentru respectiva livrare. Dacă în acelaşi an, în luna martie, aceeaşi persoană fizică livrează un teren sau o construcţie, indiferent dacă livrarea este taxabilă sau scutită conform art. 292 alin. (2) lit. f) din Codul fiscal, respectiva </w:t>
      </w:r>
      <w:r w:rsidRPr="00570450">
        <w:rPr>
          <w:rFonts w:ascii="Times New Roman" w:hAnsi="Times New Roman" w:cs="Times New Roman"/>
          <w:color w:val="000000"/>
          <w:sz w:val="24"/>
          <w:szCs w:val="24"/>
        </w:rPr>
        <w:lastRenderedPageBreak/>
        <w:t>persoană va deveni persoană impozabilă după cea de-a doua tranzacţie. Dacă valoarea cumulată a celor două tranzacții depăşeşte plafonul de scutire prevăzut la art. 310 din Codul fiscal, persoana fizică are obligaţia să solicite înregistrarea în scopuri de TVA, cel târziu în termen de 10 zile de la data depăşirii plafonului, respectiv de la data de 1 a lunii următoare celei în care plafonul a fost depăşit, conform art. 310 alin. (6) din Codul fiscal.”</w:t>
      </w:r>
    </w:p>
    <w:p w:rsidR="00AF594C" w:rsidRPr="00570450" w:rsidRDefault="00AF594C" w:rsidP="00AF594C">
      <w:pPr>
        <w:pStyle w:val="ListParagraph"/>
        <w:tabs>
          <w:tab w:val="left" w:pos="1080"/>
        </w:tabs>
        <w:ind w:left="0" w:right="360"/>
        <w:jc w:val="both"/>
        <w:rPr>
          <w:rFonts w:ascii="Times New Roman" w:hAnsi="Times New Roman" w:cs="Times New Roman"/>
          <w:sz w:val="24"/>
          <w:szCs w:val="24"/>
        </w:rPr>
      </w:pPr>
    </w:p>
    <w:p w:rsidR="00AF594C" w:rsidRPr="00570450" w:rsidRDefault="00AF594C" w:rsidP="00AF594C">
      <w:pPr>
        <w:pStyle w:val="ListParagraph"/>
        <w:numPr>
          <w:ilvl w:val="0"/>
          <w:numId w:val="8"/>
        </w:numPr>
        <w:tabs>
          <w:tab w:val="left" w:pos="1080"/>
        </w:tabs>
        <w:ind w:left="0"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7, alineatul (11) se modifică și va avea următorul cuprins:</w:t>
      </w:r>
    </w:p>
    <w:p w:rsidR="00AF594C" w:rsidRPr="00570450" w:rsidRDefault="00AF594C" w:rsidP="00AF594C">
      <w:pPr>
        <w:pStyle w:val="ListParagraph"/>
        <w:tabs>
          <w:tab w:val="left" w:pos="1080"/>
        </w:tabs>
        <w:ind w:left="0" w:right="360" w:firstLine="720"/>
        <w:jc w:val="both"/>
        <w:rPr>
          <w:rFonts w:ascii="Times New Roman" w:hAnsi="Times New Roman" w:cs="Times New Roman"/>
          <w:sz w:val="24"/>
          <w:szCs w:val="24"/>
        </w:rPr>
      </w:pPr>
      <w:r w:rsidRPr="00570450">
        <w:rPr>
          <w:rFonts w:ascii="Times New Roman" w:hAnsi="Times New Roman" w:cs="Times New Roman"/>
          <w:bCs/>
          <w:color w:val="000000"/>
          <w:sz w:val="24"/>
          <w:szCs w:val="24"/>
        </w:rPr>
        <w:t xml:space="preserve">“(11) Pe lângă situațiile prevăzute la alin. (10), nu constituie livrare de bunuri conform prevederilor art. 270 alin. (8) lit. b) din Codul fiscal bunurile acordate în mod gratuit pentru scopuri legate de desfășurarea activității economice a persoanei impozabile. În această categorie se cuprind, fără a se limita la acestea, bunurile acordate gratuit </w:t>
      </w:r>
      <w:bookmarkStart w:id="1" w:name="__DdeLink__718_1727524090"/>
      <w:r w:rsidRPr="00570450">
        <w:rPr>
          <w:rFonts w:ascii="Times New Roman" w:hAnsi="Times New Roman" w:cs="Times New Roman"/>
          <w:bCs/>
          <w:color w:val="000000"/>
          <w:sz w:val="24"/>
          <w:szCs w:val="24"/>
        </w:rPr>
        <w:t>în vederea respectării obligațiilor de compensare prevăzute de Ordonanța de urgență a Guvernului nr. 189/2002 privind operaţiunile compensatorii referitoare la contractele de achiziţii pentru nevoi de apărare, ordine publică şi siguranţă naţională, cu modificările și completările ulterioare,</w:t>
      </w:r>
      <w:bookmarkEnd w:id="1"/>
      <w:r w:rsidRPr="00570450">
        <w:rPr>
          <w:rFonts w:ascii="Times New Roman" w:hAnsi="Times New Roman" w:cs="Times New Roman"/>
          <w:bCs/>
          <w:color w:val="000000"/>
          <w:sz w:val="24"/>
          <w:szCs w:val="24"/>
        </w:rPr>
        <w:t xml:space="preserve"> bunurile pe care persoana impozabilă le acordă gratuit angajaților săi și care sunt legate de desfășurarea în condiții optime a activității economice, cum sunt, de exemplu: echipamentul de protecție și uniformele de lucru, pentru contravaloarea care nu este suportată de angajați, materiale igienico-sanitare în vederea prevenirii îmbolnăvirilor. Nu se încadrează în această categorie orice gratuități acordate propriilor angajați sau altor persoane, dacă nu există nicio legătură cu desfășurarea în condiții optime a activității economice, cum sunt: cotele gratuite de energie electrică acordate persoanelor pensionate din sectorul energiei electrice, abonamentele de transport acordate gratuit pentru diverse categorii de persoane și altele de aceeași natură.</w:t>
      </w:r>
    </w:p>
    <w:p w:rsidR="00AF594C" w:rsidRPr="00570450" w:rsidRDefault="00AF594C" w:rsidP="00AF594C">
      <w:pPr>
        <w:pStyle w:val="ListParagraph"/>
        <w:tabs>
          <w:tab w:val="left" w:pos="720"/>
        </w:tabs>
        <w:ind w:left="0" w:right="360"/>
        <w:jc w:val="both"/>
        <w:rPr>
          <w:rFonts w:ascii="Times New Roman" w:hAnsi="Times New Roman" w:cs="Times New Roman"/>
          <w:sz w:val="24"/>
          <w:szCs w:val="24"/>
        </w:rPr>
      </w:pPr>
      <w:r w:rsidRPr="00570450">
        <w:rPr>
          <w:rFonts w:ascii="Times New Roman" w:hAnsi="Times New Roman" w:cs="Times New Roman"/>
          <w:bCs/>
          <w:color w:val="000000"/>
          <w:sz w:val="24"/>
          <w:szCs w:val="24"/>
        </w:rPr>
        <w:tab/>
        <w:t xml:space="preserve">Exemplu: Pentru facilitarea accesului la un centru comercial o societate a depus diligențele necesare pentru construirea unui sens giratoriu. O parte a sensului giratoriu a fost construită pe terenul aparținând domeniului public, iar o parte pe terenul societății. După finalizarea lucrărilor, pentru care primăria a obținut autorizație de construire, sensul giratoriu și partea din terenul aferent aparținând societății vor fi donate primăriei. Deși contractul prevede că sensul giratoriu va fi donat primăriei, întrucât bunurile construite pe domeniul public aparțin unității administrativ-teritoriale, din punctul de vedere al TVA nu se consideră că are loc o livrare de bunuri de la societate la primărie pentru lucrările efectuate pe terenul primăriei. Acestea reprezintă din punctul de vedere al TVA servicii acordate gratuit. În ceea ce privește donația părții din sensul giratoriu construite pe terenul societății și a terenului aferent, aceasta reprezintă din punctul de vedere al TVA o livrare de bunuri cu titlu gratuit. Atât prestările de servicii, cât și livrarea de bunuri, acordate gratuit, se consideră că au fost efectuate în scopul desfășurării activității economice, respectiv pentru facilitarea accesului la centrul comercial, nefiind în sfera de aplicare a TVA. </w:t>
      </w:r>
      <w:r w:rsidRPr="00570450">
        <w:rPr>
          <w:rFonts w:ascii="Times New Roman" w:hAnsi="Times New Roman" w:cs="Times New Roman"/>
          <w:bCs/>
          <w:color w:val="000000"/>
          <w:sz w:val="24"/>
          <w:szCs w:val="24"/>
        </w:rPr>
        <w:lastRenderedPageBreak/>
        <w:t>Societatea în cauză beneficiază de dreptul de deducere a TVA conform prevederilor art. 297 din Codul fiscal.”</w:t>
      </w:r>
    </w:p>
    <w:p w:rsidR="00AF594C" w:rsidRPr="00570450" w:rsidRDefault="00AF594C" w:rsidP="00AF594C">
      <w:pPr>
        <w:pStyle w:val="ListParagraph"/>
        <w:tabs>
          <w:tab w:val="left" w:pos="1080"/>
        </w:tabs>
        <w:ind w:left="0" w:right="360"/>
        <w:jc w:val="both"/>
        <w:rPr>
          <w:rFonts w:ascii="Times New Roman" w:hAnsi="Times New Roman" w:cs="Times New Roman"/>
          <w:color w:val="000000"/>
          <w:sz w:val="24"/>
          <w:szCs w:val="24"/>
        </w:rPr>
      </w:pPr>
    </w:p>
    <w:p w:rsidR="00AF594C" w:rsidRPr="00570450" w:rsidRDefault="00AF594C" w:rsidP="007771CE">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7, după alineatul (12),</w:t>
      </w:r>
      <w:r w:rsidRPr="00570450">
        <w:rPr>
          <w:rFonts w:ascii="Times New Roman" w:hAnsi="Times New Roman" w:cs="Times New Roman"/>
          <w:b/>
          <w:color w:val="000000"/>
          <w:sz w:val="24"/>
          <w:szCs w:val="24"/>
        </w:rPr>
        <w:t xml:space="preserve"> </w:t>
      </w:r>
      <w:r w:rsidRPr="00570450">
        <w:rPr>
          <w:rFonts w:ascii="Times New Roman" w:hAnsi="Times New Roman" w:cs="Times New Roman"/>
          <w:b/>
          <w:bCs/>
          <w:color w:val="000000"/>
          <w:sz w:val="24"/>
          <w:szCs w:val="24"/>
        </w:rPr>
        <w:t>se introduce un alineat nou, alin. (12</w:t>
      </w:r>
      <w:r w:rsidRPr="00570450">
        <w:rPr>
          <w:rFonts w:ascii="Times New Roman" w:hAnsi="Times New Roman" w:cs="Times New Roman"/>
          <w:b/>
          <w:bCs/>
          <w:color w:val="000000"/>
          <w:sz w:val="24"/>
          <w:szCs w:val="24"/>
          <w:vertAlign w:val="superscript"/>
        </w:rPr>
        <w:t>1</w:t>
      </w:r>
      <w:r w:rsidRPr="00570450">
        <w:rPr>
          <w:rFonts w:ascii="Times New Roman" w:hAnsi="Times New Roman" w:cs="Times New Roman"/>
          <w:b/>
          <w:bCs/>
          <w:color w:val="000000"/>
          <w:sz w:val="24"/>
          <w:szCs w:val="24"/>
        </w:rPr>
        <w:t xml:space="preserve">), cu următorul cuprins: </w:t>
      </w:r>
    </w:p>
    <w:p w:rsidR="00AF594C" w:rsidRPr="00570450" w:rsidRDefault="00AF594C" w:rsidP="00AF594C">
      <w:pPr>
        <w:ind w:firstLine="705"/>
        <w:jc w:val="both"/>
        <w:rPr>
          <w:rFonts w:ascii="Times New Roman" w:hAnsi="Times New Roman" w:cs="Times New Roman"/>
          <w:sz w:val="24"/>
          <w:szCs w:val="24"/>
        </w:rPr>
      </w:pPr>
      <w:r w:rsidRPr="00570450">
        <w:rPr>
          <w:rFonts w:ascii="Times New Roman" w:hAnsi="Times New Roman" w:cs="Times New Roman"/>
          <w:color w:val="000000"/>
          <w:sz w:val="24"/>
          <w:szCs w:val="24"/>
        </w:rPr>
        <w:t>„(12</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xml:space="preserve">) În aplicarea prevederilor art. 270 alin. (8) lit. d) din Codul fiscal:   </w:t>
      </w:r>
    </w:p>
    <w:p w:rsidR="00AF594C" w:rsidRPr="00570450" w:rsidRDefault="00AF594C" w:rsidP="00AF594C">
      <w:pPr>
        <w:tabs>
          <w:tab w:val="left" w:pos="90"/>
        </w:tabs>
        <w:jc w:val="both"/>
        <w:rPr>
          <w:rFonts w:ascii="Times New Roman" w:hAnsi="Times New Roman" w:cs="Times New Roman"/>
          <w:sz w:val="24"/>
          <w:szCs w:val="24"/>
        </w:rPr>
      </w:pPr>
      <w:r w:rsidRPr="00570450">
        <w:rPr>
          <w:rFonts w:ascii="Times New Roman" w:hAnsi="Times New Roman" w:cs="Times New Roman"/>
          <w:color w:val="000000"/>
          <w:sz w:val="24"/>
          <w:szCs w:val="24"/>
        </w:rPr>
        <w:tab/>
      </w:r>
      <w:r w:rsidRPr="00570450">
        <w:rPr>
          <w:rFonts w:ascii="Times New Roman" w:hAnsi="Times New Roman" w:cs="Times New Roman"/>
          <w:color w:val="000000"/>
          <w:sz w:val="24"/>
          <w:szCs w:val="24"/>
        </w:rPr>
        <w:tab/>
        <w:t>a) transferul alimentelor destinate consumului uman are înțelesul prevăzut la art. 2 alin. (2) lit. c) din Legea nr. 217/2016 privind diminuarea risipei alimentare, republicată, cu modificările ulterioare;</w:t>
      </w:r>
    </w:p>
    <w:p w:rsidR="00AF594C" w:rsidRPr="00570450" w:rsidRDefault="00AF594C" w:rsidP="00AF594C">
      <w:pPr>
        <w:tabs>
          <w:tab w:val="left" w:pos="90"/>
        </w:tabs>
        <w:jc w:val="both"/>
        <w:rPr>
          <w:rFonts w:ascii="Times New Roman" w:hAnsi="Times New Roman" w:cs="Times New Roman"/>
          <w:sz w:val="24"/>
          <w:szCs w:val="24"/>
        </w:rPr>
      </w:pPr>
      <w:r w:rsidRPr="00570450">
        <w:rPr>
          <w:rFonts w:ascii="Times New Roman" w:hAnsi="Times New Roman" w:cs="Times New Roman"/>
          <w:color w:val="000000"/>
          <w:sz w:val="24"/>
          <w:szCs w:val="24"/>
        </w:rPr>
        <w:tab/>
      </w:r>
      <w:r w:rsidRPr="00570450">
        <w:rPr>
          <w:rFonts w:ascii="Times New Roman" w:hAnsi="Times New Roman" w:cs="Times New Roman"/>
          <w:color w:val="000000"/>
          <w:sz w:val="24"/>
          <w:szCs w:val="24"/>
        </w:rPr>
        <w:tab/>
      </w:r>
      <w:r w:rsidRPr="00570450">
        <w:rPr>
          <w:rFonts w:ascii="Times New Roman" w:hAnsi="Times New Roman" w:cs="Times New Roman"/>
          <w:sz w:val="24"/>
          <w:szCs w:val="24"/>
        </w:rPr>
        <w:t xml:space="preserve">b) alimentele pot face obiectul transferului prevăzut la lit. a) oricând în ultimele 10 zile de valabilitate până la data durabilităţii minimale, conform art. 6 alin. (1) din Normele metodologice de aplicare a Legii nr. 217/2016 privind diminuarea risipei alimentare, aprobate prin Hotarârea Guvernului nr. 51/2019; </w:t>
      </w:r>
      <w:r w:rsidRPr="00570450">
        <w:rPr>
          <w:rFonts w:ascii="Times New Roman" w:hAnsi="Times New Roman" w:cs="Times New Roman"/>
          <w:sz w:val="24"/>
          <w:szCs w:val="24"/>
        </w:rPr>
        <w:tab/>
      </w:r>
    </w:p>
    <w:p w:rsidR="00AF594C" w:rsidRPr="00570450" w:rsidRDefault="00AF594C" w:rsidP="00AF594C">
      <w:pPr>
        <w:tabs>
          <w:tab w:val="left" w:pos="90"/>
        </w:tabs>
        <w:jc w:val="both"/>
        <w:rPr>
          <w:rFonts w:ascii="Times New Roman" w:hAnsi="Times New Roman" w:cs="Times New Roman"/>
          <w:sz w:val="24"/>
          <w:szCs w:val="24"/>
        </w:rPr>
      </w:pPr>
      <w:r w:rsidRPr="00570450">
        <w:rPr>
          <w:rFonts w:ascii="Times New Roman" w:hAnsi="Times New Roman" w:cs="Times New Roman"/>
          <w:color w:val="000000"/>
          <w:sz w:val="24"/>
          <w:szCs w:val="24"/>
        </w:rPr>
        <w:tab/>
      </w:r>
      <w:r w:rsidRPr="00570450">
        <w:rPr>
          <w:rFonts w:ascii="Times New Roman" w:hAnsi="Times New Roman" w:cs="Times New Roman"/>
          <w:color w:val="000000"/>
          <w:sz w:val="24"/>
          <w:szCs w:val="24"/>
        </w:rPr>
        <w:tab/>
        <w:t>c) data durabilităţii minimale are înțelesul prevăzut la pct. 4 din Anexa la Legea nr. 217/2016</w:t>
      </w:r>
      <w:r w:rsidR="00F16052">
        <w:rPr>
          <w:rFonts w:ascii="Times New Roman" w:hAnsi="Times New Roman" w:cs="Times New Roman"/>
          <w:color w:val="000000"/>
          <w:sz w:val="24"/>
          <w:szCs w:val="24"/>
        </w:rPr>
        <w:t>,</w:t>
      </w:r>
      <w:r w:rsidR="00F16052" w:rsidRPr="00F16052">
        <w:rPr>
          <w:rFonts w:ascii="Times New Roman" w:hAnsi="Times New Roman" w:cs="Times New Roman"/>
          <w:color w:val="000000"/>
          <w:sz w:val="24"/>
          <w:szCs w:val="24"/>
        </w:rPr>
        <w:t xml:space="preserve"> </w:t>
      </w:r>
      <w:r w:rsidR="00F16052" w:rsidRPr="00570450">
        <w:rPr>
          <w:rFonts w:ascii="Times New Roman" w:hAnsi="Times New Roman" w:cs="Times New Roman"/>
          <w:color w:val="000000"/>
          <w:sz w:val="24"/>
          <w:szCs w:val="24"/>
        </w:rPr>
        <w:t>republicată, cu modificările ulterioare</w:t>
      </w:r>
      <w:r w:rsidRPr="00570450">
        <w:rPr>
          <w:rFonts w:ascii="Times New Roman" w:hAnsi="Times New Roman" w:cs="Times New Roman"/>
          <w:color w:val="000000"/>
          <w:sz w:val="24"/>
          <w:szCs w:val="24"/>
        </w:rPr>
        <w:t>.”</w:t>
      </w:r>
    </w:p>
    <w:p w:rsidR="00AF594C" w:rsidRPr="00570450" w:rsidRDefault="00AF594C" w:rsidP="00AF594C">
      <w:pPr>
        <w:ind w:right="360"/>
        <w:jc w:val="both"/>
        <w:rPr>
          <w:rFonts w:ascii="Times New Roman" w:hAnsi="Times New Roman" w:cs="Times New Roman"/>
          <w:b/>
          <w:bCs/>
          <w:color w:val="000000"/>
          <w:sz w:val="24"/>
          <w:szCs w:val="24"/>
        </w:rPr>
      </w:pPr>
    </w:p>
    <w:p w:rsidR="00AF594C" w:rsidRPr="00570450" w:rsidRDefault="00AF594C" w:rsidP="00AF594C">
      <w:pPr>
        <w:pStyle w:val="ListParagraph"/>
        <w:numPr>
          <w:ilvl w:val="0"/>
          <w:numId w:val="9"/>
        </w:numPr>
        <w:tabs>
          <w:tab w:val="left" w:pos="1080"/>
        </w:tabs>
        <w:ind w:left="0"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capitolul IV, după secțiunea a 4-a, se introduce o nouă secțiune, secțiunea a 5-a, cu următorul cuprins:</w:t>
      </w:r>
    </w:p>
    <w:p w:rsidR="00AF594C" w:rsidRPr="00570450" w:rsidRDefault="00AF594C" w:rsidP="00AF594C">
      <w:pPr>
        <w:ind w:left="142" w:right="360"/>
        <w:jc w:val="both"/>
        <w:rPr>
          <w:rFonts w:ascii="Times New Roman" w:hAnsi="Times New Roman" w:cs="Times New Roman"/>
          <w:sz w:val="24"/>
          <w:szCs w:val="24"/>
        </w:rPr>
      </w:pPr>
      <w:r w:rsidRPr="00570450">
        <w:rPr>
          <w:rFonts w:ascii="Times New Roman" w:hAnsi="Times New Roman" w:cs="Times New Roman"/>
          <w:b/>
          <w:bCs/>
          <w:color w:val="000000"/>
          <w:sz w:val="24"/>
          <w:szCs w:val="24"/>
        </w:rPr>
        <w:t xml:space="preserve">  </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„SECȚIUNEA a 5-a</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Dispoziții comune livrărilor de bunuri și prestărilor de servicii</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bCs/>
          <w:color w:val="000000"/>
          <w:sz w:val="24"/>
          <w:szCs w:val="24"/>
        </w:rPr>
        <w:t>10</w:t>
      </w:r>
      <w:r w:rsidRPr="00570450">
        <w:rPr>
          <w:rFonts w:ascii="Times New Roman" w:hAnsi="Times New Roman" w:cs="Times New Roman"/>
          <w:bCs/>
          <w:color w:val="000000"/>
          <w:sz w:val="24"/>
          <w:szCs w:val="24"/>
          <w:vertAlign w:val="superscript"/>
        </w:rPr>
        <w:t>1</w:t>
      </w:r>
      <w:r w:rsidRPr="00570450">
        <w:rPr>
          <w:rFonts w:ascii="Times New Roman" w:hAnsi="Times New Roman" w:cs="Times New Roman"/>
          <w:bCs/>
          <w:color w:val="000000"/>
          <w:sz w:val="24"/>
          <w:szCs w:val="24"/>
        </w:rPr>
        <w:t>. (1) În sensul art. 274</w:t>
      </w:r>
      <w:r w:rsidRPr="00570450">
        <w:rPr>
          <w:rFonts w:ascii="Times New Roman" w:hAnsi="Times New Roman" w:cs="Times New Roman"/>
          <w:bCs/>
          <w:color w:val="000000"/>
          <w:sz w:val="24"/>
          <w:szCs w:val="24"/>
          <w:vertAlign w:val="superscript"/>
        </w:rPr>
        <w:t>1</w:t>
      </w:r>
      <w:r w:rsidRPr="00570450">
        <w:rPr>
          <w:rFonts w:ascii="Times New Roman" w:hAnsi="Times New Roman" w:cs="Times New Roman"/>
          <w:bCs/>
          <w:color w:val="000000"/>
          <w:sz w:val="24"/>
          <w:szCs w:val="24"/>
        </w:rPr>
        <w:t xml:space="preserve"> din Codul fiscal, cupoanele valorice pot fi în format fizic sau electronic.</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(2) Instrumentele care îi conferă deținătorului dreptul să beneficieze de o reducere la achiziționarea de bunuri sau servicii, dar nu-i conferă dreptul de a primi aceste bunuri sau servicii, nu sunt considerate cupoane valorice în sensul art. 274</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xml:space="preserve"> din Codul fiscal.</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(3) Tichetele pentru care nu se cunosc toate elementele necesare determinării taxei datorate, cum ar fi: tichetele de masă, tichetele de vacanță, tichetele cadou și altele asemenea, sunt considerate cupoane valorice cu scop multiplu.”</w:t>
      </w:r>
    </w:p>
    <w:p w:rsidR="00AF594C" w:rsidRPr="00570450" w:rsidRDefault="00AF594C" w:rsidP="00AF594C">
      <w:pPr>
        <w:ind w:right="360"/>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24, alineatul (7) se modifică şi va avea următorul cuprins:</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iCs/>
          <w:color w:val="000000"/>
          <w:sz w:val="24"/>
          <w:szCs w:val="24"/>
        </w:rPr>
        <w:t>„(7) Avansul perceput pentru transmiterea folosinţei bunurilor în cadrul unui contract de leasing este considerat o rată de leasing, respectiv o prestare de servicii, pentru care faptul generator de taxă intervine conform art. 281 alin. (8) din Codul fiscal, cu excepţia situaţiei în care include şi încasarea în avans a unei părţi din contravaloarea livrării de bunuri care are loc la sfârşitul perioadei de leasing, când se transferă dreptul de proprietate asupra bunului care face obiectul contractului de leasing, conform prevederilor pct. 8 alin. (4).”</w:t>
      </w:r>
    </w:p>
    <w:p w:rsidR="00AF594C" w:rsidRPr="00570450" w:rsidRDefault="00AF594C" w:rsidP="00AF594C">
      <w:pPr>
        <w:ind w:right="360"/>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color w:val="000000"/>
          <w:sz w:val="24"/>
          <w:szCs w:val="24"/>
        </w:rPr>
        <w:t xml:space="preserve">La punctul 32, alineatul (6) se modifică și va avea următorul </w:t>
      </w:r>
      <w:r w:rsidRPr="00570450">
        <w:rPr>
          <w:rFonts w:ascii="Times New Roman" w:hAnsi="Times New Roman" w:cs="Times New Roman"/>
          <w:b/>
          <w:bCs/>
          <w:color w:val="000000"/>
          <w:sz w:val="24"/>
          <w:szCs w:val="24"/>
        </w:rPr>
        <w:t>cuprins:</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„(6) În sensul art. 287 lit. d) din Codul fiscal, în cazul persoanelor care aplică sistemul TVA la încasare se operează anularea taxei neexigibile aferente livrărilor de bunuri/prestărilor de servicii realizate.”</w:t>
      </w:r>
    </w:p>
    <w:p w:rsidR="00AF594C" w:rsidRPr="00570450" w:rsidRDefault="00AF594C" w:rsidP="00AF594C">
      <w:pPr>
        <w:spacing w:line="240" w:lineRule="auto"/>
        <w:ind w:right="360"/>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iCs/>
          <w:color w:val="000000"/>
          <w:sz w:val="24"/>
          <w:szCs w:val="24"/>
        </w:rPr>
        <w:t>La punctul 37, alineatele (3) și (12) se abrogă.</w:t>
      </w:r>
    </w:p>
    <w:p w:rsidR="00AF594C" w:rsidRPr="00570450" w:rsidRDefault="00AF594C" w:rsidP="00AF594C">
      <w:pPr>
        <w:pStyle w:val="ListParagraph"/>
        <w:ind w:left="450" w:right="360"/>
        <w:jc w:val="both"/>
        <w:rPr>
          <w:rFonts w:ascii="Times New Roman" w:hAnsi="Times New Roman" w:cs="Times New Roman"/>
          <w:b/>
          <w:iCs/>
          <w:color w:val="000000"/>
          <w:sz w:val="24"/>
          <w:szCs w:val="24"/>
        </w:rPr>
      </w:pPr>
    </w:p>
    <w:p w:rsidR="00AF594C" w:rsidRPr="00570450" w:rsidRDefault="00AF594C" w:rsidP="00AF594C">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iCs/>
          <w:color w:val="000000"/>
          <w:sz w:val="24"/>
          <w:szCs w:val="24"/>
        </w:rPr>
        <w:t xml:space="preserve">La punctul 37, alineatul (13) se modifică și va avea următorul </w:t>
      </w:r>
      <w:r w:rsidRPr="00570450">
        <w:rPr>
          <w:rFonts w:ascii="Times New Roman" w:hAnsi="Times New Roman" w:cs="Times New Roman"/>
          <w:b/>
          <w:bCs/>
          <w:color w:val="000000"/>
          <w:sz w:val="24"/>
          <w:szCs w:val="24"/>
        </w:rPr>
        <w:t>cuprins:</w:t>
      </w:r>
    </w:p>
    <w:p w:rsidR="00AF594C" w:rsidRPr="00570450" w:rsidRDefault="00AF594C" w:rsidP="00AF594C">
      <w:pPr>
        <w:ind w:right="360"/>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    </w:t>
      </w:r>
      <w:r w:rsidRPr="00570450">
        <w:rPr>
          <w:rFonts w:ascii="Times New Roman" w:hAnsi="Times New Roman" w:cs="Times New Roman"/>
          <w:color w:val="000000"/>
          <w:sz w:val="24"/>
          <w:szCs w:val="24"/>
        </w:rPr>
        <w:tab/>
        <w:t>„(13) În aplicarea art. 291 alin. (2) lit. g) din Codul fiscal, se aplică cota redusă de TVA de 9% de orice persoană care livrează apă de irigaţii care este transportată prin infrastructura principală şi/sau secundară de irigaţii. În categoria persoanelor care livrează apă destinată irigaţiilor se cuprind inclusiv furnizorii de apă din Dunăre, din râuri interioare, izvoare, lacuri de acumulare sau alte surse de apă, care alimentează sistemele de irigaţii.”</w:t>
      </w:r>
    </w:p>
    <w:p w:rsidR="00AF594C" w:rsidRPr="00570450" w:rsidRDefault="00AF594C" w:rsidP="00AF594C">
      <w:pPr>
        <w:ind w:right="360"/>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1080"/>
        </w:tabs>
        <w:ind w:right="360" w:firstLine="270"/>
        <w:jc w:val="both"/>
        <w:rPr>
          <w:rFonts w:ascii="Times New Roman" w:hAnsi="Times New Roman" w:cs="Times New Roman"/>
          <w:sz w:val="24"/>
          <w:szCs w:val="24"/>
        </w:rPr>
      </w:pPr>
      <w:r w:rsidRPr="00570450">
        <w:rPr>
          <w:rFonts w:ascii="Times New Roman" w:hAnsi="Times New Roman" w:cs="Times New Roman"/>
          <w:b/>
          <w:color w:val="000000"/>
          <w:sz w:val="24"/>
          <w:szCs w:val="24"/>
        </w:rPr>
        <w:t xml:space="preserve">Punctul 38 se modifică și va avea </w:t>
      </w:r>
      <w:r w:rsidRPr="00570450">
        <w:rPr>
          <w:rFonts w:ascii="Times New Roman" w:hAnsi="Times New Roman" w:cs="Times New Roman"/>
          <w:b/>
          <w:iCs/>
          <w:color w:val="000000"/>
          <w:sz w:val="24"/>
          <w:szCs w:val="24"/>
        </w:rPr>
        <w:t xml:space="preserve">următorul </w:t>
      </w:r>
      <w:r w:rsidRPr="00570450">
        <w:rPr>
          <w:rFonts w:ascii="Times New Roman" w:hAnsi="Times New Roman" w:cs="Times New Roman"/>
          <w:b/>
          <w:bCs/>
          <w:color w:val="000000"/>
          <w:sz w:val="24"/>
          <w:szCs w:val="24"/>
        </w:rPr>
        <w:t>cuprins:</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„38. (1) Cota redusă de 5% prevăzută la art. 291 alin. (3) lit. a) din Codul fiscal se aplică pentru livrarea de manuale şcolare, cărţi, ziare şi reviste, inclusiv pentru cele înregistrate pe suport electromagnetic sau pe alte tipuri de suporturi. Cărţile şi manualele şcolare sunt tipăriturile care au cod ISBN, inclusiv partiturile muzicale imprimate care au cod ISMN, indiferent de suportul pe care sunt livrate. Ziarele şi revistele sunt orice tipărituri care au cod ISSN, indiferent de suportul pe care sunt livrate. Nu se aplică cota redusă a taxei pe valoarea adăugată pentru livrarea de cărţi, ziare şi reviste care sunt destinate în principal sau exclusiv publicităţii. Prin sintagma "în principal" se înţelege că mai mult de jumătate din conţinutul cărţii, ziarului sau revistei este destinat publicităţii. De asemenea, nu se aplică cota redusă a taxei pentru livrarea de cărţi, ziare şi reviste, în cazul în care acestea sunt furnizate pe cale electronică, operaţiunile fiind considerate prestări de servicii, conform art. 7 alin. (2) din Regulamentul de punere în aplicare (UE) nr. 282/2011 al Consiliului din 15 martie 2011 de stabilire a măsurilor de punere în aplicare a Directivei 2006/112/CE privind sistemul comun al taxei pe valoarea adăugată.</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 (2) Cota redusă de taxă de 5% prevăzută la art. 291 alin. (3) lit. c) din Codul fiscal se aplică numai pentru livrarea, astfel cum este definită la art. 270 alin. (1) din Codul fiscal, a locuinţelor ca parte a politicii sociale, respectiv pentru transferul dreptului de a dispune ca şi un proprietar de bunurile prevăzute la art. 291 alin. (3) lit. c) din Codul fiscal.</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 (3) În aplicarea art. 291 alin. (3) lit. c) pct. 3 din Codul fiscal:</w:t>
      </w:r>
    </w:p>
    <w:p w:rsidR="00AF594C" w:rsidRPr="00570450" w:rsidRDefault="00AF594C" w:rsidP="00AF594C">
      <w:pPr>
        <w:tabs>
          <w:tab w:val="left" w:pos="1080"/>
          <w:tab w:val="left" w:pos="1260"/>
        </w:tabs>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lastRenderedPageBreak/>
        <w:t xml:space="preserve">  a) prin locuinţă se înţelege construcţia alcătuită din una sau mai multe camere de locuit, cu dependinţele, dotările şi utilităţile necesare, care, la data livrării, satisface cerinţele de locuit ale unei persoane ori familii;</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 b) anexele gospodăreşti nu se iau în calculul suprafeţei utile a locuinţei de 120 mp;</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 c) valoarea-limită de 450.000 lei cuprinde valoarea locuinţei, inclusiv valoarea cotelor indivize din părţile comune ale imobilului şi a anexelor gospodăreşti şi, după caz, a terenului pe care este construită locuinţa, dar exclude unele drepturi de servitute legate de locuinţa respectivă;</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(4) Suprafaţa utilă a locuinţei prevăzute la art. 291 alin. (3) lit. c) pct. 3 din Codul fiscal trebuie să fie înscrisă în documentaţia cadastrală anexată la actul de vânzare-cumpărare încheiat în condiţiile legii.</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(5) Persoanele impozabile care livrează locuinţe vor aplica cota de 5%, inclusiv pentru avansurile aferente acestor livrări, dacă din contractele încheiate rezultă că la momentul livrării vor fi îndeplinite toate condiţiile impuse de art. 291 alin. (3) lit. c) din Codul fiscal. În situaţia în care avansurile au fost facturate prin aplicarea cotei standard de TVA, la livrarea bunului imobil se efectuează regularizările prevăzute la art. 291 alin. (4) din Codul fiscal în vederea aplicării cotei de 5%, dacă toate condiţiile impuse de art. 291 alin. (3) lit. c) din Codul fiscal, astfel cum sunt detaliate şi de prezentele norme metodologice, sunt îndeplinite la data livrării.</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(6) Pentru clădirile prevăzute la art. 291 alin. (3) lit. c) pct. 1, 2 şi 4 din Codul fiscal, cumpărătorul va pune la dispoziţia vânzătorului o declaraţie pe propria răspundere, autentificată de un notar, din care să rezulte că va utiliza aceste clădiri conform destinaţiei prevăzute de lege, care se păstrează de vânzător pentru justificarea aplicării cotei reduse de TVA de 5%. Declaraţia trebuie prezentată cel mai târziu până la momentul livrării clădirii respective. Prevederile art. 291 alin. (3) lit. c) pct. 1, 2 şi 4 din Codul fiscal se aplică şi în cazul livrării de părţi dintr-o clădire destinate scopurilor respective.</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(7) În sensul art. 291 alin. (3) lit. d) din Codul fiscal, prin cazare în cadrul sectorului hotelier sau al sectoarelor cu funcţie similară se înţelege cazarea în structurile de primire turistice cu funcţiuni de cazare turistică prevăzute la art. 2 lit. d) din Ordonanţa Guvernului nr. 58/1998 privind organizarea şi desfăşurarea activităţii de turism în România, aprobată cu modificări şi completări prin Legea nr. 755/2001, cu modificările şi completările ulterioare. Cota redusă de taxă de 5% prevăzută la art. 291 alin. (3) lit. d) din Codul fiscal se aplică pentru tipurile de cazare în structurile de primire turistică cu funcţiune de cazare, prevăzute la art. 2</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xml:space="preserve"> din Ordonanţa Guvernului nr. 58/1998, aprobată cu modificări şi completări prin Legea nr. 755/2001, cu modificările şi completările ulterioare. În cazul cazării cu demipensiune, cu pensiune completă sau cu "all inclusive", astfel cum sunt definite la art. 2</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xml:space="preserve"> din Ordonanţa Guvernului nr. 58/1998, aprobată cu modificări şi </w:t>
      </w:r>
      <w:r w:rsidRPr="00570450">
        <w:rPr>
          <w:rFonts w:ascii="Times New Roman" w:hAnsi="Times New Roman" w:cs="Times New Roman"/>
          <w:color w:val="000000"/>
          <w:sz w:val="24"/>
          <w:szCs w:val="24"/>
        </w:rPr>
        <w:lastRenderedPageBreak/>
        <w:t>completări prin Legea nr. 755/2001, cu modificările şi completările ulterioare, cota redusă de TVA se aplică asupra preţului total al cazării, care poate include şi băuturi alcoolice. Orice persoană care acţionează în condiţiile prevăzute la pct. 8 alin. (2) sau care intermediază astfel de operaţiuni în nume propriu, dar în contul altei persoane, potrivit art. 271 alin. (2) din Codul fiscal, aplică cota de 5% a taxei, cu excepţia situaţiilor în care este obligatorie aplicarea regimului special de taxă pentru agenţii de turism, prevăzut la art. 311 din Codul fiscal.</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(8) În aplicarea art. 291 alin. (3) lit. e) din Codul fiscal, prin servicii de restaurant şi de catering se înţelege serviciile prevăzute la pct. 18. Orice combinaţie de băuturi alcoolice şi nealcoolice, indiferent de concentraţia alcoolică, este considerată băutură alcoolică. Pentru băuturile alcoolice servite la restaurant sau oferite în cazul serviciilor de catering se aplică cota standard de TVA, dar nu se consideră că are loc o livrare separată de bunuri, oferirea de băuturi alcoolice făcând parte din serviciile de restaurant sau de catering.</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color w:val="000000"/>
          <w:sz w:val="24"/>
          <w:szCs w:val="24"/>
        </w:rPr>
        <w:t>Exemplu: Un restaurant care vinde şi mâncare pentru a fi servită în afara locaţiei restaurantului nu realizează o prestare de servicii de restaurant, ci o livrare de bunuri, pentru care aplică cota redusă de TVA de 9%, inclusiv pentru caserola sau paharele în care sunt servite alimentele sau băuturile nealcoolice, chiar dacă contravaloarea acestora ar fi evidenţiată separat pe bonul fiscal. În acest caz se consideră că livrarea alimentelor este livrarea principală care atrage aceeaşi cotă de TVA livrării caserolei sau a paharului, acestea fiind livrări accesorii, nu un scop în sine pentru client.</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iCs/>
          <w:color w:val="000000"/>
          <w:sz w:val="24"/>
          <w:szCs w:val="24"/>
        </w:rPr>
        <w:t>(9) În situaţia în care se comercializează un pachet care cuprinde bunuri/servicii supuse atât cotei reduse de TVA, cât şi cotei standard de TVA şi se poate stabili o operaţiune principală, cota de TVA aplicabilă pachetului este cota de TVA aplicabilă operaţiunii principale, conform pct. 23 alin. (1) lit. b), chiar dacă preţul fiecărui element care compune preţul total plătit de un consumator pentru a putea beneficia de această prestaţie poate fi identificat, astfel cum s-a pronunţat şi Curtea Europeană de Justiţie în Cauza C-463/16 Stadion Amsterdam CV.</w:t>
      </w:r>
    </w:p>
    <w:p w:rsidR="00AF594C" w:rsidRPr="00570450" w:rsidRDefault="00AF594C" w:rsidP="00AF594C">
      <w:pPr>
        <w:ind w:right="360" w:firstLine="708"/>
        <w:jc w:val="both"/>
        <w:rPr>
          <w:rFonts w:ascii="Times New Roman" w:hAnsi="Times New Roman" w:cs="Times New Roman"/>
          <w:sz w:val="24"/>
          <w:szCs w:val="24"/>
        </w:rPr>
      </w:pPr>
      <w:r w:rsidRPr="00570450">
        <w:rPr>
          <w:rFonts w:ascii="Times New Roman" w:hAnsi="Times New Roman" w:cs="Times New Roman"/>
          <w:iCs/>
          <w:color w:val="000000"/>
          <w:sz w:val="24"/>
          <w:szCs w:val="24"/>
        </w:rPr>
        <w:t>Exemplu: O persoană impozabilă înregistrată în scopuri de TVA oferă posibilitatea achiziţionării unui pachet de bunuri şi servicii constând în acces la un eveniment sportiv şi facilităţi în cadrul evenimentului sportiv, precum: servicii de catering/restaurant, produse alimentare, acces la parcare. În această situaţie, chiar dacă preţul fiecărui element care compune preţul total plătit de un consumator pentru a putea beneficia de această prestaţie ar putea fi identificat, cota de TVA aplicabilă pachetului este de 5%, respectiv cota de TVA aferentă accesului la evenimentul sportiv care reprezintă prestaţia principală.</w:t>
      </w:r>
      <w:r w:rsidRPr="00570450">
        <w:rPr>
          <w:rFonts w:ascii="Times New Roman" w:hAnsi="Times New Roman" w:cs="Times New Roman"/>
          <w:color w:val="000000"/>
          <w:sz w:val="24"/>
          <w:szCs w:val="24"/>
        </w:rPr>
        <w:t>”</w:t>
      </w:r>
    </w:p>
    <w:p w:rsidR="00AF594C" w:rsidRPr="00570450" w:rsidRDefault="00AF594C" w:rsidP="00AF594C">
      <w:pPr>
        <w:ind w:right="360" w:firstLine="708"/>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720"/>
          <w:tab w:val="left" w:pos="990"/>
          <w:tab w:val="left" w:pos="1170"/>
        </w:tabs>
        <w:ind w:left="0" w:right="36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52, după alineatul (3), se introduce un alineat nou, alineatul (3</w:t>
      </w:r>
      <w:r w:rsidRPr="00570450">
        <w:rPr>
          <w:rFonts w:ascii="Times New Roman" w:hAnsi="Times New Roman" w:cs="Times New Roman"/>
          <w:b/>
          <w:bCs/>
          <w:color w:val="000000"/>
          <w:sz w:val="24"/>
          <w:szCs w:val="24"/>
          <w:vertAlign w:val="superscript"/>
        </w:rPr>
        <w:t>1</w:t>
      </w:r>
      <w:r w:rsidRPr="00570450">
        <w:rPr>
          <w:rFonts w:ascii="Times New Roman" w:hAnsi="Times New Roman" w:cs="Times New Roman"/>
          <w:b/>
          <w:bCs/>
          <w:color w:val="000000"/>
          <w:sz w:val="24"/>
          <w:szCs w:val="24"/>
        </w:rPr>
        <w:t xml:space="preserve">), cu următorul cuprins: </w:t>
      </w:r>
    </w:p>
    <w:p w:rsidR="00AF594C" w:rsidRPr="00570450" w:rsidRDefault="00AF594C" w:rsidP="00AF594C">
      <w:pPr>
        <w:pStyle w:val="ListParagraph"/>
        <w:ind w:left="450" w:right="360"/>
        <w:jc w:val="both"/>
        <w:rPr>
          <w:rFonts w:ascii="Times New Roman" w:hAnsi="Times New Roman" w:cs="Times New Roman"/>
          <w:color w:val="000000"/>
          <w:sz w:val="24"/>
          <w:szCs w:val="24"/>
        </w:rPr>
      </w:pPr>
    </w:p>
    <w:p w:rsidR="00AF594C" w:rsidRPr="00570450" w:rsidRDefault="00AF594C" w:rsidP="00AF594C">
      <w:pPr>
        <w:tabs>
          <w:tab w:val="left" w:pos="720"/>
        </w:tabs>
        <w:jc w:val="both"/>
        <w:rPr>
          <w:rFonts w:ascii="Times New Roman" w:hAnsi="Times New Roman" w:cs="Times New Roman"/>
          <w:sz w:val="24"/>
          <w:szCs w:val="24"/>
        </w:rPr>
      </w:pPr>
      <w:r w:rsidRPr="00570450">
        <w:rPr>
          <w:rFonts w:ascii="Times New Roman" w:hAnsi="Times New Roman" w:cs="Times New Roman"/>
          <w:color w:val="000000"/>
          <w:sz w:val="24"/>
          <w:szCs w:val="24"/>
        </w:rPr>
        <w:tab/>
        <w:t>„(3</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Se cuprind în sfera operațiunilor scutite conform art. 292 alin. (2) lit. a) pct. 1 și 2 din Codul fiscal și operațiunile de administrare a creditelor și/sau administrare a garanțiilor de credit, efectuate de către una dintre instituțiile financiare care acordă creditul sindicalizat și care este desemnată de ceilalți participanți la contractul de credit sindicalizat pentru administrarea creditului/ administrarea garanțiilor de credit.”</w:t>
      </w:r>
    </w:p>
    <w:p w:rsidR="00AF594C" w:rsidRPr="00570450" w:rsidRDefault="00AF594C" w:rsidP="00AF594C">
      <w:pPr>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1170"/>
        </w:tabs>
        <w:ind w:left="0" w:firstLine="720"/>
        <w:jc w:val="both"/>
        <w:rPr>
          <w:rFonts w:ascii="Times New Roman" w:hAnsi="Times New Roman" w:cs="Times New Roman"/>
          <w:sz w:val="24"/>
          <w:szCs w:val="24"/>
        </w:rPr>
      </w:pPr>
      <w:r w:rsidRPr="00570450">
        <w:rPr>
          <w:rFonts w:ascii="Times New Roman" w:hAnsi="Times New Roman" w:cs="Times New Roman"/>
          <w:b/>
          <w:bCs/>
          <w:color w:val="000000"/>
          <w:sz w:val="24"/>
          <w:szCs w:val="24"/>
        </w:rPr>
        <w:t>La punctul 52</w:t>
      </w:r>
      <w:r w:rsidRPr="00570450">
        <w:rPr>
          <w:rFonts w:ascii="Times New Roman" w:hAnsi="Times New Roman" w:cs="Times New Roman"/>
          <w:b/>
          <w:color w:val="000000"/>
          <w:sz w:val="24"/>
          <w:szCs w:val="24"/>
        </w:rPr>
        <w:t xml:space="preserve"> alineatul (21), litera b) se </w:t>
      </w:r>
      <w:r w:rsidRPr="00570450">
        <w:rPr>
          <w:rFonts w:ascii="Times New Roman" w:hAnsi="Times New Roman" w:cs="Times New Roman"/>
          <w:b/>
          <w:bCs/>
          <w:color w:val="000000"/>
          <w:sz w:val="24"/>
          <w:szCs w:val="24"/>
        </w:rPr>
        <w:t>modifică și va avea următorul cuprins:</w:t>
      </w:r>
    </w:p>
    <w:p w:rsidR="00AF594C" w:rsidRPr="00570450" w:rsidRDefault="00AF594C" w:rsidP="00AF594C">
      <w:pPr>
        <w:shd w:val="clear" w:color="auto" w:fill="FFFFFF"/>
        <w:spacing w:before="225" w:after="225" w:line="345" w:lineRule="atLeast"/>
        <w:ind w:left="60" w:firstLine="645"/>
        <w:jc w:val="both"/>
        <w:textAlignment w:val="top"/>
        <w:rPr>
          <w:rFonts w:ascii="Times New Roman" w:hAnsi="Times New Roman" w:cs="Times New Roman"/>
          <w:sz w:val="24"/>
          <w:szCs w:val="24"/>
        </w:rPr>
      </w:pPr>
      <w:r w:rsidRPr="00570450">
        <w:rPr>
          <w:rFonts w:ascii="Times New Roman" w:hAnsi="Times New Roman" w:cs="Times New Roman"/>
          <w:color w:val="000000"/>
          <w:sz w:val="24"/>
          <w:szCs w:val="24"/>
        </w:rPr>
        <w:t>„b) fondurile de pensii administrate privat, fondurile de pensii facultative și fondurile de pensii ocupaționale."</w:t>
      </w:r>
    </w:p>
    <w:p w:rsidR="00AF594C" w:rsidRPr="00570450" w:rsidRDefault="00AF594C" w:rsidP="00AF594C">
      <w:pPr>
        <w:pStyle w:val="ListParagraph"/>
        <w:numPr>
          <w:ilvl w:val="0"/>
          <w:numId w:val="9"/>
        </w:numPr>
        <w:tabs>
          <w:tab w:val="left" w:pos="1170"/>
          <w:tab w:val="left" w:pos="1350"/>
        </w:tabs>
        <w:ind w:right="360" w:firstLine="270"/>
        <w:jc w:val="both"/>
        <w:rPr>
          <w:rFonts w:ascii="Times New Roman" w:hAnsi="Times New Roman" w:cs="Times New Roman"/>
          <w:sz w:val="24"/>
          <w:szCs w:val="24"/>
        </w:rPr>
      </w:pPr>
      <w:r w:rsidRPr="00570450">
        <w:rPr>
          <w:rFonts w:ascii="Times New Roman" w:hAnsi="Times New Roman" w:cs="Times New Roman"/>
          <w:b/>
          <w:iCs/>
          <w:color w:val="000000"/>
          <w:sz w:val="24"/>
          <w:szCs w:val="24"/>
        </w:rPr>
        <w:t>La punctul 78, alineatul (11) se modifică și va avea următorul cuprins</w:t>
      </w:r>
      <w:r w:rsidRPr="00570450">
        <w:rPr>
          <w:rFonts w:ascii="Times New Roman" w:hAnsi="Times New Roman" w:cs="Times New Roman"/>
          <w:b/>
          <w:bCs/>
          <w:color w:val="000000"/>
          <w:sz w:val="24"/>
          <w:szCs w:val="24"/>
        </w:rPr>
        <w:t>:</w:t>
      </w: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iCs/>
          <w:color w:val="000000"/>
          <w:sz w:val="24"/>
          <w:szCs w:val="24"/>
        </w:rPr>
        <w:t xml:space="preserve">„(11) </w:t>
      </w:r>
      <w:r w:rsidRPr="00570450">
        <w:rPr>
          <w:rFonts w:ascii="Times New Roman" w:hAnsi="Times New Roman" w:cs="Times New Roman"/>
          <w:bCs/>
          <w:color w:val="000000"/>
          <w:sz w:val="24"/>
          <w:szCs w:val="24"/>
        </w:rPr>
        <w:t>Situaţiile menţionate la alin. (10) nu sunt exhaustive, în orice altă situaţie în care persoana impozabilă aduce suficiente dovezi că bunurile sunt distruse, pierdute sau furate, nu are obligaţia ajustării taxei. De asemenea, situaţiile menţionate la alin. (10) pot fi aplicate cumulativ, de exemplu, pentru un stoc de produse există o pierdere datorată unor perisabilităţi, dar stocul respectiv poate fi distrus ca urmare a degradării calitative, ceea ce conduce la neajustarea taxei</w:t>
      </w:r>
      <w:r w:rsidRPr="00570450">
        <w:rPr>
          <w:rFonts w:ascii="Times New Roman" w:hAnsi="Times New Roman" w:cs="Times New Roman"/>
          <w:iCs/>
          <w:color w:val="000000"/>
          <w:sz w:val="24"/>
          <w:szCs w:val="24"/>
        </w:rPr>
        <w:t>.”</w:t>
      </w:r>
    </w:p>
    <w:p w:rsidR="00AF594C" w:rsidRPr="00570450" w:rsidRDefault="00AF594C" w:rsidP="00AF594C">
      <w:pPr>
        <w:spacing w:line="240" w:lineRule="auto"/>
        <w:ind w:right="360"/>
        <w:jc w:val="both"/>
        <w:rPr>
          <w:rFonts w:ascii="Times New Roman" w:hAnsi="Times New Roman" w:cs="Times New Roman"/>
          <w:color w:val="000000"/>
          <w:sz w:val="24"/>
          <w:szCs w:val="24"/>
        </w:rPr>
      </w:pPr>
    </w:p>
    <w:p w:rsidR="00AF594C" w:rsidRPr="00570450" w:rsidRDefault="00AF594C" w:rsidP="00AF594C">
      <w:pPr>
        <w:pStyle w:val="ListParagraph"/>
        <w:numPr>
          <w:ilvl w:val="0"/>
          <w:numId w:val="9"/>
        </w:numPr>
        <w:tabs>
          <w:tab w:val="left" w:pos="284"/>
          <w:tab w:val="left" w:pos="1080"/>
          <w:tab w:val="left" w:pos="1170"/>
        </w:tabs>
        <w:spacing w:line="240" w:lineRule="auto"/>
        <w:ind w:left="0" w:right="360" w:firstLine="720"/>
        <w:jc w:val="both"/>
        <w:rPr>
          <w:rFonts w:ascii="Times New Roman" w:hAnsi="Times New Roman" w:cs="Times New Roman"/>
          <w:sz w:val="24"/>
          <w:szCs w:val="24"/>
        </w:rPr>
      </w:pPr>
      <w:r w:rsidRPr="00570450">
        <w:rPr>
          <w:rFonts w:ascii="Times New Roman" w:hAnsi="Times New Roman" w:cs="Times New Roman"/>
          <w:b/>
          <w:color w:val="000000"/>
          <w:sz w:val="24"/>
          <w:szCs w:val="24"/>
        </w:rPr>
        <w:t xml:space="preserve">   La punctul 79, după alineatul (14), se introduce un nou alineat, alineatul (14</w:t>
      </w:r>
      <w:r w:rsidRPr="00570450">
        <w:rPr>
          <w:rFonts w:ascii="Times New Roman" w:hAnsi="Times New Roman" w:cs="Times New Roman"/>
          <w:b/>
          <w:color w:val="000000"/>
          <w:sz w:val="24"/>
          <w:szCs w:val="24"/>
          <w:vertAlign w:val="superscript"/>
        </w:rPr>
        <w:t>1</w:t>
      </w:r>
      <w:r w:rsidRPr="00570450">
        <w:rPr>
          <w:rFonts w:ascii="Times New Roman" w:hAnsi="Times New Roman" w:cs="Times New Roman"/>
          <w:b/>
          <w:color w:val="000000"/>
          <w:sz w:val="24"/>
          <w:szCs w:val="24"/>
        </w:rPr>
        <w:t>), cu următorul cuprins:</w:t>
      </w:r>
    </w:p>
    <w:p w:rsidR="00AF594C" w:rsidRPr="00570450" w:rsidRDefault="00AF594C" w:rsidP="00AF594C">
      <w:pPr>
        <w:ind w:left="284" w:right="360"/>
        <w:jc w:val="both"/>
        <w:rPr>
          <w:rFonts w:ascii="Times New Roman" w:hAnsi="Times New Roman" w:cs="Times New Roman"/>
          <w:b/>
          <w:iCs/>
          <w:color w:val="000000"/>
          <w:sz w:val="24"/>
          <w:szCs w:val="24"/>
        </w:rPr>
      </w:pPr>
    </w:p>
    <w:p w:rsidR="00AF594C" w:rsidRPr="00570450" w:rsidRDefault="00AF594C" w:rsidP="00AF594C">
      <w:pPr>
        <w:ind w:right="360" w:firstLine="720"/>
        <w:jc w:val="both"/>
        <w:rPr>
          <w:rFonts w:ascii="Times New Roman" w:hAnsi="Times New Roman" w:cs="Times New Roman"/>
          <w:sz w:val="24"/>
          <w:szCs w:val="24"/>
        </w:rPr>
      </w:pPr>
      <w:r w:rsidRPr="00570450">
        <w:rPr>
          <w:rFonts w:ascii="Times New Roman" w:hAnsi="Times New Roman" w:cs="Times New Roman"/>
          <w:iCs/>
          <w:color w:val="000000"/>
          <w:sz w:val="24"/>
          <w:szCs w:val="24"/>
        </w:rPr>
        <w:t>„(14</w:t>
      </w:r>
      <w:r w:rsidRPr="00570450">
        <w:rPr>
          <w:rFonts w:ascii="Times New Roman" w:hAnsi="Times New Roman" w:cs="Times New Roman"/>
          <w:iCs/>
          <w:color w:val="000000"/>
          <w:sz w:val="24"/>
          <w:szCs w:val="24"/>
          <w:vertAlign w:val="superscript"/>
        </w:rPr>
        <w:t>1</w:t>
      </w:r>
      <w:r w:rsidRPr="00570450">
        <w:rPr>
          <w:rFonts w:ascii="Times New Roman" w:hAnsi="Times New Roman" w:cs="Times New Roman"/>
          <w:iCs/>
          <w:color w:val="000000"/>
          <w:sz w:val="24"/>
          <w:szCs w:val="24"/>
        </w:rPr>
        <w:t>) În situația în care bunurile de capital au fost utilizate pentru realizarea de operațiuni cu drept de deducere, altele decât cele constând în livrarea în regim de taxare a bunurilor respective, în perioada în care persoanele impozabile au avut codul de TVA anulat conform art. 316 alin. (11) lit. a) - e) şi h) din Codul fiscal, acestea au dreptul, după reînregistrarea în scopuri de TVA, să efectueze o ajustare pozitivă pentru o cincime sau o douăzecime din taxa dedusă iniţial pentru fiecare an din perioda în care au avut codul de TVA anulat și în care bunurile de capital au fost utilizate pentru realizarea de operațiuni cu drept de deducere. Ajustarea se reflectă în primul decont de taxă depus după înregistrarea în scopuri de TVA a persoanei impozabile sau, după caz, într-un decont ulterior.”</w:t>
      </w:r>
    </w:p>
    <w:p w:rsidR="00AF594C" w:rsidRPr="00570450" w:rsidRDefault="00AF594C" w:rsidP="00AF594C">
      <w:pPr>
        <w:ind w:right="360" w:firstLine="720"/>
        <w:jc w:val="both"/>
        <w:rPr>
          <w:rFonts w:ascii="Times New Roman" w:hAnsi="Times New Roman" w:cs="Times New Roman"/>
          <w:iCs/>
          <w:color w:val="000000"/>
          <w:sz w:val="24"/>
          <w:szCs w:val="24"/>
        </w:rPr>
      </w:pPr>
    </w:p>
    <w:p w:rsidR="00AF594C" w:rsidRPr="00570450" w:rsidRDefault="00AF594C" w:rsidP="00AF594C">
      <w:pPr>
        <w:pStyle w:val="ListParagraph"/>
        <w:numPr>
          <w:ilvl w:val="0"/>
          <w:numId w:val="9"/>
        </w:numPr>
        <w:tabs>
          <w:tab w:val="left" w:pos="1170"/>
          <w:tab w:val="left" w:pos="1260"/>
        </w:tabs>
        <w:ind w:right="360" w:firstLine="270"/>
        <w:jc w:val="both"/>
        <w:rPr>
          <w:rFonts w:ascii="Times New Roman" w:hAnsi="Times New Roman" w:cs="Times New Roman"/>
          <w:sz w:val="24"/>
          <w:szCs w:val="24"/>
        </w:rPr>
      </w:pPr>
      <w:r w:rsidRPr="00570450">
        <w:rPr>
          <w:rFonts w:ascii="Times New Roman" w:hAnsi="Times New Roman" w:cs="Times New Roman"/>
          <w:b/>
          <w:color w:val="000000"/>
          <w:sz w:val="24"/>
          <w:szCs w:val="24"/>
        </w:rPr>
        <w:t>La punctul 83, alineatul (4) se abrogă.</w:t>
      </w:r>
    </w:p>
    <w:p w:rsidR="00AF594C" w:rsidRPr="00570450" w:rsidRDefault="00AF594C" w:rsidP="00AF594C">
      <w:pPr>
        <w:pStyle w:val="ListParagraph"/>
        <w:tabs>
          <w:tab w:val="left" w:pos="1170"/>
          <w:tab w:val="left" w:pos="1260"/>
        </w:tabs>
        <w:ind w:right="360"/>
        <w:jc w:val="both"/>
        <w:rPr>
          <w:rFonts w:ascii="Times New Roman" w:hAnsi="Times New Roman" w:cs="Times New Roman"/>
          <w:b/>
          <w:color w:val="000000"/>
          <w:sz w:val="24"/>
          <w:szCs w:val="24"/>
        </w:rPr>
      </w:pPr>
    </w:p>
    <w:p w:rsidR="00AF594C" w:rsidRPr="00570450" w:rsidRDefault="00AF594C" w:rsidP="00AF594C">
      <w:pPr>
        <w:pStyle w:val="ListParagraph"/>
        <w:numPr>
          <w:ilvl w:val="0"/>
          <w:numId w:val="9"/>
        </w:numPr>
        <w:tabs>
          <w:tab w:val="left" w:pos="1170"/>
          <w:tab w:val="left" w:pos="1260"/>
        </w:tabs>
        <w:ind w:left="0" w:right="360" w:firstLine="720"/>
        <w:jc w:val="both"/>
        <w:rPr>
          <w:rFonts w:ascii="Times New Roman" w:hAnsi="Times New Roman" w:cs="Times New Roman"/>
          <w:sz w:val="24"/>
          <w:szCs w:val="24"/>
        </w:rPr>
      </w:pPr>
      <w:r w:rsidRPr="00570450">
        <w:rPr>
          <w:rFonts w:ascii="Times New Roman" w:hAnsi="Times New Roman" w:cs="Times New Roman"/>
          <w:b/>
          <w:sz w:val="24"/>
          <w:szCs w:val="24"/>
        </w:rPr>
        <w:t>La punctul 88, alineatul (1), literele c) și d) se modifică și vor avea următorul cuprins:</w:t>
      </w:r>
    </w:p>
    <w:p w:rsidR="00AF594C" w:rsidRPr="00570450" w:rsidRDefault="00AF594C" w:rsidP="00AF594C">
      <w:pPr>
        <w:pStyle w:val="ListParagraph"/>
        <w:tabs>
          <w:tab w:val="left" w:pos="720"/>
          <w:tab w:val="left" w:pos="1260"/>
        </w:tabs>
        <w:ind w:left="0" w:right="360"/>
        <w:jc w:val="both"/>
        <w:rPr>
          <w:rFonts w:ascii="Times New Roman" w:hAnsi="Times New Roman" w:cs="Times New Roman"/>
          <w:sz w:val="24"/>
          <w:szCs w:val="24"/>
        </w:rPr>
      </w:pPr>
      <w:r w:rsidRPr="00570450">
        <w:rPr>
          <w:rFonts w:ascii="Times New Roman" w:hAnsi="Times New Roman" w:cs="Times New Roman"/>
          <w:sz w:val="24"/>
          <w:szCs w:val="24"/>
          <w:lang w:val="en-US"/>
        </w:rPr>
        <w:tab/>
        <w:t>“</w:t>
      </w:r>
      <w:r w:rsidRPr="00570450">
        <w:rPr>
          <w:rFonts w:ascii="Times New Roman" w:hAnsi="Times New Roman" w:cs="Times New Roman"/>
          <w:sz w:val="24"/>
          <w:szCs w:val="24"/>
        </w:rPr>
        <w:t>c) prima zi a lunii următoare celei în care persoana impozabilă solicită înregistrarea, în cazurile prevăzute la art. 316 alin. (1) lit. b) și c) din Codul fiscal;</w:t>
      </w:r>
    </w:p>
    <w:p w:rsidR="00AF594C" w:rsidRPr="00570450" w:rsidRDefault="00AF594C" w:rsidP="00AF594C">
      <w:pPr>
        <w:ind w:right="360"/>
        <w:jc w:val="both"/>
        <w:rPr>
          <w:rFonts w:ascii="Times New Roman" w:hAnsi="Times New Roman" w:cs="Times New Roman"/>
          <w:sz w:val="24"/>
          <w:szCs w:val="24"/>
        </w:rPr>
      </w:pPr>
      <w:r w:rsidRPr="00570450">
        <w:rPr>
          <w:rFonts w:ascii="Times New Roman" w:hAnsi="Times New Roman" w:cs="Times New Roman"/>
          <w:sz w:val="24"/>
          <w:szCs w:val="24"/>
          <w:lang w:val="en-US"/>
        </w:rPr>
        <w:lastRenderedPageBreak/>
        <w:tab/>
        <w:t>d) data comunicării certificatului de înregistrare în scopuri de TVA sau a deciziei privind înregistrarea, din oficiu, în scopuri de TVA, în cazurile prevăzute la art. 316 alin. (1) lit. a) şi alin. (10) din Codul fiscal.”</w:t>
      </w:r>
    </w:p>
    <w:p w:rsidR="00AF594C" w:rsidRPr="00570450" w:rsidRDefault="00AF594C" w:rsidP="00AF594C">
      <w:pPr>
        <w:tabs>
          <w:tab w:val="left" w:pos="1170"/>
          <w:tab w:val="left" w:pos="1260"/>
        </w:tabs>
        <w:ind w:right="360"/>
        <w:jc w:val="both"/>
        <w:rPr>
          <w:rFonts w:ascii="Times New Roman" w:hAnsi="Times New Roman" w:cs="Times New Roman"/>
          <w:b/>
          <w:sz w:val="24"/>
          <w:szCs w:val="24"/>
        </w:rPr>
      </w:pPr>
    </w:p>
    <w:p w:rsidR="00AF594C" w:rsidRPr="00570450" w:rsidRDefault="00AF594C" w:rsidP="00AF594C">
      <w:pPr>
        <w:pStyle w:val="ListParagraph"/>
        <w:numPr>
          <w:ilvl w:val="0"/>
          <w:numId w:val="9"/>
        </w:numPr>
        <w:tabs>
          <w:tab w:val="left" w:pos="1170"/>
          <w:tab w:val="left" w:pos="1260"/>
        </w:tabs>
        <w:ind w:right="360" w:firstLine="270"/>
        <w:jc w:val="both"/>
        <w:rPr>
          <w:rFonts w:ascii="Times New Roman" w:hAnsi="Times New Roman" w:cs="Times New Roman"/>
          <w:sz w:val="24"/>
          <w:szCs w:val="24"/>
        </w:rPr>
      </w:pPr>
      <w:r w:rsidRPr="00570450">
        <w:rPr>
          <w:rFonts w:ascii="Times New Roman" w:hAnsi="Times New Roman" w:cs="Times New Roman"/>
          <w:b/>
          <w:sz w:val="24"/>
          <w:szCs w:val="24"/>
        </w:rPr>
        <w:t>La punctul 88, alineatul (20) se modifică și va avea următorul cuprins:</w:t>
      </w:r>
    </w:p>
    <w:p w:rsidR="00AF594C" w:rsidRPr="00570450" w:rsidRDefault="00AF594C" w:rsidP="00AF594C">
      <w:pPr>
        <w:pStyle w:val="ListParagraph"/>
        <w:ind w:left="90" w:right="360" w:hanging="90"/>
        <w:jc w:val="both"/>
        <w:rPr>
          <w:rFonts w:ascii="Times New Roman" w:hAnsi="Times New Roman" w:cs="Times New Roman"/>
          <w:sz w:val="24"/>
          <w:szCs w:val="24"/>
        </w:rPr>
      </w:pPr>
      <w:r w:rsidRPr="00570450">
        <w:rPr>
          <w:rFonts w:ascii="Times New Roman" w:hAnsi="Times New Roman" w:cs="Times New Roman"/>
          <w:sz w:val="24"/>
          <w:szCs w:val="24"/>
        </w:rPr>
        <w:tab/>
      </w:r>
      <w:r w:rsidRPr="00570450">
        <w:rPr>
          <w:rFonts w:ascii="Times New Roman" w:hAnsi="Times New Roman" w:cs="Times New Roman"/>
          <w:sz w:val="24"/>
          <w:szCs w:val="24"/>
        </w:rPr>
        <w:tab/>
        <w:t>“(20) În aplicarea art. 316 alin. (12) din Codul fiscal, criteriile pentru evaluarea riscului fiscal în cazul persoanelor impozabile, societăţi cu sediul activităţii economice în România, înfiinţate în baza Legii nr. 31/1990, republicată, cu modificările şi completările ulterioare, care solicită înregistrarea în scopuri de TVA potrivit art. 316 alin. (12) lit. e) din Codul fiscal şi cărora le-a fost anulată înregistrarea în scopuri de TVA potrivit art. 316 alin. (11) lit. h) din Codul fiscal în baza procedurii de evaluare a intenţiei şi capacităţii de a desfăşura activităţi economice în sfera de aplicare a TVA, sunt prevăzute în anexa nr. 5, care face parte integrantă din prezentele norme metodologice.”</w:t>
      </w:r>
    </w:p>
    <w:p w:rsidR="00AF594C" w:rsidRPr="00570450" w:rsidRDefault="00AF594C" w:rsidP="00AF594C">
      <w:pPr>
        <w:pStyle w:val="ListParagraph"/>
        <w:tabs>
          <w:tab w:val="left" w:pos="1170"/>
          <w:tab w:val="left" w:pos="1260"/>
        </w:tabs>
        <w:ind w:right="360"/>
        <w:jc w:val="both"/>
        <w:rPr>
          <w:rFonts w:ascii="Times New Roman" w:hAnsi="Times New Roman" w:cs="Times New Roman"/>
          <w:b/>
          <w:color w:val="000000"/>
          <w:sz w:val="24"/>
          <w:szCs w:val="24"/>
        </w:rPr>
      </w:pPr>
    </w:p>
    <w:p w:rsidR="00AF594C" w:rsidRPr="00570450" w:rsidRDefault="00AF594C" w:rsidP="00AF594C">
      <w:pPr>
        <w:pStyle w:val="ListParagraph"/>
        <w:numPr>
          <w:ilvl w:val="0"/>
          <w:numId w:val="9"/>
        </w:numPr>
        <w:tabs>
          <w:tab w:val="left" w:pos="1170"/>
          <w:tab w:val="left" w:pos="1260"/>
        </w:tabs>
        <w:ind w:right="360" w:firstLine="270"/>
        <w:jc w:val="both"/>
        <w:rPr>
          <w:rFonts w:ascii="Times New Roman" w:hAnsi="Times New Roman" w:cs="Times New Roman"/>
          <w:sz w:val="24"/>
          <w:szCs w:val="24"/>
        </w:rPr>
      </w:pPr>
      <w:r w:rsidRPr="00570450">
        <w:rPr>
          <w:rFonts w:ascii="Times New Roman" w:hAnsi="Times New Roman" w:cs="Times New Roman"/>
          <w:b/>
          <w:sz w:val="24"/>
          <w:szCs w:val="24"/>
        </w:rPr>
        <w:t>Anexa nr. 5 se modifică și se înlocuiește cu anexa nr. 1 la prezenta hotărâre.</w:t>
      </w:r>
    </w:p>
    <w:p w:rsidR="00AF594C" w:rsidRPr="00570450" w:rsidRDefault="00AF594C" w:rsidP="00AF594C">
      <w:pPr>
        <w:tabs>
          <w:tab w:val="left" w:pos="810"/>
          <w:tab w:val="left" w:pos="1260"/>
        </w:tabs>
        <w:ind w:right="360"/>
        <w:jc w:val="both"/>
        <w:rPr>
          <w:rFonts w:ascii="Times New Roman" w:hAnsi="Times New Roman" w:cs="Times New Roman"/>
          <w:sz w:val="24"/>
          <w:szCs w:val="24"/>
        </w:rPr>
      </w:pPr>
      <w:r w:rsidRPr="00570450">
        <w:rPr>
          <w:rFonts w:ascii="Times New Roman" w:hAnsi="Times New Roman" w:cs="Times New Roman"/>
          <w:b/>
          <w:color w:val="000000"/>
          <w:sz w:val="24"/>
          <w:szCs w:val="24"/>
        </w:rPr>
        <w:tab/>
      </w:r>
    </w:p>
    <w:p w:rsidR="00AF594C" w:rsidRPr="00570450" w:rsidRDefault="00AF594C" w:rsidP="00AF594C">
      <w:pPr>
        <w:pStyle w:val="ListParagraph"/>
        <w:numPr>
          <w:ilvl w:val="0"/>
          <w:numId w:val="7"/>
        </w:numPr>
        <w:tabs>
          <w:tab w:val="left" w:pos="900"/>
          <w:tab w:val="left" w:pos="1170"/>
        </w:tabs>
        <w:ind w:left="720" w:firstLine="0"/>
        <w:jc w:val="both"/>
        <w:rPr>
          <w:rFonts w:ascii="Times New Roman" w:hAnsi="Times New Roman" w:cs="Times New Roman"/>
          <w:sz w:val="24"/>
          <w:szCs w:val="24"/>
        </w:rPr>
      </w:pPr>
      <w:r w:rsidRPr="00570450">
        <w:rPr>
          <w:rFonts w:ascii="Times New Roman" w:hAnsi="Times New Roman" w:cs="Times New Roman"/>
          <w:b/>
          <w:bCs/>
          <w:color w:val="000000"/>
          <w:sz w:val="24"/>
          <w:szCs w:val="24"/>
        </w:rPr>
        <w:t>Titlul VIII „Accize și alte taxe speciale”</w:t>
      </w:r>
    </w:p>
    <w:p w:rsidR="00AF594C" w:rsidRPr="00570450" w:rsidRDefault="00AF594C" w:rsidP="00AF594C">
      <w:pPr>
        <w:pStyle w:val="ListParagraph"/>
        <w:ind w:left="952"/>
        <w:jc w:val="both"/>
        <w:rPr>
          <w:rFonts w:ascii="Times New Roman" w:hAnsi="Times New Roman" w:cs="Times New Roman"/>
          <w:b/>
          <w:bCs/>
          <w:color w:val="000000"/>
          <w:sz w:val="24"/>
          <w:szCs w:val="24"/>
        </w:rPr>
      </w:pPr>
    </w:p>
    <w:p w:rsidR="00AF594C" w:rsidRPr="00570450" w:rsidRDefault="00AF594C" w:rsidP="007771CE">
      <w:pPr>
        <w:pStyle w:val="Standard"/>
        <w:numPr>
          <w:ilvl w:val="0"/>
          <w:numId w:val="6"/>
        </w:numPr>
        <w:tabs>
          <w:tab w:val="left" w:pos="990"/>
        </w:tabs>
        <w:spacing w:line="360" w:lineRule="auto"/>
        <w:jc w:val="both"/>
        <w:rPr>
          <w:rFonts w:cs="Times New Roman"/>
        </w:rPr>
      </w:pPr>
      <w:r w:rsidRPr="00570450">
        <w:rPr>
          <w:rFonts w:cs="Times New Roman"/>
          <w:b/>
          <w:bCs/>
          <w:color w:val="000000"/>
          <w:lang w:val="ro-RO"/>
        </w:rPr>
        <w:t>La punctul 1, după alineatul (7), se introduc două noi alineate, alineatele (8) și (9), cu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sz w:val="24"/>
          <w:szCs w:val="24"/>
        </w:rPr>
        <w:t xml:space="preserve">”(8) Operatorii prevăzuți la art. 336 pct. 2, 8, 9, 13 și 28 din Codul fiscal, alții decât cei înființați în temeiul Legii </w:t>
      </w:r>
      <w:r w:rsidR="00F16052" w:rsidRPr="00570450">
        <w:rPr>
          <w:rFonts w:ascii="Times New Roman" w:hAnsi="Times New Roman" w:cs="Times New Roman"/>
          <w:sz w:val="24"/>
          <w:szCs w:val="24"/>
        </w:rPr>
        <w:t>societăți</w:t>
      </w:r>
      <w:r w:rsidR="00F16052">
        <w:rPr>
          <w:rFonts w:ascii="Times New Roman" w:hAnsi="Times New Roman" w:cs="Times New Roman"/>
          <w:sz w:val="24"/>
          <w:szCs w:val="24"/>
        </w:rPr>
        <w:t>lor</w:t>
      </w:r>
      <w:r w:rsidR="00F16052" w:rsidRPr="00570450">
        <w:rPr>
          <w:rFonts w:ascii="Times New Roman" w:hAnsi="Times New Roman" w:cs="Times New Roman"/>
          <w:sz w:val="24"/>
          <w:szCs w:val="24"/>
        </w:rPr>
        <w:t xml:space="preserve"> </w:t>
      </w:r>
      <w:r w:rsidR="00F16052">
        <w:rPr>
          <w:rFonts w:ascii="Times New Roman" w:hAnsi="Times New Roman" w:cs="Times New Roman"/>
          <w:sz w:val="24"/>
          <w:szCs w:val="24"/>
        </w:rPr>
        <w:t>nr. 31/1990</w:t>
      </w:r>
      <w:r w:rsidRPr="00570450">
        <w:rPr>
          <w:rFonts w:ascii="Times New Roman" w:hAnsi="Times New Roman" w:cs="Times New Roman"/>
          <w:sz w:val="24"/>
          <w:szCs w:val="24"/>
        </w:rPr>
        <w:t>, republicată, cu modificările și completările ulterioare, vor anexa cererilor privind acordarea autorizațiilor prevăzute pentru fiecare categorie în parte, în locul certificatului constatator eliberat de Oficiul Național al Registrului Comerţului din care să rezulte valoarea capitalului social, documentele prevăzute de legislația specifică prin care acestea au fost înființate din care să rezulte valoarea patrimoniului de afectațiune și/sau altele asemenea, astfel cum sunt prevăzute în legislația specifică respectivă.</w:t>
      </w:r>
    </w:p>
    <w:p w:rsidR="00AF594C" w:rsidRPr="00570450" w:rsidRDefault="00AF594C" w:rsidP="00AF594C">
      <w:pPr>
        <w:pStyle w:val="Standard"/>
        <w:tabs>
          <w:tab w:val="left" w:pos="990"/>
        </w:tabs>
        <w:spacing w:line="360" w:lineRule="auto"/>
        <w:ind w:firstLine="720"/>
        <w:jc w:val="both"/>
        <w:rPr>
          <w:rFonts w:cs="Times New Roman"/>
        </w:rPr>
      </w:pPr>
      <w:r w:rsidRPr="00570450">
        <w:rPr>
          <w:rFonts w:cs="Times New Roman"/>
          <w:color w:val="000000"/>
          <w:lang w:val="ro-RO"/>
        </w:rPr>
        <w:t xml:space="preserve">(9) În înțelesul prezentelor norme, pentru operatorii prevăzuți la art. 336 pct.2, alții decât cei înființați în temeiul Legii </w:t>
      </w:r>
      <w:r w:rsidR="00F16052" w:rsidRPr="00570450">
        <w:rPr>
          <w:rFonts w:cs="Times New Roman"/>
          <w:color w:val="000000"/>
          <w:lang w:val="ro-RO"/>
        </w:rPr>
        <w:t>societățil</w:t>
      </w:r>
      <w:r w:rsidR="00F16052">
        <w:rPr>
          <w:rFonts w:cs="Times New Roman"/>
          <w:color w:val="000000"/>
          <w:lang w:val="ro-RO"/>
        </w:rPr>
        <w:t>or</w:t>
      </w:r>
      <w:r w:rsidR="00F16052" w:rsidRPr="00570450">
        <w:rPr>
          <w:rFonts w:cs="Times New Roman"/>
          <w:color w:val="000000"/>
          <w:lang w:val="ro-RO"/>
        </w:rPr>
        <w:t xml:space="preserve"> </w:t>
      </w:r>
      <w:r w:rsidRPr="00570450">
        <w:rPr>
          <w:rFonts w:cs="Times New Roman"/>
          <w:color w:val="000000"/>
          <w:lang w:val="ro-RO"/>
        </w:rPr>
        <w:t>nr. 31/1990, republicată, cu modificările și completările ulterioare, prin valoarea capitalului social minim subscris și vărsat, se înțelege valoarea patrimoniului de afectațiune și/sau altele asemenea prevăzute în legislația specifică prin care acestea au fost înființate.”</w:t>
      </w:r>
    </w:p>
    <w:p w:rsidR="00AF594C" w:rsidRPr="00570450" w:rsidRDefault="00AF594C" w:rsidP="00AF594C">
      <w:pPr>
        <w:pStyle w:val="Standard"/>
        <w:tabs>
          <w:tab w:val="left" w:pos="990"/>
        </w:tabs>
        <w:spacing w:line="360" w:lineRule="auto"/>
        <w:ind w:left="900"/>
        <w:jc w:val="both"/>
        <w:rPr>
          <w:rFonts w:cs="Times New Roman"/>
          <w:b/>
          <w:bCs/>
          <w:color w:val="000000"/>
          <w:lang w:val="ro-RO"/>
        </w:rPr>
      </w:pPr>
    </w:p>
    <w:p w:rsidR="00AF594C" w:rsidRPr="00570450" w:rsidRDefault="00AF594C" w:rsidP="007771CE">
      <w:pPr>
        <w:pStyle w:val="Standard"/>
        <w:numPr>
          <w:ilvl w:val="0"/>
          <w:numId w:val="6"/>
        </w:numPr>
        <w:tabs>
          <w:tab w:val="left" w:pos="1080"/>
        </w:tabs>
        <w:ind w:left="0" w:firstLine="720"/>
        <w:jc w:val="both"/>
        <w:rPr>
          <w:rFonts w:cs="Times New Roman"/>
        </w:rPr>
      </w:pPr>
      <w:r w:rsidRPr="00570450">
        <w:rPr>
          <w:rFonts w:cs="Times New Roman"/>
          <w:b/>
          <w:bCs/>
          <w:color w:val="000000"/>
          <w:lang w:val="ro-RO"/>
        </w:rPr>
        <w:t>La punctul 5, alineatul (1) se modifică și va avea următorul cuprins:</w:t>
      </w:r>
    </w:p>
    <w:p w:rsidR="00AF594C" w:rsidRPr="00570450" w:rsidRDefault="00AF594C" w:rsidP="00AF594C">
      <w:pPr>
        <w:spacing w:line="240" w:lineRule="auto"/>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“(1) În sensul art. 343 din Codul fiscal, sumele datorate reprezentând accize se calculează în lei, după cum urmează:</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lastRenderedPageBreak/>
        <w:t>a) pentru bere:</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 x K x Q,</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C = numărul de grade Plato;</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1 din anexa nr. 1 la titlul VIII din Codul fiscal, actualizat potrivit art. 342 alin. (1) - (4) din Codul fiscal;</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de bere sau cantitatea de bază de bere în cazul amestecului cu băuturi nealcoolice, exprimată în hectolitri</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Pentru bere, numărul de grade Plato este înscris în specificaţia tehnică elaborată pe baza standardului în vigoare pentru fiecare sortiment de bere şi trebuie să fie acelaşi cu cel înscris pe etichetele de comercializare a respectivelor sortimente de bere.</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Pentru produsele rezultate prin amestecul de bază de bere cu băuturi nealcoolice, numărul de grade Plato este cel aferent bazei de bere din amestec şi se înscrie pe eticheta de comercializare.</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Abaterea admisă între numărul de grade Plato înscris pe etichetă şi numărul de grade Plato determinat în bere, respectiv în baza de bere din amestecul cu băuturi nealcoolice este de 0,5 grade Plato;</w:t>
      </w:r>
    </w:p>
    <w:p w:rsidR="00AF594C" w:rsidRPr="00570450" w:rsidRDefault="00AF594C" w:rsidP="00AF594C">
      <w:pPr>
        <w:spacing w:line="240" w:lineRule="auto"/>
        <w:ind w:firstLine="45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b) pentru vinuri, băuturi fermentate şi produse intermediare:</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K x Q,</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2 - 4 din anexa nr. 1 la titlul VIII din Codul fiscal, actualizat potrivit art. 342 alin. (1) - (4) din Codul fiscal;</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exprimată în hectolitri;</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c) pentru alcool etilic:</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 x K x Q / 100,</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C = concentraţia alcoolică exprimată în procente de volum;</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5 din anexa nr. 1 la titlul VIII din Codul fiscal, actualizat potrivit art. 342 alin. (1) - (4) din Codul fiscal;</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exprimată în hectolitri;</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d) pentru ţigarete:</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lastRenderedPageBreak/>
        <w:t>A = A1 + A2,</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acciza datorată;</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A1 = acciza specifică;</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A2 = acciza ad valorem;</w:t>
      </w:r>
    </w:p>
    <w:p w:rsidR="00AF594C" w:rsidRPr="00570450" w:rsidRDefault="00AF594C" w:rsidP="00AF594C">
      <w:pPr>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A1 = K1 x Q1;</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A2 = K2 x PA x Q2,</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K1 = nivelul accizei specifice stabilit prin ordin al ministrului finanţelor publice, exprimat în lei/1.000 ţigarete;</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K2 = procentul legal al accizei ad valorem care se aplică asupra preţului de vânzare cu amănuntul declarat, prevăzut la art. 343 alin. (4) din Codul fiscal;</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PA = preţul de vânzare cu amănuntul declarat pe pachet;</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Q1 = cantitatea de ţigarete exprimată în mii ţigarete;</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Q2 = numărul de pachete de ţigarete;</w:t>
      </w: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Q2 = Q1 / numărul de ţigarete conţinute în pachet;</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e) pentru ţigări şi ţigări de foi:</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Q x K,</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exprimată în mii bucăţi;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7 din anexa nr. 1 la titlul VIII din Codul fiscal, actualizat potrivit art. 342 alin. (1) - (4) din Codul fiscal;</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f) pentru tutun de fumat fin tăiat, destinat rulării în ţigarete şi pentru alte tutunuri de fumat:</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Q x K,</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în kg;</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8, respectiv la nr. crt. 9 din anexa nr. 1 la titlul VIII din Codul fiscal, actualizat potrivit art. 342 alin. (1) - (4) din Codul fiscal;</w:t>
      </w:r>
    </w:p>
    <w:p w:rsidR="00AF594C" w:rsidRPr="00570450" w:rsidRDefault="00AF594C" w:rsidP="00AF594C">
      <w:pPr>
        <w:spacing w:line="240" w:lineRule="auto"/>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g) pentru produse energetice:</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Q x K,</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lastRenderedPageBreak/>
        <w:t>Q = cantitatea exprimată în mii litri măsurată la temperatura de +15°C/cantitatea exprimată în tone/cantitatea exprimată în gigajoule;</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10 - 17 din anexa nr. 1 la titlul VIII din Codul fiscal, actualizat potrivit art. 342 alin. (1) - (4) din Codul fiscal;</w:t>
      </w:r>
    </w:p>
    <w:p w:rsidR="00AF594C" w:rsidRPr="00570450" w:rsidRDefault="00AF594C" w:rsidP="00AF594C">
      <w:pPr>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h) pentru energie electrică:</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spacing w:line="240" w:lineRule="auto"/>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Q x K,</w:t>
      </w:r>
    </w:p>
    <w:p w:rsidR="00AF594C" w:rsidRPr="00570450" w:rsidRDefault="00AF594C" w:rsidP="00AF594C">
      <w:pPr>
        <w:spacing w:line="240" w:lineRule="auto"/>
        <w:ind w:firstLine="720"/>
        <w:jc w:val="both"/>
        <w:rPr>
          <w:rFonts w:ascii="Times New Roman" w:hAnsi="Times New Roman" w:cs="Times New Roman"/>
          <w:color w:val="000000"/>
          <w:sz w:val="24"/>
          <w:szCs w:val="24"/>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 cuantumul accizei;</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Q = cantitatea de energie electrică exprimată în MWh;</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K = nivelul accizei prevăzut la nr. crt. 18 din anexa nr. 1 la titlul VIII din Codul fiscal, actualizat potrivit art. 342 alin. (1) - (4) din Codul fiscal.”</w:t>
      </w:r>
    </w:p>
    <w:p w:rsidR="00AF594C" w:rsidRPr="00570450" w:rsidRDefault="00AF594C" w:rsidP="00AF594C">
      <w:pPr>
        <w:pStyle w:val="Standard"/>
        <w:ind w:left="450"/>
        <w:jc w:val="both"/>
        <w:rPr>
          <w:rFonts w:cs="Times New Roman"/>
          <w:b/>
          <w:bCs/>
          <w:color w:val="000000"/>
          <w:lang w:val="ro-RO"/>
        </w:rPr>
      </w:pPr>
    </w:p>
    <w:p w:rsidR="00AF594C" w:rsidRPr="00570450" w:rsidRDefault="00AF594C" w:rsidP="00AF594C">
      <w:pPr>
        <w:pStyle w:val="Standard"/>
        <w:numPr>
          <w:ilvl w:val="0"/>
          <w:numId w:val="6"/>
        </w:numPr>
        <w:tabs>
          <w:tab w:val="left" w:pos="990"/>
        </w:tabs>
        <w:ind w:left="0" w:firstLine="720"/>
        <w:jc w:val="both"/>
        <w:rPr>
          <w:rFonts w:cs="Times New Roman"/>
        </w:rPr>
      </w:pPr>
      <w:r w:rsidRPr="00570450">
        <w:rPr>
          <w:rFonts w:cs="Times New Roman"/>
          <w:b/>
          <w:bCs/>
          <w:color w:val="000000"/>
          <w:lang w:val="ro-RO"/>
        </w:rPr>
        <w:t xml:space="preserve"> La punctul 6, alineatele (1) – (5) se abrogă.</w:t>
      </w:r>
    </w:p>
    <w:p w:rsidR="00AF594C" w:rsidRPr="00570450" w:rsidRDefault="00AF594C" w:rsidP="00AF594C">
      <w:pPr>
        <w:pStyle w:val="Standard"/>
        <w:ind w:firstLine="720"/>
        <w:jc w:val="both"/>
        <w:rPr>
          <w:rFonts w:cs="Times New Roman"/>
          <w:b/>
          <w:bCs/>
          <w:color w:val="000000"/>
          <w:lang w:val="ro-RO"/>
        </w:rPr>
      </w:pPr>
    </w:p>
    <w:p w:rsidR="00AF594C" w:rsidRPr="00570450" w:rsidRDefault="00AF594C" w:rsidP="00AF594C">
      <w:pPr>
        <w:pStyle w:val="Standard"/>
        <w:numPr>
          <w:ilvl w:val="0"/>
          <w:numId w:val="6"/>
        </w:numPr>
        <w:tabs>
          <w:tab w:val="left" w:pos="1080"/>
        </w:tabs>
        <w:ind w:left="0" w:firstLine="720"/>
        <w:jc w:val="both"/>
        <w:rPr>
          <w:rFonts w:cs="Times New Roman"/>
        </w:rPr>
      </w:pPr>
      <w:r w:rsidRPr="00570450">
        <w:rPr>
          <w:rFonts w:cs="Times New Roman"/>
          <w:b/>
          <w:bCs/>
          <w:color w:val="000000"/>
          <w:lang w:val="ro-RO"/>
        </w:rPr>
        <w:t>La punctul 6, alineatul (6) se modifică și va avea următorul cuprins:</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eastAsia="Times New Roman" w:hAnsi="Times New Roman" w:cs="Times New Roman"/>
          <w:color w:val="000000"/>
          <w:sz w:val="24"/>
          <w:szCs w:val="24"/>
        </w:rPr>
        <w:t>„(6) Valoarea accizelor de plat</w:t>
      </w:r>
      <w:r w:rsidRPr="00570450">
        <w:rPr>
          <w:rFonts w:ascii="Times New Roman" w:hAnsi="Times New Roman" w:cs="Times New Roman"/>
          <w:color w:val="000000"/>
          <w:sz w:val="24"/>
          <w:szCs w:val="24"/>
        </w:rPr>
        <w:t>ă la bugetul de stat reprezintă valoarea accizelor datorate determinată potrivit pct. 5 alin. (1), din care se deduce contravaloarea marcajelor utilizate pentru marcarea produselor supuse acestui regim potrivit art. 421 din Codul fiscal, după caz.”</w:t>
      </w:r>
    </w:p>
    <w:p w:rsidR="00AF594C" w:rsidRPr="00570450" w:rsidRDefault="00AF594C" w:rsidP="00AF594C">
      <w:pPr>
        <w:pStyle w:val="Standard"/>
        <w:jc w:val="both"/>
        <w:rPr>
          <w:rFonts w:cs="Times New Roman"/>
          <w:color w:val="000000"/>
          <w:lang w:val="ro-RO"/>
        </w:rPr>
      </w:pPr>
    </w:p>
    <w:p w:rsidR="00AF594C" w:rsidRPr="00570450" w:rsidRDefault="00AF594C" w:rsidP="00AF594C">
      <w:pPr>
        <w:pStyle w:val="Standard"/>
        <w:numPr>
          <w:ilvl w:val="0"/>
          <w:numId w:val="6"/>
        </w:numPr>
        <w:tabs>
          <w:tab w:val="left" w:pos="1080"/>
        </w:tabs>
        <w:ind w:left="0" w:firstLine="720"/>
        <w:jc w:val="both"/>
        <w:rPr>
          <w:rFonts w:cs="Times New Roman"/>
        </w:rPr>
      </w:pPr>
      <w:r w:rsidRPr="00570450">
        <w:rPr>
          <w:rFonts w:cs="Times New Roman"/>
          <w:b/>
          <w:bCs/>
          <w:color w:val="000000"/>
          <w:lang w:val="ro-RO"/>
        </w:rPr>
        <w:t>La punctul 8, alineatele (2) și  (4) se abrogă.</w:t>
      </w:r>
    </w:p>
    <w:p w:rsidR="00AF594C" w:rsidRPr="00570450" w:rsidRDefault="00AF594C" w:rsidP="00AF594C">
      <w:pPr>
        <w:pStyle w:val="Standard"/>
        <w:jc w:val="both"/>
        <w:rPr>
          <w:rFonts w:cs="Times New Roman"/>
          <w:color w:val="000000"/>
          <w:lang w:val="ro-RO"/>
        </w:rPr>
      </w:pPr>
    </w:p>
    <w:p w:rsidR="00AF594C" w:rsidRPr="00570450" w:rsidRDefault="00AF594C" w:rsidP="00AF594C">
      <w:pPr>
        <w:pStyle w:val="Standard"/>
        <w:numPr>
          <w:ilvl w:val="0"/>
          <w:numId w:val="6"/>
        </w:numPr>
        <w:tabs>
          <w:tab w:val="left" w:pos="1080"/>
        </w:tabs>
        <w:spacing w:line="360" w:lineRule="auto"/>
        <w:ind w:left="0" w:firstLine="720"/>
        <w:jc w:val="both"/>
        <w:rPr>
          <w:rFonts w:cs="Times New Roman"/>
        </w:rPr>
      </w:pPr>
      <w:r w:rsidRPr="00570450">
        <w:rPr>
          <w:rFonts w:cs="Times New Roman"/>
          <w:b/>
          <w:bCs/>
          <w:color w:val="000000"/>
          <w:lang w:val="ro-RO"/>
        </w:rPr>
        <w:t>La punctul 8, alineatul (3) se modifică și va avea următorul cuprins:</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eastAsia="Times New Roman" w:hAnsi="Times New Roman" w:cs="Times New Roman"/>
          <w:color w:val="000000"/>
          <w:sz w:val="24"/>
          <w:szCs w:val="24"/>
        </w:rPr>
        <w:t>„</w:t>
      </w:r>
      <w:r w:rsidRPr="00570450">
        <w:rPr>
          <w:rFonts w:ascii="Times New Roman" w:hAnsi="Times New Roman" w:cs="Times New Roman"/>
          <w:color w:val="000000"/>
          <w:sz w:val="24"/>
          <w:szCs w:val="24"/>
        </w:rPr>
        <w:t xml:space="preserve"> (3) În cazul garanției constituite potrivit art. 348 alin. (1) lit. a) din Codul fiscal se aplică următoarele reguli:</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a) se consemnează mijloacele bănești la unitatea Trezoreriei Statului la care este arondată autoritatea fiscală teritorială;</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b) orice dobândă plătită de trezorerie în legătură cu depozitul aparține deponentului.”</w:t>
      </w:r>
    </w:p>
    <w:p w:rsidR="00AF594C" w:rsidRPr="00570450" w:rsidRDefault="00AF594C" w:rsidP="00AF594C">
      <w:pPr>
        <w:pStyle w:val="ListParagraph"/>
        <w:ind w:left="0" w:firstLine="720"/>
        <w:jc w:val="both"/>
        <w:rPr>
          <w:rFonts w:ascii="Times New Roman" w:hAnsi="Times New Roman" w:cs="Times New Roman"/>
          <w:color w:val="000000"/>
          <w:sz w:val="24"/>
          <w:szCs w:val="24"/>
        </w:rPr>
      </w:pPr>
    </w:p>
    <w:p w:rsidR="00AF594C" w:rsidRPr="00570450" w:rsidRDefault="00AF594C" w:rsidP="00AF594C">
      <w:pPr>
        <w:pStyle w:val="ListParagraph"/>
        <w:numPr>
          <w:ilvl w:val="0"/>
          <w:numId w:val="6"/>
        </w:numPr>
        <w:tabs>
          <w:tab w:val="left" w:pos="1080"/>
        </w:tabs>
        <w:ind w:left="0" w:firstLine="720"/>
        <w:jc w:val="both"/>
        <w:textAlignment w:val="baseline"/>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La punctul 8, alineatul (9),</w:t>
      </w:r>
      <w:r w:rsidRPr="00570450">
        <w:rPr>
          <w:rFonts w:ascii="Times New Roman" w:eastAsia="Calibri" w:hAnsi="Times New Roman" w:cs="Times New Roman"/>
          <w:b/>
          <w:bCs/>
          <w:iCs/>
          <w:color w:val="000000"/>
          <w:sz w:val="24"/>
          <w:szCs w:val="24"/>
        </w:rPr>
        <w:t xml:space="preserve"> după litera f), se introduce o nouă literă, litera f</w:t>
      </w:r>
      <w:r w:rsidRPr="00570450">
        <w:rPr>
          <w:rFonts w:ascii="Times New Roman" w:eastAsia="Calibri" w:hAnsi="Times New Roman" w:cs="Times New Roman"/>
          <w:b/>
          <w:bCs/>
          <w:iCs/>
          <w:color w:val="000000"/>
          <w:sz w:val="24"/>
          <w:szCs w:val="24"/>
          <w:vertAlign w:val="superscript"/>
        </w:rPr>
        <w:t>1</w:t>
      </w:r>
      <w:r w:rsidRPr="00570450">
        <w:rPr>
          <w:rFonts w:ascii="Times New Roman" w:eastAsia="Calibri" w:hAnsi="Times New Roman" w:cs="Times New Roman"/>
          <w:b/>
          <w:bCs/>
          <w:iCs/>
          <w:color w:val="000000"/>
          <w:sz w:val="24"/>
          <w:szCs w:val="24"/>
        </w:rPr>
        <w:t>), cu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Calibri" w:hAnsi="Times New Roman" w:cs="Times New Roman"/>
          <w:bCs/>
          <w:iCs/>
          <w:color w:val="000000"/>
          <w:sz w:val="24"/>
          <w:szCs w:val="24"/>
        </w:rPr>
        <w:t>”f</w:t>
      </w:r>
      <w:r w:rsidRPr="00570450">
        <w:rPr>
          <w:rFonts w:ascii="Times New Roman" w:eastAsia="Calibri" w:hAnsi="Times New Roman" w:cs="Times New Roman"/>
          <w:bCs/>
          <w:iCs/>
          <w:color w:val="000000"/>
          <w:sz w:val="24"/>
          <w:szCs w:val="24"/>
          <w:vertAlign w:val="superscript"/>
        </w:rPr>
        <w:t>1</w:t>
      </w:r>
      <w:r w:rsidRPr="00570450">
        <w:rPr>
          <w:rFonts w:ascii="Times New Roman" w:eastAsia="Calibri" w:hAnsi="Times New Roman" w:cs="Times New Roman"/>
          <w:bCs/>
          <w:iCs/>
          <w:color w:val="000000"/>
          <w:sz w:val="24"/>
          <w:szCs w:val="24"/>
        </w:rPr>
        <w:t>)</w:t>
      </w:r>
      <w:r w:rsidRPr="00570450">
        <w:rPr>
          <w:rFonts w:ascii="Times New Roman" w:eastAsia="Calibri" w:hAnsi="Times New Roman" w:cs="Times New Roman"/>
          <w:iCs/>
          <w:color w:val="000000"/>
          <w:sz w:val="24"/>
          <w:szCs w:val="24"/>
        </w:rPr>
        <w:t xml:space="preserve"> pentru producţia de băuturi fermentate, altele decât bere şi vinuri, de maximum 1.000 hl pe an - 18.952 lei;”</w:t>
      </w:r>
    </w:p>
    <w:p w:rsidR="00AF594C" w:rsidRPr="00570450" w:rsidRDefault="00AF594C" w:rsidP="00AF594C">
      <w:pPr>
        <w:ind w:firstLine="720"/>
        <w:jc w:val="both"/>
        <w:rPr>
          <w:rFonts w:ascii="Times New Roman" w:eastAsia="Calibri" w:hAnsi="Times New Roman" w:cs="Times New Roman"/>
          <w:iCs/>
          <w:color w:val="000000"/>
          <w:sz w:val="24"/>
          <w:szCs w:val="24"/>
        </w:rPr>
      </w:pPr>
    </w:p>
    <w:p w:rsidR="00AF594C" w:rsidRPr="00570450" w:rsidRDefault="00AF594C" w:rsidP="00AF594C">
      <w:pPr>
        <w:pStyle w:val="ListParagraph"/>
        <w:numPr>
          <w:ilvl w:val="0"/>
          <w:numId w:val="6"/>
        </w:numPr>
        <w:tabs>
          <w:tab w:val="left" w:pos="1080"/>
        </w:tabs>
        <w:ind w:left="0" w:firstLine="720"/>
        <w:jc w:val="both"/>
        <w:textAlignment w:val="baseline"/>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 xml:space="preserve"> La punctul 8, alineatul (9)</w:t>
      </w:r>
      <w:r w:rsidRPr="00570450">
        <w:rPr>
          <w:rFonts w:ascii="Times New Roman" w:eastAsia="Calibri" w:hAnsi="Times New Roman" w:cs="Times New Roman"/>
          <w:b/>
          <w:bCs/>
          <w:iCs/>
          <w:color w:val="000000"/>
          <w:sz w:val="24"/>
          <w:szCs w:val="24"/>
        </w:rPr>
        <w:t>, litera g)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Calibri" w:hAnsi="Times New Roman" w:cs="Times New Roman"/>
          <w:color w:val="000000"/>
          <w:sz w:val="24"/>
          <w:szCs w:val="24"/>
        </w:rPr>
        <w:t>”g) pentru producţia de băuturi fermentate, altele decât bere şi vinuri, între 1.000 și 5.000 hl pe an - 94.760 lei;”</w:t>
      </w:r>
    </w:p>
    <w:p w:rsidR="00AF594C" w:rsidRPr="00570450" w:rsidRDefault="00AF594C" w:rsidP="00AF594C">
      <w:pPr>
        <w:ind w:firstLine="720"/>
        <w:jc w:val="both"/>
        <w:rPr>
          <w:rFonts w:ascii="Times New Roman" w:eastAsia="Calibri" w:hAnsi="Times New Roman" w:cs="Times New Roman"/>
          <w:color w:val="000000"/>
          <w:sz w:val="24"/>
          <w:szCs w:val="24"/>
        </w:rPr>
      </w:pPr>
    </w:p>
    <w:p w:rsidR="00AF594C" w:rsidRPr="00570450" w:rsidRDefault="00AF594C" w:rsidP="00AF594C">
      <w:pPr>
        <w:pStyle w:val="Standard"/>
        <w:numPr>
          <w:ilvl w:val="0"/>
          <w:numId w:val="6"/>
        </w:numPr>
        <w:tabs>
          <w:tab w:val="left" w:pos="1080"/>
        </w:tabs>
        <w:spacing w:line="360" w:lineRule="auto"/>
        <w:ind w:left="0" w:firstLine="720"/>
        <w:jc w:val="both"/>
        <w:rPr>
          <w:rFonts w:cs="Times New Roman"/>
        </w:rPr>
      </w:pPr>
      <w:r w:rsidRPr="00570450">
        <w:rPr>
          <w:rFonts w:cs="Times New Roman"/>
          <w:b/>
          <w:bCs/>
          <w:color w:val="000000"/>
          <w:lang w:val="ro-RO"/>
        </w:rPr>
        <w:lastRenderedPageBreak/>
        <w:t>La punctul 8, după alineatul (34) se introduce un nou alineat, alineatul (34</w:t>
      </w:r>
      <w:r w:rsidRPr="00570450">
        <w:rPr>
          <w:rFonts w:cs="Times New Roman"/>
          <w:b/>
          <w:bCs/>
          <w:color w:val="000000"/>
          <w:vertAlign w:val="superscript"/>
          <w:lang w:val="ro-RO"/>
        </w:rPr>
        <w:t>1</w:t>
      </w:r>
      <w:r w:rsidRPr="00570450">
        <w:rPr>
          <w:rFonts w:cs="Times New Roman"/>
          <w:b/>
          <w:bCs/>
          <w:color w:val="000000"/>
          <w:lang w:val="ro-RO"/>
        </w:rPr>
        <w:t>), cu următorul cuprins:</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„(34</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În cazul garanțiilor prevăzute la art. 348 alin. (1) din Codul fiscal, autoritatea fiscală teritorială dispune instituției de credit/societății de asigurare emitente a scrisorii de garanție/poliței de asigurare de garanție, ori unității de Trezorerie a Statului, după caz, virarea sumei de bani în conturile de venituri bugetare corespunzătoare, în situațiile prevăzute la alin. (34).”</w:t>
      </w:r>
    </w:p>
    <w:p w:rsidR="00AF594C" w:rsidRPr="00570450" w:rsidRDefault="00AF594C" w:rsidP="00AF594C">
      <w:pPr>
        <w:pStyle w:val="Standard"/>
        <w:jc w:val="both"/>
        <w:rPr>
          <w:rFonts w:cs="Times New Roman"/>
          <w:b/>
          <w:bCs/>
          <w:color w:val="000000"/>
          <w:lang w:val="ro-RO"/>
        </w:rPr>
      </w:pPr>
    </w:p>
    <w:p w:rsidR="00AF594C" w:rsidRPr="00570450" w:rsidRDefault="00AF594C" w:rsidP="00AF594C">
      <w:pPr>
        <w:pStyle w:val="Standard"/>
        <w:numPr>
          <w:ilvl w:val="0"/>
          <w:numId w:val="6"/>
        </w:numPr>
        <w:tabs>
          <w:tab w:val="left" w:pos="1080"/>
        </w:tabs>
        <w:spacing w:line="360" w:lineRule="auto"/>
        <w:ind w:left="0" w:firstLine="720"/>
        <w:jc w:val="both"/>
        <w:rPr>
          <w:rFonts w:cs="Times New Roman"/>
        </w:rPr>
      </w:pPr>
      <w:r w:rsidRPr="00570450">
        <w:rPr>
          <w:rFonts w:cs="Times New Roman"/>
          <w:b/>
          <w:color w:val="000000"/>
          <w:lang w:val="ro-RO"/>
        </w:rPr>
        <w:t>La punctul 8</w:t>
      </w:r>
      <w:r w:rsidRPr="00570450">
        <w:rPr>
          <w:rFonts w:cs="Times New Roman"/>
          <w:b/>
          <w:bCs/>
          <w:color w:val="000000"/>
          <w:lang w:val="ro-RO"/>
        </w:rPr>
        <w:t>, după alineatul (39) se introduce un nou alineat, alineatul (39</w:t>
      </w:r>
      <w:r w:rsidRPr="00570450">
        <w:rPr>
          <w:rFonts w:cs="Times New Roman"/>
          <w:b/>
          <w:bCs/>
          <w:color w:val="000000"/>
          <w:vertAlign w:val="superscript"/>
          <w:lang w:val="ro-RO"/>
        </w:rPr>
        <w:t>1</w:t>
      </w:r>
      <w:r w:rsidRPr="00570450">
        <w:rPr>
          <w:rFonts w:cs="Times New Roman"/>
          <w:b/>
          <w:bCs/>
          <w:color w:val="000000"/>
          <w:lang w:val="ro-RO"/>
        </w:rPr>
        <w:t>), cu următorul cuprins:</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„(39</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xml:space="preserve">) </w:t>
      </w:r>
      <w:r w:rsidRPr="00570450">
        <w:rPr>
          <w:rFonts w:ascii="Times New Roman" w:hAnsi="Times New Roman" w:cs="Times New Roman"/>
          <w:iCs/>
          <w:color w:val="000000"/>
          <w:sz w:val="24"/>
          <w:szCs w:val="24"/>
        </w:rPr>
        <w:t>Valoarea garanţiei reduse pentru antrepozitarii autorizaţi nu poate fi mai mică decât limita minimă stabilită potrivit alin. (9) sau (11), după caz.</w:t>
      </w:r>
      <w:r w:rsidRPr="00570450">
        <w:rPr>
          <w:rFonts w:ascii="Times New Roman" w:hAnsi="Times New Roman" w:cs="Times New Roman"/>
          <w:color w:val="000000"/>
          <w:sz w:val="24"/>
          <w:szCs w:val="24"/>
        </w:rPr>
        <w:t>”</w:t>
      </w:r>
    </w:p>
    <w:p w:rsidR="00AF594C" w:rsidRPr="00570450" w:rsidRDefault="00AF594C" w:rsidP="00AF594C">
      <w:pPr>
        <w:pStyle w:val="ListParagraph"/>
        <w:ind w:left="0" w:firstLine="720"/>
        <w:jc w:val="both"/>
        <w:rPr>
          <w:rFonts w:ascii="Times New Roman" w:hAnsi="Times New Roman" w:cs="Times New Roman"/>
          <w:color w:val="000000"/>
          <w:sz w:val="24"/>
          <w:szCs w:val="24"/>
        </w:rPr>
      </w:pPr>
    </w:p>
    <w:p w:rsidR="00AF594C" w:rsidRPr="00570450" w:rsidRDefault="00AF594C" w:rsidP="00AF594C">
      <w:pPr>
        <w:pStyle w:val="Standard"/>
        <w:numPr>
          <w:ilvl w:val="0"/>
          <w:numId w:val="6"/>
        </w:numPr>
        <w:tabs>
          <w:tab w:val="left" w:pos="1080"/>
        </w:tabs>
        <w:ind w:left="0" w:firstLine="720"/>
        <w:jc w:val="both"/>
        <w:rPr>
          <w:rFonts w:cs="Times New Roman"/>
        </w:rPr>
      </w:pPr>
      <w:r w:rsidRPr="00570450">
        <w:rPr>
          <w:rFonts w:cs="Times New Roman"/>
          <w:b/>
          <w:bCs/>
          <w:color w:val="000000"/>
          <w:lang w:val="ro-RO"/>
        </w:rPr>
        <w:t xml:space="preserve"> La punctul 11, alineatele (1), (3) - (5) se abrogă.</w:t>
      </w:r>
    </w:p>
    <w:p w:rsidR="00AF594C" w:rsidRPr="00570450" w:rsidRDefault="00AF594C" w:rsidP="00AF594C">
      <w:pPr>
        <w:pStyle w:val="Standard"/>
        <w:tabs>
          <w:tab w:val="left" w:pos="1080"/>
        </w:tabs>
        <w:ind w:left="720"/>
        <w:jc w:val="both"/>
        <w:rPr>
          <w:rFonts w:cs="Times New Roman"/>
          <w:iCs/>
          <w:color w:val="000000"/>
        </w:rPr>
      </w:pPr>
    </w:p>
    <w:p w:rsidR="00AF594C" w:rsidRPr="00570450" w:rsidRDefault="00AF594C" w:rsidP="00AF594C">
      <w:pPr>
        <w:pStyle w:val="Standard"/>
        <w:tabs>
          <w:tab w:val="left" w:pos="1080"/>
        </w:tabs>
        <w:ind w:left="720"/>
        <w:jc w:val="both"/>
        <w:rPr>
          <w:rFonts w:cs="Times New Roman"/>
          <w:color w:val="000000"/>
          <w:lang w:val="ro-RO"/>
        </w:rPr>
      </w:pPr>
    </w:p>
    <w:p w:rsidR="00AF594C" w:rsidRPr="00570450" w:rsidRDefault="00AF594C" w:rsidP="00AF594C">
      <w:pPr>
        <w:pStyle w:val="ListParagraph"/>
        <w:numPr>
          <w:ilvl w:val="0"/>
          <w:numId w:val="6"/>
        </w:numPr>
        <w:tabs>
          <w:tab w:val="left" w:pos="1170"/>
        </w:tabs>
        <w:ind w:left="0" w:firstLine="720"/>
        <w:jc w:val="both"/>
        <w:textAlignment w:val="baseline"/>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La punctul 23, alineatul (1)</w:t>
      </w:r>
      <w:r w:rsidRPr="00570450">
        <w:rPr>
          <w:rFonts w:ascii="Times New Roman" w:eastAsia="Calibri" w:hAnsi="Times New Roman" w:cs="Times New Roman"/>
          <w:b/>
          <w:bCs/>
          <w:iCs/>
          <w:color w:val="000000"/>
          <w:sz w:val="24"/>
          <w:szCs w:val="24"/>
        </w:rPr>
        <w:t>, după litera f), se introduce o nouă literă, litera f</w:t>
      </w:r>
      <w:r w:rsidRPr="00570450">
        <w:rPr>
          <w:rFonts w:ascii="Times New Roman" w:eastAsia="Calibri" w:hAnsi="Times New Roman" w:cs="Times New Roman"/>
          <w:b/>
          <w:bCs/>
          <w:iCs/>
          <w:color w:val="000000"/>
          <w:sz w:val="24"/>
          <w:szCs w:val="24"/>
          <w:vertAlign w:val="superscript"/>
        </w:rPr>
        <w:t>1</w:t>
      </w:r>
      <w:r w:rsidRPr="00570450">
        <w:rPr>
          <w:rFonts w:ascii="Times New Roman" w:eastAsia="Calibri" w:hAnsi="Times New Roman" w:cs="Times New Roman"/>
          <w:b/>
          <w:bCs/>
          <w:iCs/>
          <w:color w:val="000000"/>
          <w:sz w:val="24"/>
          <w:szCs w:val="24"/>
        </w:rPr>
        <w:t>), cu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Calibri" w:hAnsi="Times New Roman" w:cs="Times New Roman"/>
          <w:color w:val="000000"/>
          <w:sz w:val="24"/>
          <w:szCs w:val="24"/>
        </w:rPr>
        <w:t>”f</w:t>
      </w:r>
      <w:r w:rsidRPr="00570450">
        <w:rPr>
          <w:rFonts w:ascii="Times New Roman" w:eastAsia="Calibri" w:hAnsi="Times New Roman" w:cs="Times New Roman"/>
          <w:color w:val="000000"/>
          <w:sz w:val="24"/>
          <w:szCs w:val="24"/>
          <w:vertAlign w:val="superscript"/>
        </w:rPr>
        <w:t>1</w:t>
      </w:r>
      <w:r w:rsidRPr="00570450">
        <w:rPr>
          <w:rFonts w:ascii="Times New Roman" w:eastAsia="Calibri" w:hAnsi="Times New Roman" w:cs="Times New Roman"/>
          <w:color w:val="000000"/>
          <w:sz w:val="24"/>
          <w:szCs w:val="24"/>
        </w:rPr>
        <w:t>) pentru producţia de băuturi fermentate, altele decât bere şi vinuri, de maximum 1.000 hl pe an - 15.000 lei;”</w:t>
      </w:r>
    </w:p>
    <w:p w:rsidR="00AF594C" w:rsidRPr="00570450" w:rsidRDefault="00AF594C" w:rsidP="00AF594C">
      <w:pPr>
        <w:ind w:firstLine="720"/>
        <w:jc w:val="both"/>
        <w:rPr>
          <w:rFonts w:ascii="Times New Roman" w:eastAsia="Calibri" w:hAnsi="Times New Roman" w:cs="Times New Roman"/>
          <w:color w:val="000000"/>
          <w:sz w:val="24"/>
          <w:szCs w:val="24"/>
        </w:rPr>
      </w:pPr>
    </w:p>
    <w:p w:rsidR="00AF594C" w:rsidRPr="00570450" w:rsidRDefault="00AF594C" w:rsidP="00AF594C">
      <w:pPr>
        <w:pStyle w:val="ListParagraph"/>
        <w:numPr>
          <w:ilvl w:val="0"/>
          <w:numId w:val="6"/>
        </w:numPr>
        <w:tabs>
          <w:tab w:val="left" w:pos="1170"/>
        </w:tabs>
        <w:ind w:left="0" w:firstLine="720"/>
        <w:jc w:val="both"/>
        <w:textAlignment w:val="baseline"/>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La punctul 23, alineatul (1)</w:t>
      </w:r>
      <w:r w:rsidRPr="00570450">
        <w:rPr>
          <w:rFonts w:ascii="Times New Roman" w:eastAsia="Calibri" w:hAnsi="Times New Roman" w:cs="Times New Roman"/>
          <w:b/>
          <w:bCs/>
          <w:iCs/>
          <w:color w:val="000000"/>
          <w:sz w:val="24"/>
          <w:szCs w:val="24"/>
        </w:rPr>
        <w:t>, litera g)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Calibri" w:hAnsi="Times New Roman" w:cs="Times New Roman"/>
          <w:color w:val="000000"/>
          <w:sz w:val="24"/>
          <w:szCs w:val="24"/>
        </w:rPr>
        <w:t>”g) pentru producţia de băuturi fermentate, altele decât bere şi vinuri, între 1.000 și 5.000 hl pe an - 75.000 lei;”</w:t>
      </w:r>
    </w:p>
    <w:p w:rsidR="00AF594C" w:rsidRPr="00570450" w:rsidRDefault="00AF594C" w:rsidP="00AF594C">
      <w:pPr>
        <w:ind w:firstLine="720"/>
        <w:jc w:val="both"/>
        <w:rPr>
          <w:rFonts w:ascii="Times New Roman" w:eastAsia="Calibri" w:hAnsi="Times New Roman" w:cs="Times New Roman"/>
          <w:color w:val="000000"/>
          <w:sz w:val="24"/>
          <w:szCs w:val="24"/>
        </w:rPr>
      </w:pPr>
    </w:p>
    <w:p w:rsidR="00AF594C" w:rsidRPr="00570450" w:rsidRDefault="00AF594C" w:rsidP="00AF594C">
      <w:pPr>
        <w:pStyle w:val="ListParagraph"/>
        <w:numPr>
          <w:ilvl w:val="0"/>
          <w:numId w:val="6"/>
        </w:numPr>
        <w:tabs>
          <w:tab w:val="left" w:pos="1170"/>
        </w:tabs>
        <w:ind w:left="0" w:firstLine="720"/>
        <w:jc w:val="both"/>
        <w:textAlignment w:val="baseline"/>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 xml:space="preserve">La punctul 30, după alineatul (17) </w:t>
      </w:r>
      <w:r w:rsidRPr="00570450">
        <w:rPr>
          <w:rFonts w:ascii="Times New Roman" w:eastAsia="Calibri" w:hAnsi="Times New Roman" w:cs="Times New Roman"/>
          <w:b/>
          <w:bCs/>
          <w:iCs/>
          <w:color w:val="000000"/>
          <w:sz w:val="24"/>
          <w:szCs w:val="24"/>
        </w:rPr>
        <w:t>se introduce un nou alineat, alineatul (17</w:t>
      </w:r>
      <w:r w:rsidRPr="00570450">
        <w:rPr>
          <w:rFonts w:ascii="Times New Roman" w:eastAsia="Calibri" w:hAnsi="Times New Roman" w:cs="Times New Roman"/>
          <w:b/>
          <w:bCs/>
          <w:iCs/>
          <w:color w:val="000000"/>
          <w:sz w:val="24"/>
          <w:szCs w:val="24"/>
          <w:vertAlign w:val="superscript"/>
        </w:rPr>
        <w:t>1</w:t>
      </w:r>
      <w:r w:rsidRPr="00570450">
        <w:rPr>
          <w:rFonts w:ascii="Times New Roman" w:eastAsia="Calibri" w:hAnsi="Times New Roman" w:cs="Times New Roman"/>
          <w:b/>
          <w:bCs/>
          <w:iCs/>
          <w:color w:val="000000"/>
          <w:sz w:val="24"/>
          <w:szCs w:val="24"/>
        </w:rPr>
        <w:t>), cu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„(17</w:t>
      </w:r>
      <w:r w:rsidRPr="00570450">
        <w:rPr>
          <w:rFonts w:ascii="Times New Roman" w:hAnsi="Times New Roman" w:cs="Times New Roman"/>
          <w:color w:val="000000"/>
          <w:sz w:val="24"/>
          <w:szCs w:val="24"/>
          <w:vertAlign w:val="superscript"/>
        </w:rPr>
        <w:t>1</w:t>
      </w:r>
      <w:r w:rsidRPr="00570450">
        <w:rPr>
          <w:rFonts w:ascii="Times New Roman" w:hAnsi="Times New Roman" w:cs="Times New Roman"/>
          <w:color w:val="000000"/>
          <w:sz w:val="24"/>
          <w:szCs w:val="24"/>
        </w:rPr>
        <w:t>) Prin excepţie de la prevederile alin. (17), operatorii economici care solicită autorizarea ca antrepozitari pentru producţia de alcool și de distilate care utilizează pentru realizarea producției exclusiv instalaţii tip alambic, trebuie să depună o declaraţie pe propria răspundere privind capacitatea vaselor de depozitare deţinute, precum şi a capacităţii de încărcare a instalaţiei/instalațiilor tip alambic aflate în incinta locației propuse pentru autorizare.”</w:t>
      </w:r>
    </w:p>
    <w:p w:rsidR="00AF594C" w:rsidRPr="00570450" w:rsidRDefault="00AF594C" w:rsidP="00AF594C">
      <w:pPr>
        <w:ind w:firstLine="720"/>
        <w:jc w:val="both"/>
        <w:rPr>
          <w:rFonts w:ascii="Times New Roman" w:hAnsi="Times New Roman" w:cs="Times New Roman"/>
          <w:color w:val="000000"/>
          <w:sz w:val="24"/>
          <w:szCs w:val="24"/>
        </w:rPr>
      </w:pPr>
    </w:p>
    <w:p w:rsidR="00AF594C" w:rsidRPr="00570450" w:rsidRDefault="00AF594C" w:rsidP="00AF594C">
      <w:pPr>
        <w:pStyle w:val="ListParagraph"/>
        <w:numPr>
          <w:ilvl w:val="0"/>
          <w:numId w:val="6"/>
        </w:numPr>
        <w:tabs>
          <w:tab w:val="left" w:pos="1170"/>
        </w:tabs>
        <w:ind w:left="720" w:hanging="180"/>
        <w:jc w:val="both"/>
        <w:rPr>
          <w:rFonts w:ascii="Times New Roman" w:hAnsi="Times New Roman" w:cs="Times New Roman"/>
          <w:sz w:val="24"/>
          <w:szCs w:val="24"/>
        </w:rPr>
      </w:pPr>
      <w:r w:rsidRPr="00570450">
        <w:rPr>
          <w:rFonts w:ascii="Times New Roman" w:eastAsia="Calibri" w:hAnsi="Times New Roman" w:cs="Times New Roman"/>
          <w:b/>
          <w:iCs/>
          <w:color w:val="000000"/>
          <w:sz w:val="24"/>
          <w:szCs w:val="24"/>
        </w:rPr>
        <w:t>La punctul 30, alineatul (24)</w:t>
      </w:r>
      <w:r w:rsidRPr="00570450">
        <w:rPr>
          <w:rFonts w:ascii="Times New Roman" w:eastAsia="Calibri" w:hAnsi="Times New Roman" w:cs="Times New Roman"/>
          <w:b/>
          <w:bCs/>
          <w:iCs/>
          <w:color w:val="000000"/>
          <w:sz w:val="24"/>
          <w:szCs w:val="24"/>
        </w:rPr>
        <w:t xml:space="preserve">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Calibri" w:hAnsi="Times New Roman" w:cs="Times New Roman"/>
          <w:color w:val="000000"/>
          <w:sz w:val="24"/>
          <w:szCs w:val="24"/>
        </w:rPr>
        <w:t xml:space="preserve">„(24) Un loc poate fi autorizat ca antrepozit fiscal de producţie sau de depozitare de produse energetice numai dacă este echipat cu rezervoare standardizate sau cu rezervoare și recipiente calibrate, distincte pentru fiecare produs accizabil înregistrat în stoc, materii prime, </w:t>
      </w:r>
      <w:r w:rsidRPr="00570450">
        <w:rPr>
          <w:rFonts w:ascii="Times New Roman" w:eastAsia="Calibri" w:hAnsi="Times New Roman" w:cs="Times New Roman"/>
          <w:color w:val="000000"/>
          <w:sz w:val="24"/>
          <w:szCs w:val="24"/>
        </w:rPr>
        <w:lastRenderedPageBreak/>
        <w:t>semifabricate, produse finite, după caz, operatorii economici care solicită autorizarea fiind obligaţi să deţină, pentru fiecare dintre rezervoarele și recipientele calibrate, certificate eliberate de Biroul Român de Metrologie Legală sau de un laborator de metrologie agreat de acesta.”</w:t>
      </w:r>
    </w:p>
    <w:p w:rsidR="00AF594C" w:rsidRPr="00570450" w:rsidRDefault="00AF594C" w:rsidP="00AF594C">
      <w:pPr>
        <w:ind w:firstLine="720"/>
        <w:jc w:val="both"/>
        <w:rPr>
          <w:rFonts w:ascii="Times New Roman" w:eastAsia="Calibri" w:hAnsi="Times New Roman" w:cs="Times New Roman"/>
          <w:color w:val="000000"/>
          <w:sz w:val="24"/>
          <w:szCs w:val="24"/>
        </w:rPr>
      </w:pPr>
    </w:p>
    <w:p w:rsidR="00AF594C" w:rsidRPr="00570450" w:rsidRDefault="00AF594C" w:rsidP="00AF594C">
      <w:pPr>
        <w:pStyle w:val="Standard"/>
        <w:numPr>
          <w:ilvl w:val="0"/>
          <w:numId w:val="6"/>
        </w:numPr>
        <w:tabs>
          <w:tab w:val="left" w:pos="1170"/>
        </w:tabs>
        <w:spacing w:line="360" w:lineRule="auto"/>
        <w:ind w:left="0" w:firstLine="720"/>
        <w:jc w:val="both"/>
        <w:rPr>
          <w:rFonts w:cs="Times New Roman"/>
        </w:rPr>
      </w:pPr>
      <w:r w:rsidRPr="00570450">
        <w:rPr>
          <w:rFonts w:cs="Times New Roman"/>
          <w:b/>
          <w:bCs/>
          <w:color w:val="000000"/>
          <w:lang w:val="ro-RO"/>
        </w:rPr>
        <w:t>La punctul 46, alineatul (3)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color w:val="000000"/>
          <w:sz w:val="24"/>
          <w:szCs w:val="24"/>
        </w:rPr>
        <w:t>„(3) În aplicarea prevederilor art. 375 alin. (2) din Codul fiscal, destinatarul înregistrat are obligaţia să respecte prevederile pct. 44 alin. (7).”</w:t>
      </w:r>
    </w:p>
    <w:p w:rsidR="00AF594C" w:rsidRPr="00570450" w:rsidRDefault="00AF594C" w:rsidP="00AF594C">
      <w:pPr>
        <w:ind w:firstLine="720"/>
        <w:jc w:val="both"/>
        <w:rPr>
          <w:rFonts w:ascii="Times New Roman" w:hAnsi="Times New Roman" w:cs="Times New Roman"/>
          <w:b/>
          <w:bCs/>
          <w:color w:val="000000"/>
          <w:sz w:val="24"/>
          <w:szCs w:val="24"/>
        </w:rPr>
      </w:pPr>
    </w:p>
    <w:p w:rsidR="00AF594C" w:rsidRPr="00570450" w:rsidRDefault="00AF594C" w:rsidP="00AF594C">
      <w:pPr>
        <w:pStyle w:val="Standard"/>
        <w:numPr>
          <w:ilvl w:val="0"/>
          <w:numId w:val="6"/>
        </w:numPr>
        <w:tabs>
          <w:tab w:val="left" w:pos="1170"/>
        </w:tabs>
        <w:spacing w:line="360" w:lineRule="auto"/>
        <w:ind w:left="0" w:firstLine="720"/>
        <w:jc w:val="both"/>
        <w:rPr>
          <w:rFonts w:cs="Times New Roman"/>
        </w:rPr>
      </w:pPr>
      <w:r w:rsidRPr="00570450">
        <w:rPr>
          <w:rFonts w:eastAsia="Calibri" w:cs="Times New Roman"/>
          <w:b/>
          <w:iCs/>
          <w:color w:val="000000"/>
        </w:rPr>
        <w:t>La punctul 61, alineatul (7),</w:t>
      </w:r>
      <w:r w:rsidRPr="00570450">
        <w:rPr>
          <w:rFonts w:eastAsia="Calibri" w:cs="Times New Roman"/>
          <w:b/>
          <w:bCs/>
          <w:iCs/>
          <w:color w:val="000000"/>
        </w:rPr>
        <w:t xml:space="preserve"> după litera c), se introduce o nouă literă, litera d), cu următorul cuprins:</w:t>
      </w:r>
    </w:p>
    <w:p w:rsidR="00AF594C" w:rsidRPr="00570450" w:rsidRDefault="00AF594C" w:rsidP="00AF594C">
      <w:pPr>
        <w:tabs>
          <w:tab w:val="left" w:pos="1170"/>
        </w:tabs>
        <w:ind w:firstLine="720"/>
        <w:jc w:val="both"/>
        <w:rPr>
          <w:rFonts w:ascii="Times New Roman" w:hAnsi="Times New Roman" w:cs="Times New Roman"/>
          <w:sz w:val="24"/>
          <w:szCs w:val="24"/>
        </w:rPr>
      </w:pPr>
      <w:r w:rsidRPr="00570450">
        <w:rPr>
          <w:rFonts w:ascii="Times New Roman" w:eastAsia="Calibri" w:hAnsi="Times New Roman" w:cs="Times New Roman"/>
          <w:iCs/>
          <w:color w:val="000000"/>
          <w:sz w:val="24"/>
          <w:szCs w:val="24"/>
        </w:rPr>
        <w:t>„</w:t>
      </w:r>
      <w:r w:rsidRPr="00570450">
        <w:rPr>
          <w:rFonts w:ascii="Times New Roman" w:hAnsi="Times New Roman" w:cs="Times New Roman"/>
          <w:color w:val="000000"/>
          <w:sz w:val="24"/>
          <w:szCs w:val="24"/>
        </w:rPr>
        <w:t>d) solicitantul nu înregistrează obligaţii fiscale restante la bugetul general consolidat de natura celor administrate de A.N.A.F.”</w:t>
      </w:r>
    </w:p>
    <w:p w:rsidR="00AF594C" w:rsidRPr="00570450" w:rsidRDefault="00AF594C" w:rsidP="00AF594C">
      <w:pPr>
        <w:tabs>
          <w:tab w:val="left" w:pos="1170"/>
        </w:tabs>
        <w:ind w:firstLine="720"/>
        <w:jc w:val="both"/>
        <w:rPr>
          <w:rFonts w:ascii="Times New Roman" w:hAnsi="Times New Roman" w:cs="Times New Roman"/>
          <w:sz w:val="24"/>
          <w:szCs w:val="24"/>
        </w:rPr>
      </w:pPr>
    </w:p>
    <w:p w:rsidR="00AF594C" w:rsidRPr="00570450" w:rsidRDefault="00AF594C" w:rsidP="00AF594C">
      <w:pPr>
        <w:pStyle w:val="Standard"/>
        <w:numPr>
          <w:ilvl w:val="0"/>
          <w:numId w:val="6"/>
        </w:numPr>
        <w:tabs>
          <w:tab w:val="left" w:pos="1170"/>
        </w:tabs>
        <w:spacing w:line="360" w:lineRule="auto"/>
        <w:ind w:left="0" w:firstLine="720"/>
        <w:jc w:val="both"/>
        <w:rPr>
          <w:rFonts w:cs="Times New Roman"/>
        </w:rPr>
      </w:pPr>
      <w:r w:rsidRPr="00570450">
        <w:rPr>
          <w:rFonts w:eastAsia="Calibri" w:cs="Times New Roman"/>
          <w:b/>
          <w:bCs/>
          <w:iCs/>
          <w:color w:val="000000"/>
          <w:lang w:val="ro-RO"/>
        </w:rPr>
        <w:t>La punctul 83, alineatul (3), după litera d), se introduce o nouă literă, litera e), cu următorul cuprins:</w:t>
      </w:r>
    </w:p>
    <w:p w:rsidR="00AF594C" w:rsidRPr="00570450" w:rsidRDefault="00AF594C" w:rsidP="00AF594C">
      <w:pPr>
        <w:pStyle w:val="Standard"/>
        <w:tabs>
          <w:tab w:val="left" w:pos="1170"/>
        </w:tabs>
        <w:spacing w:line="360" w:lineRule="auto"/>
        <w:ind w:firstLine="720"/>
        <w:jc w:val="both"/>
        <w:rPr>
          <w:rFonts w:cs="Times New Roman"/>
        </w:rPr>
      </w:pPr>
      <w:r w:rsidRPr="00570450">
        <w:rPr>
          <w:rFonts w:eastAsia="Calibri" w:cs="Times New Roman"/>
          <w:iCs/>
          <w:color w:val="000000"/>
          <w:lang w:val="ro-RO"/>
        </w:rPr>
        <w:t>„</w:t>
      </w:r>
      <w:r w:rsidRPr="00570450">
        <w:rPr>
          <w:rFonts w:cs="Times New Roman"/>
          <w:color w:val="000000"/>
          <w:lang w:val="ro-RO"/>
        </w:rPr>
        <w:t>e) solicitantul nu înregistrează obligaţii fiscale restante la bugetul general consolidat de natura celor administrate de A.N.A.F.</w:t>
      </w:r>
      <w:r w:rsidRPr="00570450">
        <w:rPr>
          <w:rFonts w:cs="Times New Roman"/>
          <w:b/>
          <w:bCs/>
          <w:color w:val="000000"/>
          <w:lang w:val="ro-RO"/>
        </w:rPr>
        <w:t>”</w:t>
      </w:r>
    </w:p>
    <w:p w:rsidR="00AF594C" w:rsidRPr="00570450" w:rsidRDefault="00AF594C" w:rsidP="00AF594C">
      <w:pPr>
        <w:pStyle w:val="Standard"/>
        <w:tabs>
          <w:tab w:val="left" w:pos="1170"/>
        </w:tabs>
        <w:ind w:firstLine="720"/>
        <w:jc w:val="both"/>
        <w:rPr>
          <w:rFonts w:cs="Times New Roman"/>
          <w:b/>
          <w:bCs/>
          <w:color w:val="538135"/>
          <w:lang w:val="ro-RO"/>
        </w:rPr>
      </w:pPr>
    </w:p>
    <w:p w:rsidR="00AF594C" w:rsidRPr="00570450" w:rsidRDefault="00AF594C" w:rsidP="00AF594C">
      <w:pPr>
        <w:pStyle w:val="Standard"/>
        <w:numPr>
          <w:ilvl w:val="0"/>
          <w:numId w:val="6"/>
        </w:numPr>
        <w:tabs>
          <w:tab w:val="left" w:pos="1170"/>
        </w:tabs>
        <w:spacing w:line="360" w:lineRule="auto"/>
        <w:ind w:left="0" w:firstLine="720"/>
        <w:jc w:val="both"/>
        <w:rPr>
          <w:rFonts w:cs="Times New Roman"/>
        </w:rPr>
      </w:pPr>
      <w:r w:rsidRPr="00570450">
        <w:rPr>
          <w:rFonts w:cs="Times New Roman"/>
          <w:b/>
          <w:bCs/>
          <w:color w:val="000000"/>
          <w:lang w:val="ro-RO"/>
        </w:rPr>
        <w:t>La punctul 92, alineatul (2) se modifică și va avea următorul cuprins:</w:t>
      </w: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„(2) În aplicarea alin. (1) se consideră că produsele energetice sunt aprovizionate indirect de la un antrepozit fiscal în cazul în care combustibilul pentru aviație expediat de la un antrepozit fiscal este recepționat în scutire de accize de către persoana prevăzută la alin. (4), în alimentatoare autorizate exclusiv pentru circulația în incinta aeroportului, și care alimentează efectiv aeronavele, precum și în cazul în care combustibilul pentru aviație expediat de la un antrepozit fiscal este recepționat în scutire de accize de către persoana prevăzută la alin. (4) lit. b) și c) în alimentatoare destinate alimentării aeronavelor deținute de aceasta sau în rezervoarele deținute sub orice formă de aceasta, pentru alimentarea ulterioară a aeronavelor pe care le deține.</w:t>
      </w:r>
      <w:r w:rsidRPr="00570450">
        <w:rPr>
          <w:rFonts w:ascii="Times New Roman" w:hAnsi="Times New Roman" w:cs="Times New Roman"/>
          <w:color w:val="000000"/>
          <w:sz w:val="24"/>
          <w:szCs w:val="24"/>
        </w:rPr>
        <w:t>”</w:t>
      </w:r>
      <w:r w:rsidRPr="00570450">
        <w:rPr>
          <w:rFonts w:ascii="Times New Roman" w:eastAsia="Arial" w:hAnsi="Times New Roman" w:cs="Times New Roman"/>
          <w:color w:val="000000"/>
          <w:sz w:val="24"/>
          <w:szCs w:val="24"/>
        </w:rPr>
        <w:t xml:space="preserve"> </w:t>
      </w:r>
    </w:p>
    <w:p w:rsidR="00AF594C" w:rsidRPr="00570450" w:rsidRDefault="00AF594C" w:rsidP="00AF594C">
      <w:pPr>
        <w:pStyle w:val="ListParagraph"/>
        <w:ind w:left="0" w:firstLine="450"/>
        <w:jc w:val="both"/>
        <w:rPr>
          <w:rFonts w:ascii="Times New Roman" w:eastAsia="Arial" w:hAnsi="Times New Roman" w:cs="Times New Roman"/>
          <w:color w:val="000000"/>
          <w:sz w:val="24"/>
          <w:szCs w:val="24"/>
        </w:rPr>
      </w:pPr>
    </w:p>
    <w:p w:rsidR="00AF594C" w:rsidRPr="00570450" w:rsidRDefault="00AF594C" w:rsidP="00AF594C">
      <w:pPr>
        <w:pStyle w:val="ListParagraph"/>
        <w:numPr>
          <w:ilvl w:val="0"/>
          <w:numId w:val="6"/>
        </w:numPr>
        <w:tabs>
          <w:tab w:val="left" w:pos="1260"/>
        </w:tabs>
        <w:ind w:left="0" w:firstLine="810"/>
        <w:jc w:val="both"/>
        <w:rPr>
          <w:rFonts w:ascii="Times New Roman" w:hAnsi="Times New Roman" w:cs="Times New Roman"/>
          <w:sz w:val="24"/>
          <w:szCs w:val="24"/>
        </w:rPr>
      </w:pPr>
      <w:r w:rsidRPr="00570450">
        <w:rPr>
          <w:rFonts w:ascii="Times New Roman" w:hAnsi="Times New Roman" w:cs="Times New Roman"/>
          <w:b/>
          <w:bCs/>
          <w:color w:val="000000"/>
          <w:sz w:val="24"/>
          <w:szCs w:val="24"/>
        </w:rPr>
        <w:t xml:space="preserve">La punctul 92, </w:t>
      </w:r>
      <w:r w:rsidRPr="00570450">
        <w:rPr>
          <w:rFonts w:ascii="Times New Roman" w:eastAsia="Andale Sans UI" w:hAnsi="Times New Roman" w:cs="Times New Roman"/>
          <w:b/>
          <w:bCs/>
          <w:color w:val="000000"/>
          <w:sz w:val="24"/>
          <w:szCs w:val="24"/>
          <w:lang w:eastAsia="zh-CN" w:bidi="en-US"/>
        </w:rPr>
        <w:t>după alineatul (2) se introduce un nou alineat, alineatul (2</w:t>
      </w:r>
      <w:r w:rsidRPr="00570450">
        <w:rPr>
          <w:rFonts w:ascii="Times New Roman" w:eastAsia="Andale Sans UI" w:hAnsi="Times New Roman" w:cs="Times New Roman"/>
          <w:b/>
          <w:bCs/>
          <w:color w:val="000000"/>
          <w:sz w:val="24"/>
          <w:szCs w:val="24"/>
          <w:vertAlign w:val="superscript"/>
          <w:lang w:eastAsia="zh-CN" w:bidi="en-US"/>
        </w:rPr>
        <w:t>1</w:t>
      </w:r>
      <w:r w:rsidRPr="00570450">
        <w:rPr>
          <w:rFonts w:ascii="Times New Roman" w:eastAsia="Andale Sans UI" w:hAnsi="Times New Roman" w:cs="Times New Roman"/>
          <w:b/>
          <w:bCs/>
          <w:color w:val="000000"/>
          <w:sz w:val="24"/>
          <w:szCs w:val="24"/>
          <w:lang w:eastAsia="zh-CN" w:bidi="en-US"/>
        </w:rPr>
        <w:t>), cu următorul cuprins:</w:t>
      </w:r>
    </w:p>
    <w:p w:rsidR="00AF594C" w:rsidRPr="00570450" w:rsidRDefault="00AF594C" w:rsidP="00AF594C">
      <w:pPr>
        <w:pStyle w:val="ListParagraph"/>
        <w:ind w:left="0" w:firstLine="450"/>
        <w:jc w:val="both"/>
        <w:rPr>
          <w:rFonts w:ascii="Times New Roman" w:eastAsia="Arial" w:hAnsi="Times New Roman" w:cs="Times New Roman"/>
          <w:color w:val="000000"/>
          <w:sz w:val="24"/>
          <w:szCs w:val="24"/>
        </w:rPr>
      </w:pPr>
    </w:p>
    <w:p w:rsidR="00AF594C" w:rsidRPr="00570450" w:rsidRDefault="00AF594C" w:rsidP="00AF594C">
      <w:pPr>
        <w:pStyle w:val="ListParagraph"/>
        <w:ind w:left="0" w:firstLine="81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„(2</w:t>
      </w:r>
      <w:r w:rsidRPr="00570450">
        <w:rPr>
          <w:rFonts w:ascii="Times New Roman" w:eastAsia="Arial" w:hAnsi="Times New Roman" w:cs="Times New Roman"/>
          <w:color w:val="000000"/>
          <w:sz w:val="24"/>
          <w:szCs w:val="24"/>
          <w:vertAlign w:val="superscript"/>
        </w:rPr>
        <w:t>1</w:t>
      </w:r>
      <w:r w:rsidRPr="00570450">
        <w:rPr>
          <w:rFonts w:ascii="Times New Roman" w:eastAsia="Arial" w:hAnsi="Times New Roman" w:cs="Times New Roman"/>
          <w:color w:val="000000"/>
          <w:sz w:val="24"/>
          <w:szCs w:val="24"/>
        </w:rPr>
        <w:t>) Responsabilitatea cu privire la livrarea combustibilului pentru aviație potrivit scopului scutit revine persoanei prevăzute la alin. (4), iar dovada livrării efective a acestuia la aeronavele care îl utilizează efectiv, potrivit scopului scutit, este documentul de livrare semnat de comandantul aeronavei aprovizionate, respectiv de conducătorii structurilor competente din cadrul autorităților prevăzute la alin. (4) lit. c).”</w:t>
      </w:r>
    </w:p>
    <w:p w:rsidR="00AF594C" w:rsidRPr="00570450" w:rsidRDefault="00AF594C" w:rsidP="00AF594C">
      <w:pPr>
        <w:pStyle w:val="ListParagraph"/>
        <w:ind w:left="0" w:firstLine="450"/>
        <w:jc w:val="both"/>
        <w:rPr>
          <w:rFonts w:ascii="Times New Roman" w:eastAsia="Arial" w:hAnsi="Times New Roman" w:cs="Times New Roman"/>
          <w:color w:val="000000"/>
          <w:sz w:val="24"/>
          <w:szCs w:val="24"/>
        </w:rPr>
      </w:pPr>
    </w:p>
    <w:p w:rsidR="00AF594C" w:rsidRPr="00570450" w:rsidRDefault="00AF594C" w:rsidP="00AF594C">
      <w:pPr>
        <w:pStyle w:val="ListParagraph"/>
        <w:numPr>
          <w:ilvl w:val="0"/>
          <w:numId w:val="6"/>
        </w:numPr>
        <w:tabs>
          <w:tab w:val="left" w:pos="1260"/>
        </w:tabs>
        <w:ind w:left="720" w:hanging="90"/>
        <w:jc w:val="both"/>
        <w:rPr>
          <w:rFonts w:ascii="Times New Roman" w:hAnsi="Times New Roman" w:cs="Times New Roman"/>
          <w:sz w:val="24"/>
          <w:szCs w:val="24"/>
        </w:rPr>
      </w:pPr>
      <w:r w:rsidRPr="00570450">
        <w:rPr>
          <w:rFonts w:ascii="Times New Roman" w:eastAsia="Arial" w:hAnsi="Times New Roman" w:cs="Times New Roman"/>
          <w:b/>
          <w:color w:val="000000"/>
          <w:sz w:val="24"/>
          <w:szCs w:val="24"/>
        </w:rPr>
        <w:t>La punctul 92, alineatul (3) se modifică și va avea următorul cuprins:</w:t>
      </w:r>
    </w:p>
    <w:p w:rsidR="00AF594C" w:rsidRPr="00570450" w:rsidRDefault="00AF594C" w:rsidP="00AF594C">
      <w:pPr>
        <w:ind w:firstLine="54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“(3) Scutirea de la plata accizelor prevăzută la art. 399 alin. (1) lit. a) din Codul fiscal se acordă direct și în cazul în care persoana prevăzută la alin. (4) lit. b) aprovizionează aeronavele deținute cu produse energetice care provin din achiziții intracomunitare proprii. În acest caz operatorii economici trebuie să dețină și calitatea de destinatar înregistrat. Prevederile alin. (2</w:t>
      </w:r>
      <w:r w:rsidRPr="00570450">
        <w:rPr>
          <w:rFonts w:ascii="Times New Roman" w:eastAsia="Arial" w:hAnsi="Times New Roman" w:cs="Times New Roman"/>
          <w:color w:val="000000"/>
          <w:sz w:val="24"/>
          <w:szCs w:val="24"/>
          <w:vertAlign w:val="superscript"/>
        </w:rPr>
        <w:t>1</w:t>
      </w:r>
      <w:r w:rsidRPr="00570450">
        <w:rPr>
          <w:rFonts w:ascii="Times New Roman" w:eastAsia="Arial" w:hAnsi="Times New Roman" w:cs="Times New Roman"/>
          <w:color w:val="000000"/>
          <w:sz w:val="24"/>
          <w:szCs w:val="24"/>
        </w:rPr>
        <w:t>) se aplică în mod corespunzător.”</w:t>
      </w:r>
    </w:p>
    <w:p w:rsidR="00AF594C" w:rsidRPr="00570450" w:rsidRDefault="00AF594C" w:rsidP="00AF594C">
      <w:pPr>
        <w:pStyle w:val="ListParagraph"/>
        <w:ind w:left="0" w:firstLine="450"/>
        <w:jc w:val="both"/>
        <w:rPr>
          <w:rFonts w:ascii="Times New Roman" w:eastAsia="Arial" w:hAnsi="Times New Roman" w:cs="Times New Roman"/>
          <w:color w:val="000000"/>
          <w:sz w:val="24"/>
          <w:szCs w:val="24"/>
        </w:rPr>
      </w:pPr>
    </w:p>
    <w:p w:rsidR="00AF594C" w:rsidRPr="00570450" w:rsidRDefault="00AF594C" w:rsidP="00AF594C">
      <w:pPr>
        <w:pStyle w:val="Standard"/>
        <w:numPr>
          <w:ilvl w:val="0"/>
          <w:numId w:val="6"/>
        </w:numPr>
        <w:tabs>
          <w:tab w:val="left" w:pos="709"/>
          <w:tab w:val="left" w:pos="1350"/>
        </w:tabs>
        <w:ind w:left="0" w:firstLine="720"/>
        <w:jc w:val="both"/>
        <w:rPr>
          <w:rFonts w:cs="Times New Roman"/>
        </w:rPr>
      </w:pPr>
      <w:r w:rsidRPr="00570450">
        <w:rPr>
          <w:rFonts w:cs="Times New Roman"/>
          <w:b/>
          <w:bCs/>
          <w:color w:val="000000"/>
          <w:lang w:val="ro-RO"/>
        </w:rPr>
        <w:t>La punctul 92, alineatul (4), litera c) se modifică și va avea următorul cuprins:</w:t>
      </w:r>
    </w:p>
    <w:p w:rsidR="00AF594C" w:rsidRPr="00570450" w:rsidRDefault="00AF594C" w:rsidP="00AF594C">
      <w:pPr>
        <w:pStyle w:val="Standard"/>
        <w:tabs>
          <w:tab w:val="left" w:pos="709"/>
        </w:tabs>
        <w:ind w:left="810"/>
        <w:jc w:val="both"/>
        <w:rPr>
          <w:rFonts w:cs="Times New Roman"/>
          <w:color w:val="000000"/>
          <w:lang w:val="ro-RO"/>
        </w:rPr>
      </w:pP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w:t>
      </w:r>
      <w:r w:rsidRPr="00570450">
        <w:rPr>
          <w:rFonts w:ascii="Times New Roman" w:hAnsi="Times New Roman" w:cs="Times New Roman"/>
          <w:color w:val="000000"/>
          <w:sz w:val="24"/>
          <w:szCs w:val="24"/>
        </w:rPr>
        <w:t>c) autoritățile publice.</w:t>
      </w:r>
      <w:r w:rsidRPr="00570450">
        <w:rPr>
          <w:rFonts w:ascii="Times New Roman" w:eastAsia="Arial" w:hAnsi="Times New Roman" w:cs="Times New Roman"/>
          <w:color w:val="000000"/>
          <w:sz w:val="24"/>
          <w:szCs w:val="24"/>
        </w:rPr>
        <w:t>”</w:t>
      </w:r>
    </w:p>
    <w:p w:rsidR="00AF594C" w:rsidRPr="00570450" w:rsidRDefault="00AF594C" w:rsidP="00AF594C">
      <w:pPr>
        <w:ind w:firstLine="450"/>
        <w:jc w:val="both"/>
        <w:rPr>
          <w:rFonts w:ascii="Times New Roman" w:eastAsia="Arial" w:hAnsi="Times New Roman" w:cs="Times New Roman"/>
          <w:color w:val="000000"/>
          <w:sz w:val="24"/>
          <w:szCs w:val="24"/>
        </w:rPr>
      </w:pPr>
    </w:p>
    <w:p w:rsidR="00AF594C" w:rsidRPr="00570450" w:rsidRDefault="00AF594C" w:rsidP="00AF594C">
      <w:pPr>
        <w:pStyle w:val="Standard"/>
        <w:numPr>
          <w:ilvl w:val="0"/>
          <w:numId w:val="6"/>
        </w:numPr>
        <w:tabs>
          <w:tab w:val="left" w:pos="709"/>
          <w:tab w:val="left" w:pos="1260"/>
        </w:tabs>
        <w:ind w:hanging="90"/>
        <w:jc w:val="both"/>
        <w:rPr>
          <w:rFonts w:cs="Times New Roman"/>
        </w:rPr>
      </w:pPr>
      <w:r w:rsidRPr="00570450">
        <w:rPr>
          <w:rFonts w:cs="Times New Roman"/>
          <w:b/>
          <w:bCs/>
          <w:color w:val="000000"/>
          <w:lang w:val="ro-RO"/>
        </w:rPr>
        <w:t>La punctul 92</w:t>
      </w:r>
      <w:r w:rsidRPr="00570450">
        <w:rPr>
          <w:rFonts w:cs="Times New Roman"/>
          <w:b/>
          <w:bCs/>
          <w:color w:val="000000"/>
          <w:vertAlign w:val="superscript"/>
          <w:lang w:val="ro-RO"/>
        </w:rPr>
        <w:t>1</w:t>
      </w:r>
      <w:r w:rsidRPr="00570450">
        <w:rPr>
          <w:rFonts w:cs="Times New Roman"/>
          <w:b/>
          <w:bCs/>
          <w:color w:val="000000"/>
          <w:lang w:val="ro-RO"/>
        </w:rPr>
        <w:t>, alineatele (1) și (2) se modifică și vor avea următorul cuprins:</w:t>
      </w:r>
    </w:p>
    <w:p w:rsidR="00AF594C" w:rsidRPr="00570450" w:rsidRDefault="00AF594C" w:rsidP="00AF594C">
      <w:pPr>
        <w:pStyle w:val="Standard"/>
        <w:tabs>
          <w:tab w:val="left" w:pos="709"/>
        </w:tabs>
        <w:ind w:left="810"/>
        <w:jc w:val="both"/>
        <w:rPr>
          <w:rFonts w:cs="Times New Roman"/>
          <w:b/>
          <w:bCs/>
          <w:color w:val="000000"/>
          <w:lang w:val="ro-RO"/>
        </w:rPr>
      </w:pPr>
    </w:p>
    <w:p w:rsidR="00AF594C" w:rsidRPr="00570450" w:rsidRDefault="00AF594C" w:rsidP="00AF594C">
      <w:pPr>
        <w:pStyle w:val="ListParagraph"/>
        <w:ind w:left="0" w:firstLine="72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w:t>
      </w:r>
      <w:r w:rsidRPr="00570450">
        <w:rPr>
          <w:rFonts w:ascii="Times New Roman" w:hAnsi="Times New Roman" w:cs="Times New Roman"/>
          <w:iCs/>
          <w:color w:val="000000"/>
          <w:sz w:val="24"/>
          <w:szCs w:val="24"/>
        </w:rPr>
        <w:t>(1) Scutirea directă de la plata accizelor, conform art. 399 alin. (1) lit. a) din Codul fiscal, se aplică şi în cazul produselor energetice destinate utilizării drept combustibil pentru aviaţie de către autoritățile publice, deplasate către un loc de livrare directă situat pe teritoriul României, în cazul în care locul respectiv a fost indicat de antrepozitarul autorizat din România.</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hAnsi="Times New Roman" w:cs="Times New Roman"/>
          <w:iCs/>
          <w:color w:val="000000"/>
          <w:sz w:val="24"/>
          <w:szCs w:val="24"/>
        </w:rPr>
        <w:t>(2) În sensul alin. (1), prin loc de livrare directă se înţelege locul unde produsele energetice destinate utilizării drept combustibil pentru aviaţie sunt recepţionate în alimentatoarele destinate alimentării aeronavelor deţinute de autoritățile publice sau în rezervoarele deţinute sub orice formă de aceste autorități publice, pentru alimentarea ulterioară a aeronavelor pe care le deţin, cu respectarea condiţiilor prevăzute la art. 401 - 412 din Codul fiscal şi pct. 124 - 134 din prezentele norme.</w:t>
      </w:r>
      <w:r w:rsidRPr="00570450">
        <w:rPr>
          <w:rFonts w:ascii="Times New Roman" w:eastAsia="Arial" w:hAnsi="Times New Roman" w:cs="Times New Roman"/>
          <w:color w:val="000000"/>
          <w:sz w:val="24"/>
          <w:szCs w:val="24"/>
        </w:rPr>
        <w:t>”</w:t>
      </w:r>
    </w:p>
    <w:p w:rsidR="00AF594C" w:rsidRPr="00570450" w:rsidRDefault="00AF594C" w:rsidP="00AF594C">
      <w:pPr>
        <w:ind w:firstLine="720"/>
        <w:jc w:val="both"/>
        <w:rPr>
          <w:rFonts w:ascii="Times New Roman" w:eastAsia="Arial" w:hAnsi="Times New Roman" w:cs="Times New Roman"/>
          <w:color w:val="000000"/>
          <w:sz w:val="24"/>
          <w:szCs w:val="24"/>
        </w:rPr>
      </w:pPr>
    </w:p>
    <w:p w:rsidR="00AF594C" w:rsidRPr="00570450" w:rsidRDefault="00AF594C" w:rsidP="00AF594C">
      <w:pPr>
        <w:pStyle w:val="Standard"/>
        <w:numPr>
          <w:ilvl w:val="0"/>
          <w:numId w:val="6"/>
        </w:numPr>
        <w:tabs>
          <w:tab w:val="left" w:pos="709"/>
          <w:tab w:val="left" w:pos="1260"/>
        </w:tabs>
        <w:spacing w:line="360" w:lineRule="auto"/>
        <w:ind w:left="0" w:firstLine="720"/>
        <w:jc w:val="both"/>
        <w:rPr>
          <w:rFonts w:cs="Times New Roman"/>
        </w:rPr>
      </w:pPr>
      <w:r w:rsidRPr="00570450">
        <w:rPr>
          <w:rFonts w:cs="Times New Roman"/>
          <w:b/>
          <w:bCs/>
          <w:color w:val="000000"/>
          <w:lang w:val="ro-RO"/>
        </w:rPr>
        <w:t>La punctul 93, alineatul (4), litera c) se modifică și va avea următorul cuprins:</w:t>
      </w:r>
    </w:p>
    <w:p w:rsidR="00AF594C" w:rsidRPr="00570450" w:rsidRDefault="00AF594C" w:rsidP="00AF594C">
      <w:pPr>
        <w:pStyle w:val="ListParagraph"/>
        <w:tabs>
          <w:tab w:val="left" w:pos="709"/>
          <w:tab w:val="left" w:pos="1260"/>
        </w:tabs>
        <w:ind w:left="810" w:hanging="9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w:t>
      </w:r>
      <w:r w:rsidRPr="00570450">
        <w:rPr>
          <w:rFonts w:ascii="Times New Roman" w:hAnsi="Times New Roman" w:cs="Times New Roman"/>
          <w:iCs/>
          <w:color w:val="000000"/>
          <w:sz w:val="24"/>
          <w:szCs w:val="24"/>
        </w:rPr>
        <w:t>(</w:t>
      </w:r>
      <w:r w:rsidRPr="00570450">
        <w:rPr>
          <w:rFonts w:ascii="Times New Roman" w:hAnsi="Times New Roman" w:cs="Times New Roman"/>
          <w:color w:val="000000"/>
          <w:sz w:val="24"/>
          <w:szCs w:val="24"/>
        </w:rPr>
        <w:t>c) autoritățile publice.</w:t>
      </w:r>
      <w:r w:rsidRPr="00570450">
        <w:rPr>
          <w:rFonts w:ascii="Times New Roman" w:eastAsia="Arial" w:hAnsi="Times New Roman" w:cs="Times New Roman"/>
          <w:color w:val="000000"/>
          <w:sz w:val="24"/>
          <w:szCs w:val="24"/>
        </w:rPr>
        <w:t>”</w:t>
      </w:r>
    </w:p>
    <w:p w:rsidR="00AF594C" w:rsidRPr="00570450" w:rsidRDefault="00AF594C" w:rsidP="00AF594C">
      <w:pPr>
        <w:pStyle w:val="Standard"/>
        <w:tabs>
          <w:tab w:val="left" w:pos="709"/>
          <w:tab w:val="left" w:pos="1260"/>
        </w:tabs>
        <w:ind w:left="720"/>
        <w:jc w:val="both"/>
        <w:rPr>
          <w:rFonts w:cs="Times New Roman"/>
          <w:color w:val="000000"/>
          <w:lang w:val="ro-RO"/>
        </w:rPr>
      </w:pPr>
    </w:p>
    <w:p w:rsidR="00AF594C" w:rsidRPr="00570450" w:rsidRDefault="00AF594C" w:rsidP="00AF594C">
      <w:pPr>
        <w:pStyle w:val="Standard"/>
        <w:numPr>
          <w:ilvl w:val="0"/>
          <w:numId w:val="6"/>
        </w:numPr>
        <w:tabs>
          <w:tab w:val="left" w:pos="709"/>
          <w:tab w:val="left" w:pos="1260"/>
        </w:tabs>
        <w:spacing w:after="120"/>
        <w:ind w:left="0" w:firstLine="720"/>
        <w:jc w:val="both"/>
        <w:rPr>
          <w:rFonts w:cs="Times New Roman"/>
        </w:rPr>
      </w:pPr>
      <w:r w:rsidRPr="00570450">
        <w:rPr>
          <w:rFonts w:cs="Times New Roman"/>
          <w:b/>
          <w:bCs/>
          <w:color w:val="000000"/>
          <w:lang w:val="ro-RO"/>
        </w:rPr>
        <w:t>La punctul 120, alineatul (2)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w:t>
      </w:r>
      <w:r w:rsidRPr="00570450">
        <w:rPr>
          <w:rFonts w:ascii="Times New Roman" w:hAnsi="Times New Roman" w:cs="Times New Roman"/>
          <w:color w:val="000000"/>
          <w:sz w:val="24"/>
          <w:szCs w:val="24"/>
        </w:rPr>
        <w:t xml:space="preserve">(2) În cazul prevăzut la alin. (1), operatorul economic anunță în scris autoritatea vamală teritorială despre intenția de a retrage de pe piață produsele accizabile, în vederea reciclării, recondiționării, distrugerii, cu cel puțin 7 zile lucrătoare înainte de data la care începe/se realizează distrugerea acestora, ori produsele sunt introduse în antrepozitul </w:t>
      </w:r>
      <w:r w:rsidRPr="00570450">
        <w:rPr>
          <w:rFonts w:ascii="Times New Roman" w:hAnsi="Times New Roman" w:cs="Times New Roman"/>
          <w:sz w:val="24"/>
          <w:szCs w:val="24"/>
        </w:rPr>
        <w:t>fiscal d</w:t>
      </w:r>
      <w:r w:rsidRPr="00570450">
        <w:rPr>
          <w:rFonts w:ascii="Times New Roman" w:hAnsi="Times New Roman" w:cs="Times New Roman"/>
          <w:color w:val="000000"/>
          <w:sz w:val="24"/>
          <w:szCs w:val="24"/>
        </w:rPr>
        <w:t>e producție, în cazul reciclării sau recondiționării. Distrugerea băuturilor alcoolice și a produselor din tutun prelucrat retrase de pe piață poate fi efectuată fie în antrepozit fiscal, fie într-o altă locație stabilită de operatorul care retrage produsele de pe piață, cu condiția respectării prevederilor legislației de mediu în materie de distrugere.</w:t>
      </w:r>
      <w:r w:rsidRPr="00570450">
        <w:rPr>
          <w:rFonts w:ascii="Times New Roman" w:eastAsia="Arial" w:hAnsi="Times New Roman" w:cs="Times New Roman"/>
          <w:color w:val="000000"/>
          <w:sz w:val="24"/>
          <w:szCs w:val="24"/>
        </w:rPr>
        <w:t>”</w:t>
      </w:r>
    </w:p>
    <w:p w:rsidR="00AF594C" w:rsidRPr="00570450" w:rsidRDefault="00AF594C" w:rsidP="00AF594C">
      <w:pPr>
        <w:pStyle w:val="ListParagraph"/>
        <w:jc w:val="both"/>
        <w:rPr>
          <w:rFonts w:ascii="Times New Roman" w:hAnsi="Times New Roman" w:cs="Times New Roman"/>
          <w:color w:val="000000"/>
          <w:sz w:val="24"/>
          <w:szCs w:val="24"/>
        </w:rPr>
      </w:pPr>
    </w:p>
    <w:p w:rsidR="00AF594C" w:rsidRPr="00570450" w:rsidRDefault="00AF594C" w:rsidP="00AF594C">
      <w:pPr>
        <w:pStyle w:val="Standard"/>
        <w:numPr>
          <w:ilvl w:val="0"/>
          <w:numId w:val="6"/>
        </w:numPr>
        <w:tabs>
          <w:tab w:val="left" w:pos="709"/>
          <w:tab w:val="left" w:pos="1260"/>
        </w:tabs>
        <w:spacing w:line="360" w:lineRule="auto"/>
        <w:ind w:left="0" w:firstLine="720"/>
        <w:jc w:val="both"/>
        <w:rPr>
          <w:rFonts w:cs="Times New Roman"/>
        </w:rPr>
      </w:pPr>
      <w:r w:rsidRPr="00570450">
        <w:rPr>
          <w:rFonts w:cs="Times New Roman"/>
          <w:b/>
          <w:bCs/>
          <w:color w:val="000000"/>
          <w:lang w:val="ro-RO"/>
        </w:rPr>
        <w:lastRenderedPageBreak/>
        <w:t>La punctul 120, alineatul (4), litera b) se modifică și va avea următorul cuprins:</w:t>
      </w:r>
    </w:p>
    <w:p w:rsidR="00AF594C" w:rsidRPr="00570450" w:rsidRDefault="00AF594C" w:rsidP="00AF594C">
      <w:pPr>
        <w:ind w:firstLine="720"/>
        <w:jc w:val="both"/>
        <w:rPr>
          <w:rFonts w:ascii="Times New Roman" w:hAnsi="Times New Roman" w:cs="Times New Roman"/>
          <w:sz w:val="24"/>
          <w:szCs w:val="24"/>
        </w:rPr>
      </w:pPr>
      <w:r w:rsidRPr="00570450">
        <w:rPr>
          <w:rFonts w:ascii="Times New Roman" w:eastAsia="Arial" w:hAnsi="Times New Roman" w:cs="Times New Roman"/>
          <w:color w:val="000000"/>
          <w:sz w:val="24"/>
          <w:szCs w:val="24"/>
        </w:rPr>
        <w:t>„</w:t>
      </w:r>
      <w:r w:rsidRPr="00570450">
        <w:rPr>
          <w:rFonts w:ascii="Times New Roman" w:hAnsi="Times New Roman" w:cs="Times New Roman"/>
          <w:color w:val="000000"/>
          <w:sz w:val="24"/>
          <w:szCs w:val="24"/>
        </w:rPr>
        <w:t>b) în cazul distrugerii, indiferent de locația în care aceasta se realizează, asistă, începând cu data comunicată de operatorul economic conform alin. (2), la distrugerea băuturilor alcoolice și produselor din tutun prelucrat și certifică documentul de distrugere;</w:t>
      </w:r>
      <w:r w:rsidRPr="00570450">
        <w:rPr>
          <w:rFonts w:ascii="Times New Roman" w:eastAsia="Arial" w:hAnsi="Times New Roman" w:cs="Times New Roman"/>
          <w:color w:val="000000"/>
          <w:sz w:val="24"/>
          <w:szCs w:val="24"/>
        </w:rPr>
        <w:t>”</w:t>
      </w:r>
    </w:p>
    <w:p w:rsidR="00AF594C" w:rsidRPr="00570450" w:rsidRDefault="00AF594C" w:rsidP="00AF594C">
      <w:pPr>
        <w:ind w:firstLine="720"/>
        <w:jc w:val="both"/>
        <w:rPr>
          <w:rFonts w:ascii="Times New Roman" w:eastAsia="Arial" w:hAnsi="Times New Roman" w:cs="Times New Roman"/>
          <w:color w:val="000000"/>
          <w:sz w:val="24"/>
          <w:szCs w:val="24"/>
        </w:rPr>
      </w:pPr>
    </w:p>
    <w:p w:rsidR="00AF594C" w:rsidRPr="00570450" w:rsidRDefault="00AF594C" w:rsidP="00AF594C">
      <w:pPr>
        <w:pStyle w:val="Standard"/>
        <w:numPr>
          <w:ilvl w:val="0"/>
          <w:numId w:val="6"/>
        </w:numPr>
        <w:tabs>
          <w:tab w:val="left" w:pos="709"/>
          <w:tab w:val="left" w:pos="1260"/>
        </w:tabs>
        <w:spacing w:line="360" w:lineRule="auto"/>
        <w:ind w:left="0" w:firstLine="720"/>
        <w:jc w:val="both"/>
        <w:rPr>
          <w:rFonts w:cs="Times New Roman"/>
        </w:rPr>
      </w:pPr>
      <w:r w:rsidRPr="00570450">
        <w:rPr>
          <w:rFonts w:cs="Times New Roman"/>
          <w:b/>
          <w:bCs/>
          <w:color w:val="000000"/>
          <w:lang w:val="ro-RO"/>
        </w:rPr>
        <w:t xml:space="preserve">La punctul 144, după alineatul (4) </w:t>
      </w:r>
      <w:r w:rsidRPr="00570450">
        <w:rPr>
          <w:rFonts w:cs="Times New Roman"/>
          <w:b/>
          <w:bCs/>
          <w:color w:val="000000"/>
        </w:rPr>
        <w:t>se introduce un nou alineat, alineatul</w:t>
      </w:r>
      <w:r w:rsidRPr="00570450">
        <w:rPr>
          <w:rFonts w:cs="Times New Roman"/>
          <w:b/>
          <w:bCs/>
          <w:color w:val="000000"/>
          <w:lang w:val="ro-RO"/>
        </w:rPr>
        <w:t xml:space="preserve"> (5), cu următorul cuprins:</w:t>
      </w:r>
    </w:p>
    <w:p w:rsidR="00AF594C" w:rsidRPr="00570450" w:rsidRDefault="00AF594C" w:rsidP="00AF594C">
      <w:pPr>
        <w:pStyle w:val="Standard"/>
        <w:tabs>
          <w:tab w:val="left" w:pos="709"/>
          <w:tab w:val="left" w:pos="1260"/>
        </w:tabs>
        <w:ind w:left="900"/>
        <w:jc w:val="both"/>
        <w:rPr>
          <w:rFonts w:cs="Times New Roman"/>
          <w:color w:val="000000"/>
          <w:lang w:val="ro-RO"/>
        </w:rPr>
      </w:pPr>
    </w:p>
    <w:p w:rsidR="00AF594C" w:rsidRPr="00570450" w:rsidRDefault="00AF594C" w:rsidP="00AF594C">
      <w:pPr>
        <w:pStyle w:val="ListParagraph"/>
        <w:ind w:left="0" w:firstLine="900"/>
        <w:jc w:val="both"/>
        <w:rPr>
          <w:rFonts w:ascii="Times New Roman" w:hAnsi="Times New Roman" w:cs="Times New Roman"/>
          <w:sz w:val="24"/>
          <w:szCs w:val="24"/>
        </w:rPr>
      </w:pPr>
      <w:r w:rsidRPr="00570450">
        <w:rPr>
          <w:rFonts w:ascii="Times New Roman" w:hAnsi="Times New Roman" w:cs="Times New Roman"/>
          <w:color w:val="000000"/>
          <w:sz w:val="24"/>
          <w:szCs w:val="24"/>
        </w:rPr>
        <w:t xml:space="preserve">„(5) În cazul aprovizionării </w:t>
      </w:r>
      <w:r w:rsidRPr="00570450">
        <w:rPr>
          <w:rFonts w:ascii="Times New Roman" w:hAnsi="Times New Roman" w:cs="Times New Roman"/>
          <w:color w:val="000000"/>
          <w:sz w:val="24"/>
          <w:szCs w:val="24"/>
          <w:lang w:val="en-US"/>
        </w:rPr>
        <w:t xml:space="preserve">cu produse energetice care provin din achiziții intracomunitare proprii a aeronavelor deținute de </w:t>
      </w:r>
      <w:r w:rsidRPr="00570450">
        <w:rPr>
          <w:rFonts w:ascii="Times New Roman" w:eastAsia="Arial" w:hAnsi="Times New Roman" w:cs="Times New Roman"/>
          <w:color w:val="000000"/>
          <w:sz w:val="24"/>
          <w:szCs w:val="24"/>
          <w:lang w:val="en-US"/>
        </w:rPr>
        <w:t>persoana prevăzută la</w:t>
      </w:r>
      <w:r w:rsidRPr="00570450">
        <w:rPr>
          <w:rFonts w:ascii="Times New Roman" w:hAnsi="Times New Roman" w:cs="Times New Roman"/>
          <w:color w:val="000000"/>
          <w:sz w:val="24"/>
          <w:szCs w:val="24"/>
          <w:lang w:val="en-US"/>
        </w:rPr>
        <w:t xml:space="preserve"> la pct. 92 alin. (4) lit. b), deplasarea produselor în cauză de la locul de primire din România către locul de aprovizionare/alimentare al aeronavelor este însoțită de un document comercial care conține informațiile din documentul administrativ electronic pe suport hârtie, prevăzut în anexa nr. 33, care face parte integrantă din prezentele norme metodologice, mai puțin codul de referință administrativ unic.</w:t>
      </w:r>
      <w:r w:rsidRPr="00570450">
        <w:rPr>
          <w:rFonts w:ascii="Times New Roman" w:hAnsi="Times New Roman" w:cs="Times New Roman"/>
          <w:color w:val="000000"/>
          <w:sz w:val="24"/>
          <w:szCs w:val="24"/>
        </w:rPr>
        <w:t>”</w:t>
      </w:r>
    </w:p>
    <w:p w:rsidR="00AF594C" w:rsidRPr="00570450" w:rsidRDefault="00AF594C" w:rsidP="00AF594C">
      <w:pPr>
        <w:pStyle w:val="Standard"/>
        <w:tabs>
          <w:tab w:val="left" w:pos="709"/>
          <w:tab w:val="left" w:pos="1260"/>
        </w:tabs>
        <w:jc w:val="both"/>
        <w:rPr>
          <w:rFonts w:cs="Times New Roman"/>
          <w:color w:val="000000"/>
          <w:lang w:val="ro-RO"/>
        </w:rPr>
      </w:pPr>
    </w:p>
    <w:p w:rsidR="00AF594C" w:rsidRPr="00570450" w:rsidRDefault="00AF594C" w:rsidP="00AF594C">
      <w:pPr>
        <w:pStyle w:val="Standard"/>
        <w:numPr>
          <w:ilvl w:val="0"/>
          <w:numId w:val="6"/>
        </w:numPr>
        <w:spacing w:line="360" w:lineRule="auto"/>
        <w:ind w:left="0" w:firstLine="720"/>
        <w:jc w:val="both"/>
        <w:rPr>
          <w:rFonts w:cs="Times New Roman"/>
        </w:rPr>
      </w:pPr>
      <w:r w:rsidRPr="00570450">
        <w:rPr>
          <w:rFonts w:cs="Times New Roman"/>
          <w:b/>
          <w:bCs/>
          <w:color w:val="000000"/>
          <w:lang w:val="ro-RO"/>
        </w:rPr>
        <w:t>La Capitolul I ”Regimul accizelor armonizate”, Subsecțiunea a 4-a ”Valorificarea produselor accizabile intrate, potrivit legii, în proprietatea statului sau care fac obiectul unei proceduri de executare silită” din cadrul Secțiunii a 22-a ”Alte obligații pentru operatorii economici cu produse accizabile”, se abrogă.</w:t>
      </w:r>
    </w:p>
    <w:p w:rsidR="00AF594C" w:rsidRPr="00570450" w:rsidRDefault="00AF594C" w:rsidP="00AF594C">
      <w:pPr>
        <w:pStyle w:val="Standard"/>
        <w:ind w:left="720"/>
        <w:jc w:val="both"/>
        <w:rPr>
          <w:rFonts w:cs="Times New Roman"/>
          <w:color w:val="000000"/>
          <w:lang w:val="ro-RO"/>
        </w:rPr>
      </w:pPr>
    </w:p>
    <w:p w:rsidR="00AF594C" w:rsidRPr="00570450" w:rsidRDefault="00AF594C" w:rsidP="00AF594C">
      <w:pPr>
        <w:pStyle w:val="Standard"/>
        <w:numPr>
          <w:ilvl w:val="0"/>
          <w:numId w:val="6"/>
        </w:numPr>
        <w:ind w:left="0" w:firstLine="720"/>
        <w:jc w:val="both"/>
        <w:rPr>
          <w:rFonts w:cs="Times New Roman"/>
        </w:rPr>
      </w:pPr>
      <w:r w:rsidRPr="00570450">
        <w:rPr>
          <w:rFonts w:cs="Times New Roman"/>
          <w:b/>
          <w:bCs/>
        </w:rPr>
        <w:t>Anexa nr. 19 se modifică şi se înlocuiește cu anexa nr. 2 la prezenta hotărâre.</w:t>
      </w:r>
    </w:p>
    <w:p w:rsidR="000B2D7D" w:rsidRPr="00BA204B" w:rsidRDefault="000B2D7D" w:rsidP="00AF594C">
      <w:pPr>
        <w:pStyle w:val="Standard"/>
        <w:ind w:left="720"/>
        <w:jc w:val="both"/>
        <w:rPr>
          <w:b/>
          <w:bCs/>
          <w:lang w:val="ro-RO"/>
        </w:rPr>
      </w:pPr>
    </w:p>
    <w:p w:rsidR="00170FB5" w:rsidRPr="000B2D7D" w:rsidRDefault="00170FB5" w:rsidP="00170FB5">
      <w:pPr>
        <w:pStyle w:val="Standard"/>
        <w:tabs>
          <w:tab w:val="left" w:pos="709"/>
          <w:tab w:val="left" w:pos="1260"/>
        </w:tabs>
        <w:jc w:val="both"/>
        <w:rPr>
          <w:b/>
          <w:bCs/>
          <w:color w:val="FF0000"/>
          <w:lang w:val="ro-RO"/>
        </w:rPr>
      </w:pPr>
    </w:p>
    <w:p w:rsidR="00170FB5" w:rsidRPr="00653936" w:rsidRDefault="00170FB5" w:rsidP="00170FB5">
      <w:pPr>
        <w:pStyle w:val="Standard"/>
        <w:tabs>
          <w:tab w:val="left" w:pos="709"/>
          <w:tab w:val="left" w:pos="1260"/>
        </w:tabs>
        <w:jc w:val="both"/>
        <w:rPr>
          <w:color w:val="000000" w:themeColor="text1"/>
          <w:lang w:val="ro-RO"/>
        </w:rPr>
      </w:pPr>
    </w:p>
    <w:p w:rsidR="00E54EE8" w:rsidRPr="00653936" w:rsidRDefault="0058168C">
      <w:pPr>
        <w:pStyle w:val="ListParagraph"/>
        <w:ind w:left="806"/>
        <w:jc w:val="both"/>
        <w:rPr>
          <w:color w:val="000000" w:themeColor="text1"/>
        </w:rPr>
      </w:pPr>
      <w:r>
        <w:rPr>
          <w:color w:val="000000" w:themeColor="text1"/>
        </w:rPr>
        <w:t xml:space="preserve"> </w:t>
      </w:r>
    </w:p>
    <w:p w:rsidR="00E54EE8" w:rsidRPr="00653936" w:rsidRDefault="00E54EE8">
      <w:pPr>
        <w:jc w:val="both"/>
        <w:rPr>
          <w:rFonts w:ascii="Times New Roman" w:hAnsi="Times New Roman" w:cs="Times New Roman"/>
          <w:bCs/>
          <w:color w:val="000000" w:themeColor="text1"/>
          <w:sz w:val="24"/>
          <w:szCs w:val="24"/>
        </w:rPr>
      </w:pPr>
    </w:p>
    <w:p w:rsidR="00E54EE8" w:rsidRPr="00653936" w:rsidRDefault="00096787">
      <w:pPr>
        <w:jc w:val="center"/>
        <w:textAlignment w:val="baseline"/>
        <w:rPr>
          <w:rFonts w:ascii="Times New Roman" w:eastAsia="Times New Roman" w:hAnsi="Times New Roman" w:cs="Times New Roman"/>
          <w:b/>
          <w:color w:val="000000" w:themeColor="text1"/>
          <w:sz w:val="24"/>
          <w:szCs w:val="24"/>
          <w:lang w:eastAsia="zh-CN"/>
        </w:rPr>
      </w:pPr>
      <w:r w:rsidRPr="00653936">
        <w:rPr>
          <w:rFonts w:ascii="Times New Roman" w:eastAsia="Times New Roman" w:hAnsi="Times New Roman" w:cs="Times New Roman"/>
          <w:b/>
          <w:color w:val="000000" w:themeColor="text1"/>
          <w:sz w:val="24"/>
          <w:szCs w:val="24"/>
          <w:lang w:eastAsia="zh-CN"/>
        </w:rPr>
        <w:t>PRIM-MINISTRU,</w:t>
      </w:r>
    </w:p>
    <w:p w:rsidR="00E54EE8" w:rsidRPr="00653936" w:rsidRDefault="00096787">
      <w:pPr>
        <w:jc w:val="center"/>
        <w:textAlignment w:val="baseline"/>
        <w:rPr>
          <w:rFonts w:ascii="Times New Roman" w:hAnsi="Times New Roman" w:cs="Times New Roman"/>
          <w:b/>
          <w:color w:val="000000" w:themeColor="text1"/>
          <w:sz w:val="24"/>
          <w:szCs w:val="24"/>
        </w:rPr>
      </w:pPr>
      <w:r w:rsidRPr="00653936">
        <w:rPr>
          <w:rFonts w:ascii="Times New Roman" w:hAnsi="Times New Roman" w:cs="Times New Roman"/>
          <w:b/>
          <w:color w:val="000000" w:themeColor="text1"/>
          <w:sz w:val="24"/>
          <w:szCs w:val="24"/>
        </w:rPr>
        <w:t>LUDOVIC ORBAN</w:t>
      </w:r>
    </w:p>
    <w:p w:rsidR="00E54EE8" w:rsidRPr="00653936" w:rsidRDefault="00E54EE8">
      <w:pPr>
        <w:jc w:val="center"/>
        <w:textAlignment w:val="baseline"/>
        <w:rPr>
          <w:rFonts w:ascii="Times New Roman" w:hAnsi="Times New Roman" w:cs="Times New Roman"/>
          <w:color w:val="000000" w:themeColor="text1"/>
          <w:sz w:val="24"/>
          <w:szCs w:val="24"/>
        </w:rPr>
      </w:pPr>
    </w:p>
    <w:p w:rsidR="00E54EE8" w:rsidRPr="00653936" w:rsidRDefault="00E54EE8">
      <w:pPr>
        <w:jc w:val="center"/>
        <w:textAlignment w:val="baseline"/>
        <w:rPr>
          <w:rFonts w:ascii="Times New Roman" w:hAnsi="Times New Roman" w:cs="Times New Roman"/>
          <w:color w:val="000000" w:themeColor="text1"/>
          <w:sz w:val="24"/>
          <w:szCs w:val="24"/>
        </w:rPr>
      </w:pPr>
    </w:p>
    <w:p w:rsidR="00E54EE8" w:rsidRPr="00653936" w:rsidRDefault="00E54EE8">
      <w:pPr>
        <w:jc w:val="center"/>
        <w:textAlignment w:val="baseline"/>
        <w:rPr>
          <w:rFonts w:ascii="Times New Roman" w:hAnsi="Times New Roman" w:cs="Times New Roman"/>
          <w:color w:val="000000" w:themeColor="text1"/>
          <w:sz w:val="24"/>
          <w:szCs w:val="24"/>
        </w:rPr>
      </w:pPr>
    </w:p>
    <w:p w:rsidR="00E54EE8" w:rsidRPr="00653936" w:rsidRDefault="00096787">
      <w:pPr>
        <w:textAlignment w:val="baseline"/>
        <w:rPr>
          <w:rFonts w:ascii="Times New Roman" w:hAnsi="Times New Roman" w:cs="Times New Roman"/>
          <w:color w:val="000000" w:themeColor="text1"/>
          <w:sz w:val="24"/>
          <w:szCs w:val="24"/>
        </w:rPr>
      </w:pPr>
      <w:r w:rsidRPr="00653936">
        <w:rPr>
          <w:rFonts w:ascii="Times New Roman" w:hAnsi="Times New Roman" w:cs="Times New Roman"/>
          <w:color w:val="000000" w:themeColor="text1"/>
          <w:sz w:val="24"/>
          <w:szCs w:val="24"/>
        </w:rPr>
        <w:t>Contrasemnează:</w:t>
      </w:r>
    </w:p>
    <w:p w:rsidR="00E54EE8" w:rsidRPr="00653936" w:rsidRDefault="00096787">
      <w:pPr>
        <w:textAlignment w:val="baseline"/>
        <w:rPr>
          <w:rFonts w:ascii="Times New Roman" w:hAnsi="Times New Roman" w:cs="Times New Roman"/>
          <w:color w:val="000000" w:themeColor="text1"/>
          <w:sz w:val="24"/>
          <w:szCs w:val="24"/>
        </w:rPr>
      </w:pPr>
      <w:r w:rsidRPr="00653936">
        <w:rPr>
          <w:rFonts w:ascii="Times New Roman" w:hAnsi="Times New Roman" w:cs="Times New Roman"/>
          <w:color w:val="000000" w:themeColor="text1"/>
          <w:sz w:val="24"/>
          <w:szCs w:val="24"/>
        </w:rPr>
        <w:t xml:space="preserve">Ministrul finanțelor publice </w:t>
      </w:r>
    </w:p>
    <w:p w:rsidR="00E60420" w:rsidRDefault="00096787">
      <w:pPr>
        <w:textAlignment w:val="baseline"/>
        <w:rPr>
          <w:rFonts w:ascii="Times New Roman" w:hAnsi="Times New Roman"/>
          <w:color w:val="000000" w:themeColor="text1"/>
          <w:sz w:val="24"/>
          <w:szCs w:val="24"/>
        </w:rPr>
      </w:pPr>
      <w:r w:rsidRPr="00653936">
        <w:rPr>
          <w:rFonts w:ascii="Times New Roman" w:hAnsi="Times New Roman"/>
          <w:color w:val="000000" w:themeColor="text1"/>
          <w:sz w:val="24"/>
          <w:szCs w:val="24"/>
        </w:rPr>
        <w:t>Vasile - Florin Cîțu</w:t>
      </w:r>
    </w:p>
    <w:p w:rsidR="00E60420" w:rsidRDefault="00E60420">
      <w:pPr>
        <w:textAlignment w:val="baseline"/>
        <w:rPr>
          <w:rFonts w:ascii="Times New Roman" w:hAnsi="Times New Roman"/>
          <w:color w:val="000000" w:themeColor="text1"/>
          <w:sz w:val="24"/>
          <w:szCs w:val="24"/>
        </w:rPr>
      </w:pPr>
    </w:p>
    <w:p w:rsidR="00E60420" w:rsidRDefault="00E60420">
      <w:pPr>
        <w:textAlignment w:val="baseline"/>
        <w:rPr>
          <w:rFonts w:ascii="Times New Roman" w:hAnsi="Times New Roman"/>
          <w:color w:val="000000" w:themeColor="text1"/>
          <w:sz w:val="24"/>
          <w:szCs w:val="24"/>
        </w:rPr>
      </w:pPr>
    </w:p>
    <w:p w:rsidR="00E60420" w:rsidRDefault="00E60420">
      <w:pPr>
        <w:textAlignment w:val="baseline"/>
        <w:rPr>
          <w:rFonts w:ascii="Times New Roman" w:hAnsi="Times New Roman"/>
          <w:color w:val="000000" w:themeColor="text1"/>
          <w:sz w:val="24"/>
          <w:szCs w:val="24"/>
        </w:rPr>
      </w:pPr>
    </w:p>
    <w:p w:rsidR="00E60420" w:rsidRPr="00E60420" w:rsidRDefault="00E60420" w:rsidP="00E60420">
      <w:pPr>
        <w:jc w:val="both"/>
        <w:textAlignment w:val="baseline"/>
        <w:rPr>
          <w:rFonts w:ascii="Times New Roman" w:hAnsi="Times New Roman"/>
          <w:bCs/>
          <w:color w:val="FF0000"/>
          <w:sz w:val="24"/>
          <w:szCs w:val="24"/>
          <w:lang w:val="en-US"/>
        </w:rPr>
      </w:pPr>
    </w:p>
    <w:tbl>
      <w:tblPr>
        <w:tblpPr w:leftFromText="180" w:rightFromText="180" w:vertAnchor="page" w:horzAnchor="margin" w:tblpY="1804"/>
        <w:tblW w:w="8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723"/>
      </w:tblGrid>
      <w:tr w:rsidR="000B2DB9" w:rsidRPr="000B2DB9" w:rsidTr="0015410D">
        <w:tc>
          <w:tcPr>
            <w:tcW w:w="8371" w:type="dxa"/>
            <w:gridSpan w:val="2"/>
            <w:tcBorders>
              <w:top w:val="nil"/>
              <w:left w:val="nil"/>
              <w:right w:val="nil"/>
            </w:tcBorders>
          </w:tcPr>
          <w:p w:rsidR="002B649C" w:rsidRPr="000B2DB9" w:rsidRDefault="002B649C" w:rsidP="002B649C">
            <w:pPr>
              <w:textAlignment w:val="baseline"/>
              <w:rPr>
                <w:rFonts w:ascii="Times New Roman" w:hAnsi="Times New Roman"/>
                <w:bCs/>
                <w:sz w:val="24"/>
                <w:szCs w:val="24"/>
                <w:lang w:val="en-US"/>
              </w:rPr>
            </w:pPr>
            <w:r w:rsidRPr="000B2DB9">
              <w:rPr>
                <w:rFonts w:ascii="Times New Roman" w:hAnsi="Times New Roman"/>
                <w:bCs/>
                <w:sz w:val="24"/>
                <w:szCs w:val="24"/>
                <w:lang w:val="en-US"/>
              </w:rPr>
              <w:t>Anexa nr. 1</w:t>
            </w:r>
          </w:p>
          <w:p w:rsidR="002B649C" w:rsidRPr="000B2DB9" w:rsidRDefault="002B649C" w:rsidP="002B649C">
            <w:pPr>
              <w:textAlignment w:val="baseline"/>
              <w:rPr>
                <w:rFonts w:ascii="Times New Roman" w:hAnsi="Times New Roman"/>
                <w:bCs/>
                <w:sz w:val="24"/>
                <w:szCs w:val="24"/>
                <w:lang w:val="en-US"/>
              </w:rPr>
            </w:pPr>
            <w:r w:rsidRPr="000B2DB9">
              <w:rPr>
                <w:rFonts w:ascii="Times New Roman" w:hAnsi="Times New Roman"/>
                <w:bCs/>
                <w:sz w:val="24"/>
                <w:szCs w:val="24"/>
                <w:lang w:val="en-US"/>
              </w:rPr>
              <w:t>(Anexa nr. 5 la Normele metodologice de aplicare a prevederilor Titlului VII din Codul fiscal)</w:t>
            </w:r>
          </w:p>
          <w:p w:rsidR="002B649C" w:rsidRPr="000B2DB9" w:rsidRDefault="002B649C" w:rsidP="002B649C">
            <w:pPr>
              <w:jc w:val="both"/>
              <w:textAlignment w:val="baseline"/>
              <w:rPr>
                <w:rFonts w:ascii="Times New Roman" w:hAnsi="Times New Roman"/>
                <w:bCs/>
                <w:sz w:val="24"/>
                <w:szCs w:val="24"/>
                <w:lang w:val="en-US"/>
              </w:rPr>
            </w:pPr>
          </w:p>
          <w:p w:rsidR="002B649C" w:rsidRPr="000B2DB9" w:rsidRDefault="002B649C" w:rsidP="002B649C">
            <w:pPr>
              <w:jc w:val="both"/>
              <w:textAlignment w:val="baseline"/>
              <w:rPr>
                <w:rFonts w:ascii="Times New Roman" w:hAnsi="Times New Roman"/>
                <w:b/>
                <w:bCs/>
                <w:sz w:val="24"/>
                <w:szCs w:val="24"/>
                <w:lang w:val="en-US"/>
              </w:rPr>
            </w:pPr>
            <w:r w:rsidRPr="000B2DB9">
              <w:rPr>
                <w:rFonts w:ascii="Times New Roman" w:hAnsi="Times New Roman"/>
                <w:b/>
                <w:bCs/>
                <w:sz w:val="24"/>
                <w:szCs w:val="24"/>
                <w:lang w:val="en-US"/>
              </w:rPr>
              <w:t>Criterii pentru evaluarea riscului fiscal în cazul persoanelor impozabile care solicită înregistrarea în scopuri de TVA potrivit art. 316 alin. (12) lit. e) din Legea nr. 227/2015 privind Codul fiscal care au avut anulat codul de TVA potrivit art. 316 alin. (11) lit. h) din Codul fiscal în baza procedurii de evaluare a intenției și capacității de a desfășura activități economice în sfera de aplicare a TVA</w:t>
            </w:r>
          </w:p>
          <w:p w:rsidR="002B649C" w:rsidRPr="000B2DB9" w:rsidRDefault="002B649C" w:rsidP="002B649C">
            <w:pPr>
              <w:jc w:val="both"/>
              <w:textAlignment w:val="baseline"/>
              <w:rPr>
                <w:rFonts w:ascii="Times New Roman" w:hAnsi="Times New Roman"/>
                <w:b/>
                <w:bCs/>
                <w:sz w:val="24"/>
                <w:szCs w:val="24"/>
                <w:lang w:val="en-US"/>
              </w:rPr>
            </w:pP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b/>
                <w:bCs/>
                <w:color w:val="000000" w:themeColor="text1"/>
                <w:sz w:val="24"/>
                <w:szCs w:val="24"/>
                <w:lang w:val="en-US"/>
              </w:rPr>
              <w:t>SEDIU</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Sediul social al persoanei impozabile analizate este stabilit la sediul profesional al avocatului și este utilizat în cadrul unui contract de asistență juridică iar persoana impozabilă analizată nu deține sediu/sedii secundare.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1.2</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Sediul social al persoanei impozabile analizate este stabilit la sediul unei persoane fizice care desfășoară profesii liberale (exclusiv avocat), unei persoane fizice autorizate (PFA), unei întreprinderi individuale (ÎI), unei întreprinderi familiale (ÎF), unei persoane juridice precum și la proprietatea unei persoane fizice și este utilizat în cadrul unui contract de comodat/închiriere/subînchiriere pe o perioadă mai mică sau egală cu 1 an și persoana impozabilă analizată nu deține sediu/sedii secundare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1.3</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color w:val="000000" w:themeColor="text1"/>
                <w:sz w:val="24"/>
                <w:szCs w:val="24"/>
                <w:lang w:val="en-US"/>
              </w:rPr>
              <w:t>Sediul social al persoanei impozabile analizate este stabilit la sediul unei persoane fizice care desfășoară profesii liberale, unei persoane fizice autorizate (PFA), unei întreprinderi individuale (ÎI), unei întreprinderi familiale (ÎF), unei persoane juridice precum și la proprietatea unei persoane fizice și este utilizat în cadrul unui contract de comodat/închiriere/subînchiriere pe o perioadă mai mică sau egală cu 1 an și persoana impozabilă analizată deține sediu/sedii secundare în cadrul unor contracte de comodat/închiriere/subînchiriere pe o perioadă mai mică sau egală cu 1 an.</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1.4</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color w:val="000000" w:themeColor="text1"/>
                <w:sz w:val="24"/>
                <w:szCs w:val="24"/>
                <w:lang w:val="en-US"/>
              </w:rPr>
              <w:t xml:space="preserve">Sediul social al persoanei impozabile analizate este stabilit la sediul unei persoane fizice care desfășoară profesii liberale, unei persoane fizice autorizate (PFA), unei întreprinderi individuale (ÎI), unei întreprinderi familiale (ÎF), unei persoane juridice precum și la proprietatea unei persoane fizice și este utilizat în cadrul unui contract de comodat/închiriere/subînchiriere pe o perioadă mai </w:t>
            </w:r>
            <w:r w:rsidRPr="002B649C">
              <w:rPr>
                <w:rFonts w:ascii="Times New Roman" w:hAnsi="Times New Roman"/>
                <w:color w:val="000000" w:themeColor="text1"/>
                <w:sz w:val="24"/>
                <w:szCs w:val="24"/>
                <w:lang w:val="en-US"/>
              </w:rPr>
              <w:lastRenderedPageBreak/>
              <w:t>mică sau egală cu 1 an și persoana impozabilă analizată deține sediu/sedii secundare în cadrul unor contracte de comodat/închiriere/subînchiriere pe o perioadă mai mare de 1 an.</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lastRenderedPageBreak/>
              <w:t>2.</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INSOLVENȚĂ/FALIMENT</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2.1.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deține sau a deținut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 xml:space="preserve"> la cel puțin o persoană impozabilă</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la care a fost declanșată procedura insolvenței/falimentului în ultimii 5 ani fiscali încheiați și persoana impozabilă înregistrează obligații fiscale principale restante.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 xml:space="preserve">Prin asociat/acționar se înțelege persoana fizică, și persoana juridică, înființată în baza Legii societăților nr. 31/1990, republicată, cu modificările și completările ulterioare, a căror cotă de participare la capitalul social este ≥ 25%, cu excepția societăților la care statul sau unitățile administrativ-teritoriale dețin participații.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(cotă de participare la capitalul social este ≥ 25%), respectiv de administrator, la data la care a fost declanșată procedura insolvenței/falimentului, conform Legii nr. 85/2014 privind procedurile de prevenire a insolvenței și de insolvență, cu modificările și completările ulterioare;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xml:space="preserve">- PFA, ÎI, IF în cadrul cărora asociații/administratorii (persoane fizice) persoanei impozabile analizate dețin sau au deținut calitatea de titulari, </w:t>
            </w:r>
            <w:r w:rsidRPr="002B649C">
              <w:rPr>
                <w:rFonts w:ascii="Times New Roman" w:hAnsi="Times New Roman"/>
                <w:i/>
                <w:color w:val="000000" w:themeColor="text1"/>
                <w:sz w:val="24"/>
                <w:szCs w:val="24"/>
                <w:lang w:val="en-US"/>
              </w:rPr>
              <w:lastRenderedPageBreak/>
              <w:t>respectiv membri la data la care a fost declanșată procedura insolvenței/falimentului, conform Legii nr. 85/2014 privind procedurile de prevenire a insolvenței și de insolvență, cu modificările și completările ulterioare;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persoana impozabilă analizată, în cazul în care aceasta solicită înregistrarea în scopuri de TVA potrivit art. 316 alin. (1) lit. c) din Legea nr. 227/2015 privind Codul fiscal, cu modificările și completările ulterioare.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lastRenderedPageBreak/>
              <w:t>3.</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b/>
                <w:color w:val="000000" w:themeColor="text1"/>
                <w:sz w:val="24"/>
                <w:szCs w:val="24"/>
                <w:lang w:val="en-US"/>
              </w:rPr>
              <w:t>INACTIVATE FISCALĂ</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3.1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deține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 xml:space="preserve">4) </w:t>
            </w:r>
            <w:r w:rsidRPr="002B649C">
              <w:rPr>
                <w:rFonts w:ascii="Times New Roman" w:hAnsi="Times New Roman"/>
                <w:color w:val="000000" w:themeColor="text1"/>
                <w:sz w:val="24"/>
                <w:szCs w:val="24"/>
                <w:lang w:val="en-US"/>
              </w:rPr>
              <w:t>la cel puțin o persoană impozabilă</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declarată inactivă fiscal în ultimii 5 ani fiscali încheiați, fără a fi reactivate.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3.2</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a deținut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 xml:space="preserve">4) </w:t>
            </w:r>
            <w:r w:rsidRPr="002B649C">
              <w:rPr>
                <w:rFonts w:ascii="Times New Roman" w:hAnsi="Times New Roman"/>
                <w:color w:val="000000" w:themeColor="text1"/>
                <w:sz w:val="24"/>
                <w:szCs w:val="24"/>
                <w:lang w:val="en-US"/>
              </w:rPr>
              <w:t>la cel puțin 3 persoane impozabile</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declarate inactive fiscal în ultimii 5 ani fiscali încheiați.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Prin asociat/acționar se înțelege persoana fizică și persoana juridică, înființată în baza Legii societăților nr. 31/1990, republicată, cu modificările și completările ulterioare, a căror cotă de participare la capitalul social este ≥ 25%, cu excepția societăților la care statul sau unitățile administrativ-teritoriale dețin participații.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xml:space="preserve">-societățile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w:t>
            </w:r>
            <w:r w:rsidRPr="002B649C">
              <w:rPr>
                <w:rFonts w:ascii="Times New Roman" w:hAnsi="Times New Roman"/>
                <w:i/>
                <w:color w:val="000000" w:themeColor="text1"/>
                <w:sz w:val="24"/>
                <w:szCs w:val="24"/>
                <w:lang w:val="en-US"/>
              </w:rPr>
              <w:lastRenderedPageBreak/>
              <w:t>analizate dețin sau au deținut calitatea de asociat/acționar (cotă de participare la capitalul social este ≥ 25%), respectiv de administrator, la data la care a fost declarată inactivitatea fiscală.</w:t>
            </w:r>
          </w:p>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i/>
                <w:color w:val="000000" w:themeColor="text1"/>
                <w:sz w:val="24"/>
                <w:szCs w:val="24"/>
                <w:lang w:val="en-US"/>
              </w:rPr>
              <w:t>- PFA, ÎI, IF în cadrul cărora asociații/administratorii (persoane fizice) persoanei impozabile analizate dețin sau au deținut calitatea de titulari, respectiv membri, la data la care a fost declarată inactivitatea fiscală.</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lastRenderedPageBreak/>
              <w:t>4.</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INACTIVITATE TEMPORARĂ LA REGISTRUL COMERȚULUI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4.1</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deține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 xml:space="preserve"> la cel puțin 2 persoane impozabile</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la care a expirat termenul legal de inactivitate temporară înscrisă la registrul comerțului fără ca aceastea să fie reactivate.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Prin asociat/acționar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este ≥ 25%.</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al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xml:space="preserve">-societățile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calitatea de asociat/acționar (cotă de participare la capitalul social este ≥ 25%), respectiv de administrator, la data la care inactivitatea temporară a fost înscrisă la registrul comerțului. </w:t>
            </w:r>
          </w:p>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i/>
                <w:color w:val="000000" w:themeColor="text1"/>
                <w:sz w:val="24"/>
                <w:szCs w:val="24"/>
                <w:lang w:val="en-US"/>
              </w:rPr>
              <w:lastRenderedPageBreak/>
              <w:t>- PFA, ÎI, IF în cadrul cărora asociații/administratorii (persoane fizice) persoanei impozabile analizate dețin calitatea de titulari, respectiv de membri, la data la care inactivitatea temporară a fost înscrisă la registrul comerțului.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lastRenderedPageBreak/>
              <w:t>5.</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b/>
                <w:color w:val="000000" w:themeColor="text1"/>
                <w:sz w:val="24"/>
                <w:szCs w:val="24"/>
                <w:lang w:val="en-US"/>
              </w:rPr>
              <w:t>RESPINGERE/ANULARE ÎNREGISTRARE ÎN SCOPURI DE TVA</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5.1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vertAlign w:val="superscript"/>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deține sau a deținut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 xml:space="preserve">4) </w:t>
            </w:r>
            <w:r w:rsidRPr="002B649C">
              <w:rPr>
                <w:rFonts w:ascii="Times New Roman" w:hAnsi="Times New Roman"/>
                <w:color w:val="000000" w:themeColor="text1"/>
                <w:sz w:val="24"/>
                <w:szCs w:val="24"/>
                <w:lang w:val="en-US"/>
              </w:rPr>
              <w:t>la cel puțin o persoană impozabilă</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la care a fost anulată înregistrarea în scopuri de TVA conform art. 316 alin. (11) lit. c) - e) din Legea nr. 227/2015 privind Codul fiscal, cu modificările și completările ulterioare, în ultimii 5 ani fiscali încheiați.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Prin asociat/acționar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este ≥ 25%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(cotă de participare la capitalul social este ≥ 25%), respectiv de administrator, la data la care a fost anulată înregistrarea în scopuri de TVA.</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PFA, ÎI, IF în cadrul cărora asociații/administratorii (persoane fizice) persoanei impozabile analizate dețin sau au deținut calitatea de titulari, respectiv membri, la data la care a fost anulată înregistrarea în scopuri de TVA.</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lastRenderedPageBreak/>
              <w:t>5.2</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deține sau a deținut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la cel puțin o persoană impozabilă</w:t>
            </w:r>
            <w:r w:rsidRPr="002B649C">
              <w:rPr>
                <w:rFonts w:ascii="Times New Roman" w:hAnsi="Times New Roman"/>
                <w:color w:val="000000" w:themeColor="text1"/>
                <w:sz w:val="24"/>
                <w:szCs w:val="24"/>
                <w:vertAlign w:val="superscript"/>
                <w:lang w:val="en-US"/>
              </w:rPr>
              <w:t xml:space="preserve">3) </w:t>
            </w:r>
            <w:r w:rsidRPr="002B649C">
              <w:rPr>
                <w:rFonts w:ascii="Times New Roman" w:hAnsi="Times New Roman"/>
                <w:color w:val="000000" w:themeColor="text1"/>
                <w:sz w:val="24"/>
                <w:szCs w:val="24"/>
                <w:lang w:val="en-US"/>
              </w:rPr>
              <w:t>pentru care începând cu 01.02.2015 a fost respinsă solicitarea de înregistrare în scopuri de TVA sau a fost anulată înregistrarea în scopuri de TVA conform art. 316 alin. (11) lit. h) din Legea nr. 227/2015 privind Codul fiscal, cu modificărileși completările ulterioare, în urma aplicării procedurii de evaluare, situație care se menține în prezent.</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 xml:space="preserve">Prin asociat/acționar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al persoanei impozabile este ≥ 25%.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3)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i/>
                <w:color w:val="000000" w:themeColor="text1"/>
                <w:sz w:val="24"/>
                <w:szCs w:val="24"/>
                <w:lang w:val="en-US"/>
              </w:rPr>
              <w:t>- 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(cotă de participare la capitalul social este ≥ 25%), respectiv de administrator, la data la care a fost respinsă solicitarea de înregistrare în scopuri de TVA sau a fost anulată înregistrarea în scopuri de TVA. Din categoria persoanelor impozabile este exclusă persoana impozabilă analizată.</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b/>
                <w:color w:val="000000" w:themeColor="text1"/>
                <w:sz w:val="24"/>
                <w:szCs w:val="24"/>
                <w:lang w:val="en-US"/>
              </w:rPr>
              <w:t>6</w:t>
            </w:r>
            <w:r w:rsidRPr="002B649C">
              <w:rPr>
                <w:rFonts w:ascii="Times New Roman" w:hAnsi="Times New Roman"/>
                <w:color w:val="000000" w:themeColor="text1"/>
                <w:sz w:val="24"/>
                <w:szCs w:val="24"/>
                <w:lang w:val="en-US"/>
              </w:rPr>
              <w:t>.</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b/>
                <w:bCs/>
                <w:color w:val="000000" w:themeColor="text1"/>
                <w:sz w:val="24"/>
                <w:szCs w:val="24"/>
                <w:lang w:val="en-US"/>
              </w:rPr>
              <w:t>OBLIGAȚII FISCALE RESTANTE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6.1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Suma totală a obligațiilor fiscale principale restante</w:t>
            </w:r>
            <w:r w:rsidRPr="002B649C">
              <w:rPr>
                <w:rFonts w:ascii="Times New Roman" w:hAnsi="Times New Roman"/>
                <w:color w:val="000000" w:themeColor="text1"/>
                <w:sz w:val="24"/>
                <w:szCs w:val="24"/>
                <w:vertAlign w:val="superscript"/>
                <w:lang w:val="en-US"/>
              </w:rPr>
              <w:t>6)</w:t>
            </w:r>
            <w:r w:rsidRPr="002B649C">
              <w:rPr>
                <w:rFonts w:ascii="Times New Roman" w:hAnsi="Times New Roman"/>
                <w:color w:val="000000" w:themeColor="text1"/>
                <w:sz w:val="24"/>
                <w:szCs w:val="24"/>
                <w:lang w:val="en-US"/>
              </w:rPr>
              <w:t xml:space="preserve"> înregistrate de persoanele impozabile</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la care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dețin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 xml:space="preserve"> și de asociații</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 xml:space="preserve"> (persoane juridice)</w:t>
            </w:r>
            <w:r w:rsidRPr="002B649C">
              <w:rPr>
                <w:rFonts w:ascii="Times New Roman" w:hAnsi="Times New Roman"/>
                <w:color w:val="000000" w:themeColor="text1"/>
                <w:sz w:val="24"/>
                <w:szCs w:val="24"/>
                <w:vertAlign w:val="superscript"/>
                <w:lang w:val="en-US"/>
              </w:rPr>
              <w:t xml:space="preserve">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 juridice) persoanei impozabile analizate, este mai mare sau egală cu 50.000 lei.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6.2</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Suma totală a obligațiilor fiscale principale restante</w:t>
            </w:r>
            <w:r w:rsidRPr="002B649C">
              <w:rPr>
                <w:rFonts w:ascii="Times New Roman" w:hAnsi="Times New Roman"/>
                <w:color w:val="000000" w:themeColor="text1"/>
                <w:sz w:val="24"/>
                <w:szCs w:val="24"/>
                <w:vertAlign w:val="superscript"/>
                <w:lang w:val="en-US"/>
              </w:rPr>
              <w:t>7)</w:t>
            </w:r>
            <w:r w:rsidRPr="002B649C">
              <w:rPr>
                <w:rFonts w:ascii="Times New Roman" w:hAnsi="Times New Roman"/>
                <w:color w:val="000000" w:themeColor="text1"/>
                <w:sz w:val="24"/>
                <w:szCs w:val="24"/>
                <w:lang w:val="en-US"/>
              </w:rPr>
              <w:t xml:space="preserve"> înregistrate de persoanele impozabile</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la care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w:t>
            </w:r>
            <w:r w:rsidRPr="002B649C">
              <w:rPr>
                <w:rFonts w:ascii="Times New Roman" w:hAnsi="Times New Roman"/>
                <w:color w:val="000000" w:themeColor="text1"/>
                <w:sz w:val="24"/>
                <w:szCs w:val="24"/>
                <w:lang w:val="en-US"/>
              </w:rPr>
              <w:lastRenderedPageBreak/>
              <w:t>analizate au deținut, în ultimii 5 ani fiscali încheiați,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 este mai mare sau egală cu 50.000 lei.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 xml:space="preserve">Prin asociat/acționar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al persoanei impozabile este ≥ 25%.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al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calitatea de asociat/acționar (cotă de participare la capitalul social este ≥ 25%), respectiv de administrator.</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PFA, ÎI, IF în cadrul cărora asociații/administratorii (persoane fizice) persoanei impozabile analizate dețin calitatea de titulari, respectiv de membri.</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persoana impozabilă analizată, în cazul în care aceasta solicită înregistrarea în scopuri de TVA potrivit art. 316 alin. (1) lit. c) din Legea nr. 227/2015 privind Codul fiscal, cu modificările și completările ulterioare, pentru situația prevăzută la pct. 6.1.</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6) </w:t>
            </w:r>
            <w:r w:rsidRPr="002B649C">
              <w:rPr>
                <w:rFonts w:ascii="Times New Roman" w:hAnsi="Times New Roman"/>
                <w:i/>
                <w:color w:val="000000" w:themeColor="text1"/>
                <w:sz w:val="24"/>
                <w:szCs w:val="24"/>
                <w:lang w:val="en-US"/>
              </w:rPr>
              <w:t>In categoria obligațiilor fiscale principale restante sunt incluse obligațiile fiscale principale, cu termen scadent, care sunt definite în cadrul art. 157 din Legea nr. 207/2015 privind Codul de procedură fiscală, cu modificările și completările ulterioare, și care nu au fost achitate până la data depunerii solicitării de înregistrare în scopuri de TVA.</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7) </w:t>
            </w:r>
            <w:r w:rsidRPr="002B649C">
              <w:rPr>
                <w:rFonts w:ascii="Times New Roman" w:hAnsi="Times New Roman"/>
                <w:i/>
                <w:color w:val="000000" w:themeColor="text1"/>
                <w:sz w:val="24"/>
                <w:szCs w:val="24"/>
                <w:lang w:val="en-US"/>
              </w:rPr>
              <w:t>In categoria obligațiilor fiscale principale restante sunt incluse obligațiile fiscale principale, cu termen scadent, care sunt definite în cadrul art. 157 din Legea nr. 207/2015 privind Codul de procedură fiscală, cu modificările și completările ulterioare, și care nu au fost achitate până la sfârșitul perioadei în care asociații</w:t>
            </w: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și/sau administratorii</w:t>
            </w:r>
            <w:r w:rsidRPr="002B649C">
              <w:rPr>
                <w:rFonts w:ascii="Times New Roman" w:hAnsi="Times New Roman"/>
                <w:i/>
                <w:color w:val="000000" w:themeColor="text1"/>
                <w:sz w:val="24"/>
                <w:szCs w:val="24"/>
                <w:vertAlign w:val="superscript"/>
                <w:lang w:val="en-US"/>
              </w:rPr>
              <w:t>2)</w:t>
            </w:r>
            <w:r w:rsidRPr="002B649C">
              <w:rPr>
                <w:rFonts w:ascii="Times New Roman" w:hAnsi="Times New Roman"/>
                <w:i/>
                <w:color w:val="000000" w:themeColor="text1"/>
                <w:sz w:val="24"/>
                <w:szCs w:val="24"/>
                <w:lang w:val="en-US"/>
              </w:rPr>
              <w:t xml:space="preserve"> persoanei impozabile analizate au deținut calitatea de acționar</w:t>
            </w:r>
            <w:r w:rsidRPr="002B649C">
              <w:rPr>
                <w:rFonts w:ascii="Times New Roman" w:hAnsi="Times New Roman"/>
                <w:i/>
                <w:color w:val="000000" w:themeColor="text1"/>
                <w:sz w:val="24"/>
                <w:szCs w:val="24"/>
                <w:vertAlign w:val="superscript"/>
                <w:lang w:val="en-US"/>
              </w:rPr>
              <w:t>1)</w:t>
            </w:r>
            <w:r w:rsidRPr="002B649C">
              <w:rPr>
                <w:rFonts w:ascii="Times New Roman" w:hAnsi="Times New Roman"/>
                <w:i/>
                <w:color w:val="000000" w:themeColor="text1"/>
                <w:sz w:val="24"/>
                <w:szCs w:val="24"/>
                <w:lang w:val="en-US"/>
              </w:rPr>
              <w:t>/asociat</w:t>
            </w:r>
            <w:r w:rsidRPr="002B649C">
              <w:rPr>
                <w:rFonts w:ascii="Times New Roman" w:hAnsi="Times New Roman"/>
                <w:i/>
                <w:color w:val="000000" w:themeColor="text1"/>
                <w:sz w:val="24"/>
                <w:szCs w:val="24"/>
                <w:vertAlign w:val="superscript"/>
                <w:lang w:val="en-US"/>
              </w:rPr>
              <w:t>1)</w:t>
            </w:r>
            <w:r w:rsidRPr="002B649C">
              <w:rPr>
                <w:rFonts w:ascii="Times New Roman" w:hAnsi="Times New Roman"/>
                <w:i/>
                <w:color w:val="000000" w:themeColor="text1"/>
                <w:sz w:val="24"/>
                <w:szCs w:val="24"/>
                <w:lang w:val="en-US"/>
              </w:rPr>
              <w:t>/administrator</w:t>
            </w:r>
            <w:r w:rsidRPr="002B649C">
              <w:rPr>
                <w:rFonts w:ascii="Times New Roman" w:hAnsi="Times New Roman"/>
                <w:i/>
                <w:color w:val="000000" w:themeColor="text1"/>
                <w:sz w:val="24"/>
                <w:szCs w:val="24"/>
                <w:vertAlign w:val="superscript"/>
                <w:lang w:val="en-US"/>
              </w:rPr>
              <w:t>2)</w:t>
            </w:r>
            <w:r w:rsidRPr="002B649C">
              <w:rPr>
                <w:rFonts w:ascii="Times New Roman" w:hAnsi="Times New Roman"/>
                <w:i/>
                <w:color w:val="000000" w:themeColor="text1"/>
                <w:sz w:val="24"/>
                <w:szCs w:val="24"/>
                <w:lang w:val="en-US"/>
              </w:rPr>
              <w:t>/titular</w:t>
            </w:r>
            <w:r w:rsidRPr="002B649C">
              <w:rPr>
                <w:rFonts w:ascii="Times New Roman" w:hAnsi="Times New Roman"/>
                <w:i/>
                <w:color w:val="000000" w:themeColor="text1"/>
                <w:sz w:val="24"/>
                <w:szCs w:val="24"/>
                <w:vertAlign w:val="superscript"/>
                <w:lang w:val="en-US"/>
              </w:rPr>
              <w:t>3)</w:t>
            </w:r>
            <w:r w:rsidRPr="002B649C">
              <w:rPr>
                <w:rFonts w:ascii="Times New Roman" w:hAnsi="Times New Roman"/>
                <w:i/>
                <w:color w:val="000000" w:themeColor="text1"/>
                <w:sz w:val="24"/>
                <w:szCs w:val="24"/>
                <w:lang w:val="en-US"/>
              </w:rPr>
              <w:t>/membru</w:t>
            </w: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în cadrul persoanelor impozabile</w:t>
            </w:r>
            <w:r w:rsidRPr="002B649C">
              <w:rPr>
                <w:rFonts w:ascii="Times New Roman" w:hAnsi="Times New Roman"/>
                <w:i/>
                <w:color w:val="000000" w:themeColor="text1"/>
                <w:sz w:val="24"/>
                <w:szCs w:val="24"/>
                <w:vertAlign w:val="superscript"/>
                <w:lang w:val="en-US"/>
              </w:rPr>
              <w:t xml:space="preserve">5) </w:t>
            </w:r>
            <w:r w:rsidRPr="002B649C">
              <w:rPr>
                <w:rFonts w:ascii="Times New Roman" w:hAnsi="Times New Roman"/>
                <w:i/>
                <w:color w:val="000000" w:themeColor="text1"/>
                <w:sz w:val="24"/>
                <w:szCs w:val="24"/>
                <w:lang w:val="en-US"/>
              </w:rPr>
              <w:t>respective.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7.</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b/>
                <w:bCs/>
                <w:color w:val="000000" w:themeColor="text1"/>
                <w:sz w:val="24"/>
                <w:szCs w:val="24"/>
                <w:lang w:val="en-US"/>
              </w:rPr>
              <w:t>CONTRAVENȚII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7.1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și/sau administratorii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persoanei impozabile analizate și/sau cel puțin una dintre persoanele impozabile</w:t>
            </w:r>
            <w:r w:rsidRPr="002B649C">
              <w:rPr>
                <w:rFonts w:ascii="Times New Roman" w:hAnsi="Times New Roman"/>
                <w:color w:val="000000" w:themeColor="text1"/>
                <w:sz w:val="24"/>
                <w:szCs w:val="24"/>
                <w:vertAlign w:val="superscript"/>
                <w:lang w:val="en-US"/>
              </w:rPr>
              <w:t xml:space="preserve">5) </w:t>
            </w:r>
            <w:r w:rsidRPr="002B649C">
              <w:rPr>
                <w:rFonts w:ascii="Times New Roman" w:hAnsi="Times New Roman"/>
                <w:color w:val="000000" w:themeColor="text1"/>
                <w:sz w:val="24"/>
                <w:szCs w:val="24"/>
                <w:lang w:val="en-US"/>
              </w:rPr>
              <w:t>la care aceștia dețin sau au deținut calitatea de acționar</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 au înscrise în prezent în cazierul fiscal fapte de natura contravențiilor prevăzute în Hotărârea Guvernului nr. 1000/2015 privind faptele pentru care se înscriu informații în cazierul fiscal al contribuabililor, potrivit legislației în vigoare.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 xml:space="preserve">Prin asociat/acționar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al persoanei impozabile este ≥ 25%.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2)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titular se înțelege persoana fizică titulară a unei persoane fizice autorizate (PFA),  respectiv al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5) </w:t>
            </w:r>
            <w:r w:rsidRPr="002B649C">
              <w:rPr>
                <w:rFonts w:ascii="Times New Roman" w:hAnsi="Times New Roman"/>
                <w:i/>
                <w:color w:val="000000" w:themeColor="text1"/>
                <w:sz w:val="24"/>
                <w:szCs w:val="24"/>
                <w:lang w:val="en-US"/>
              </w:rPr>
              <w:t>Prin persoană impozabilă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(cotă de participare la capitalul social este ≥ 25%), respectiv de administrator.</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lastRenderedPageBreak/>
              <w:t>- PFA, ÎI, IF în cadrul cărora asociații/administratorii (persoane fizice) persoanei impozabile analizate dețin calitatea de titulari, respectiv de membri.</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persoana impozabilă analizată, în cazul în care aceasta solicită înregistrarea în scopuri de TVA potrivit art. 316 alin. (1) lit. c) din Legea nr. 227/2015 privind Codul fiscal, cu modificările și completările ulterioare.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Faptele de natură contravențională înscrise în cazierul fiscal sunt cele constatate și sancționate înainte de data retragerii asociaților/administratorilor din cadrul persoanei impozabile respective.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lastRenderedPageBreak/>
              <w:t>8.</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b/>
                <w:bCs/>
                <w:color w:val="000000" w:themeColor="text1"/>
                <w:sz w:val="24"/>
                <w:szCs w:val="24"/>
                <w:lang w:val="en-US"/>
              </w:rPr>
              <w:t>INFRACȚIUNI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8.1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Cel puțin unul dintre asociații</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persoanei impozabile analizate și/sau cel puțin una dintre persoanele impozabile</w:t>
            </w:r>
            <w:r w:rsidRPr="002B649C">
              <w:rPr>
                <w:rFonts w:ascii="Times New Roman" w:hAnsi="Times New Roman"/>
                <w:color w:val="000000" w:themeColor="text1"/>
                <w:sz w:val="24"/>
                <w:szCs w:val="24"/>
                <w:vertAlign w:val="superscript"/>
                <w:lang w:val="en-US"/>
              </w:rPr>
              <w:t xml:space="preserve">6) </w:t>
            </w:r>
            <w:r w:rsidRPr="002B649C">
              <w:rPr>
                <w:rFonts w:ascii="Times New Roman" w:hAnsi="Times New Roman"/>
                <w:color w:val="000000" w:themeColor="text1"/>
                <w:sz w:val="24"/>
                <w:szCs w:val="24"/>
                <w:lang w:val="en-US"/>
              </w:rPr>
              <w:t>la care asociații</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 xml:space="preserve"> și/sau administratorii</w:t>
            </w:r>
            <w:r w:rsidRPr="002B649C">
              <w:rPr>
                <w:rFonts w:ascii="Times New Roman" w:hAnsi="Times New Roman"/>
                <w:color w:val="000000" w:themeColor="text1"/>
                <w:sz w:val="24"/>
                <w:szCs w:val="24"/>
                <w:vertAlign w:val="superscript"/>
                <w:lang w:val="en-US"/>
              </w:rPr>
              <w:t xml:space="preserve">3) </w:t>
            </w:r>
            <w:r w:rsidRPr="002B649C">
              <w:rPr>
                <w:rFonts w:ascii="Times New Roman" w:hAnsi="Times New Roman"/>
                <w:color w:val="000000" w:themeColor="text1"/>
                <w:sz w:val="24"/>
                <w:szCs w:val="24"/>
                <w:lang w:val="en-US"/>
              </w:rPr>
              <w:t>persoanei impozabile analizate dețin sau au deținut calitatea de acționar</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/asociat</w:t>
            </w:r>
            <w:r w:rsidRPr="002B649C">
              <w:rPr>
                <w:rFonts w:ascii="Times New Roman" w:hAnsi="Times New Roman"/>
                <w:color w:val="000000" w:themeColor="text1"/>
                <w:sz w:val="24"/>
                <w:szCs w:val="24"/>
                <w:vertAlign w:val="superscript"/>
                <w:lang w:val="en-US"/>
              </w:rPr>
              <w:t>2)</w:t>
            </w:r>
            <w:r w:rsidRPr="002B649C">
              <w:rPr>
                <w:rFonts w:ascii="Times New Roman" w:hAnsi="Times New Roman"/>
                <w:color w:val="000000" w:themeColor="text1"/>
                <w:sz w:val="24"/>
                <w:szCs w:val="24"/>
                <w:lang w:val="en-US"/>
              </w:rPr>
              <w:t>/administrator</w:t>
            </w:r>
            <w:r w:rsidRPr="002B649C">
              <w:rPr>
                <w:rFonts w:ascii="Times New Roman" w:hAnsi="Times New Roman"/>
                <w:color w:val="000000" w:themeColor="text1"/>
                <w:sz w:val="24"/>
                <w:szCs w:val="24"/>
                <w:vertAlign w:val="superscript"/>
                <w:lang w:val="en-US"/>
              </w:rPr>
              <w:t>3)</w:t>
            </w:r>
            <w:r w:rsidRPr="002B649C">
              <w:rPr>
                <w:rFonts w:ascii="Times New Roman" w:hAnsi="Times New Roman"/>
                <w:color w:val="000000" w:themeColor="text1"/>
                <w:sz w:val="24"/>
                <w:szCs w:val="24"/>
                <w:lang w:val="en-US"/>
              </w:rPr>
              <w:t>/titular</w:t>
            </w:r>
            <w:r w:rsidRPr="002B649C">
              <w:rPr>
                <w:rFonts w:ascii="Times New Roman" w:hAnsi="Times New Roman"/>
                <w:color w:val="000000" w:themeColor="text1"/>
                <w:sz w:val="24"/>
                <w:szCs w:val="24"/>
                <w:vertAlign w:val="superscript"/>
                <w:lang w:val="en-US"/>
              </w:rPr>
              <w:t>4)</w:t>
            </w:r>
            <w:r w:rsidRPr="002B649C">
              <w:rPr>
                <w:rFonts w:ascii="Times New Roman" w:hAnsi="Times New Roman"/>
                <w:color w:val="000000" w:themeColor="text1"/>
                <w:sz w:val="24"/>
                <w:szCs w:val="24"/>
                <w:lang w:val="en-US"/>
              </w:rPr>
              <w:t>/membru</w:t>
            </w:r>
            <w:r w:rsidRPr="002B649C">
              <w:rPr>
                <w:rFonts w:ascii="Times New Roman" w:hAnsi="Times New Roman"/>
                <w:color w:val="000000" w:themeColor="text1"/>
                <w:sz w:val="24"/>
                <w:szCs w:val="24"/>
                <w:vertAlign w:val="superscript"/>
                <w:lang w:val="en-US"/>
              </w:rPr>
              <w:t>5)</w:t>
            </w:r>
            <w:r w:rsidRPr="002B649C">
              <w:rPr>
                <w:rFonts w:ascii="Times New Roman" w:hAnsi="Times New Roman"/>
                <w:color w:val="000000" w:themeColor="text1"/>
                <w:sz w:val="24"/>
                <w:szCs w:val="24"/>
                <w:lang w:val="en-US"/>
              </w:rPr>
              <w:t xml:space="preserve"> au înscrise în prezent în cazierul fiscal infracțiuni și/sau fapte prevăzute la art. 4 alin. (4) lit. a) din Ordonanța Guvernului nr. 39/2015 privind cazierul fiscal, aprobată cu modificări prin Legea nr. 327/2015.</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 xml:space="preserve">Prin asociat se înțelege persoana fizică și persoana juridică înființată în baza Legii societăților nr. 31/1990, republicată, cu modificările și completările ulterioare, cu excepția societăților la care statul sau unitățile administrativ-teritoriale dețin participații, a căror cotă de participare la capitalul social al persoanei impozabile analizate este &lt; 50%.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2) </w:t>
            </w:r>
            <w:r w:rsidRPr="002B649C">
              <w:rPr>
                <w:rFonts w:ascii="Times New Roman" w:hAnsi="Times New Roman"/>
                <w:i/>
                <w:color w:val="000000" w:themeColor="text1"/>
                <w:sz w:val="24"/>
                <w:szCs w:val="24"/>
                <w:lang w:val="en-US"/>
              </w:rPr>
              <w:t>Prin asociat/acționar se înțelege atât persoana fizică și persoana juridică înființată în baza Legii societăților nr. 31/1990, republicată, cu modificările și completările ulterioare, cu excepția societăților la care statul sau unitățile administrativ-teritoriale dețin participații, indiferent de cotă de participare la capitalul social al persoanei impozabile și indiferent de forma de organizare a asociaților/acționarilor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3) </w:t>
            </w:r>
            <w:r w:rsidRPr="002B649C">
              <w:rPr>
                <w:rFonts w:ascii="Times New Roman" w:hAnsi="Times New Roman"/>
                <w:i/>
                <w:color w:val="000000" w:themeColor="text1"/>
                <w:sz w:val="24"/>
                <w:szCs w:val="24"/>
                <w:lang w:val="en-US"/>
              </w:rPr>
              <w:t>Prin administrator se înțelege persoana fizică și persoana juridică înființată în baza Legii societăților nr. 31/1990, republicată, cu modificările și completările ulterioare, cu excepția administratorilor societăților la care statul sau unitățile administrativ-teritoriale dețin participații, precum și a reprezentanților legali ai persoanelor juridice.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4) </w:t>
            </w:r>
            <w:r w:rsidRPr="002B649C">
              <w:rPr>
                <w:rFonts w:ascii="Times New Roman" w:hAnsi="Times New Roman"/>
                <w:i/>
                <w:color w:val="000000" w:themeColor="text1"/>
                <w:sz w:val="24"/>
                <w:szCs w:val="24"/>
                <w:lang w:val="en-US"/>
              </w:rPr>
              <w:t>Prin titular se înțelege persoana fizică titulară a unei persoane fizice autorizate (PFA), respectiv a unei întreprinderi individuale (ÎI).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5) </w:t>
            </w:r>
            <w:r w:rsidRPr="002B649C">
              <w:rPr>
                <w:rFonts w:ascii="Times New Roman" w:hAnsi="Times New Roman"/>
                <w:i/>
                <w:color w:val="000000" w:themeColor="text1"/>
                <w:sz w:val="24"/>
                <w:szCs w:val="24"/>
                <w:lang w:val="en-US"/>
              </w:rPr>
              <w:t>Prin membru se înțelege persoana fizică membră în cadrul unei întreprinderi familiale (IF).</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p>
        </w:tc>
        <w:tc>
          <w:tcPr>
            <w:tcW w:w="7723" w:type="dxa"/>
            <w:vAlign w:val="center"/>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6) </w:t>
            </w:r>
            <w:r w:rsidRPr="002B649C">
              <w:rPr>
                <w:rFonts w:ascii="Times New Roman" w:hAnsi="Times New Roman"/>
                <w:i/>
                <w:color w:val="000000" w:themeColor="text1"/>
                <w:sz w:val="24"/>
                <w:szCs w:val="24"/>
                <w:lang w:val="en-US"/>
              </w:rPr>
              <w:t>Prin persoane impozabile se înțelege: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xml:space="preserve">- societățile înființate în baza Legii societăților nr. 31/1990, republicată, cu modificările și completările ulterioare, cu excepția societăților la care statul sau unitățile administrativ-teritoriale dețin participații, în cadrul cărora asociații/administratorii (persoane fizice sau juridice) persoanei impozabile analizate dețin sau au deținut calitatea de asociat/acționar (indiferent de cotă de participare la capitalul social), respectiv de administrator. </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PFA, ÎI, IF în cadrul cărora asociații/administratorii (persoane fizice) persoanei impozabile analizate dețin calitatea de titulari, respectiv de membri.</w:t>
            </w:r>
          </w:p>
          <w:p w:rsidR="002B649C" w:rsidRPr="002B649C" w:rsidRDefault="002B649C" w:rsidP="002B649C">
            <w:pPr>
              <w:jc w:val="both"/>
              <w:textAlignment w:val="baseline"/>
              <w:rPr>
                <w:rFonts w:ascii="Times New Roman" w:hAnsi="Times New Roman"/>
                <w:b/>
                <w:bCs/>
                <w:i/>
                <w:color w:val="000000" w:themeColor="text1"/>
                <w:sz w:val="24"/>
                <w:szCs w:val="24"/>
                <w:lang w:val="en-US"/>
              </w:rPr>
            </w:pPr>
            <w:r w:rsidRPr="002B649C">
              <w:rPr>
                <w:rFonts w:ascii="Times New Roman" w:hAnsi="Times New Roman"/>
                <w:i/>
                <w:color w:val="000000" w:themeColor="text1"/>
                <w:sz w:val="24"/>
                <w:szCs w:val="24"/>
                <w:lang w:val="en-US"/>
              </w:rPr>
              <w:t>Infracțiunile și/sau faptele prevăzute la art. 4 alin. (4) lit. a) din Ordonanța Guvernului nr. 39/2015 privind cazierul fiscal, aprobată cu modificări prin Legea nr. 327/2015, cu modificările ulterioare, sunt cele constatate și sancționate înainte de data retragerii asociaților/administratorilor din cadrul persoanei impozabile respective.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9.</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b/>
                <w:bCs/>
                <w:color w:val="000000" w:themeColor="text1"/>
                <w:sz w:val="24"/>
                <w:szCs w:val="24"/>
                <w:lang w:val="en-US"/>
              </w:rPr>
              <w:t>VENITURI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9.1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Administratorii</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 xml:space="preserve"> persoanei impozabile analizate nu au obținut venituri în ultimele 12 luni anterioare celei în care se depune cererea de înregistrare în scopuri de TVA, respectiv în anul fiscal precedent, după caz.</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9.2</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Administratorii</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 xml:space="preserve"> persoanei impozabile analizate au obținut, în ultimele 12 luni anterioare solicitarii de înregistrare în scopuri de TVA, venituri exclusiv salariale preponderent ca valoare, din ocupații corespunzătoare grupei majore 9 (conform COR ISCO08).</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 1) </w:t>
            </w:r>
            <w:r w:rsidRPr="002B649C">
              <w:rPr>
                <w:rFonts w:ascii="Times New Roman" w:hAnsi="Times New Roman"/>
                <w:i/>
                <w:color w:val="000000" w:themeColor="text1"/>
                <w:sz w:val="24"/>
                <w:szCs w:val="24"/>
                <w:lang w:val="en-US"/>
              </w:rPr>
              <w:t xml:space="preserve">Prin administrator se înțelege persoana fizică rezidentă. </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10.</w:t>
            </w: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b/>
                <w:color w:val="000000" w:themeColor="text1"/>
                <w:sz w:val="24"/>
                <w:szCs w:val="24"/>
                <w:lang w:val="en-US"/>
              </w:rPr>
              <w:t>REZIDENȚĂ FISCALĂ</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10.1</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color w:val="000000" w:themeColor="text1"/>
                <w:sz w:val="24"/>
                <w:szCs w:val="24"/>
                <w:lang w:val="en-US"/>
              </w:rPr>
              <w:t>Cel puțin unul dintre administratorii</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 xml:space="preserve"> persoanei impozabile analizate este cetățean străin care nu deține rezidență fiscală în România și capitalul social al persoanei impozabile analizate este sub 45.000 lei.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i/>
                <w:color w:val="000000" w:themeColor="text1"/>
                <w:sz w:val="24"/>
                <w:szCs w:val="24"/>
                <w:vertAlign w:val="superscript"/>
                <w:lang w:val="en-US"/>
              </w:rPr>
              <w:t xml:space="preserve">1) </w:t>
            </w:r>
            <w:r w:rsidRPr="002B649C">
              <w:rPr>
                <w:rFonts w:ascii="Times New Roman" w:hAnsi="Times New Roman"/>
                <w:i/>
                <w:color w:val="000000" w:themeColor="text1"/>
                <w:sz w:val="24"/>
                <w:szCs w:val="24"/>
                <w:lang w:val="en-US"/>
              </w:rPr>
              <w:t>Prin administrator se înțelege persoana fizică.</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b/>
                <w:bCs/>
                <w:color w:val="000000" w:themeColor="text1"/>
                <w:sz w:val="24"/>
                <w:szCs w:val="24"/>
                <w:lang w:val="en-US"/>
              </w:rPr>
              <w:t>CONT BANCAR</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11.1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Persoana impozabilă analizată nu deține cont bancar</w:t>
            </w:r>
            <w:r w:rsidRPr="002B649C">
              <w:rPr>
                <w:rFonts w:ascii="Times New Roman" w:hAnsi="Times New Roman"/>
                <w:color w:val="000000" w:themeColor="text1"/>
                <w:sz w:val="24"/>
                <w:szCs w:val="24"/>
                <w:vertAlign w:val="superscript"/>
                <w:lang w:val="en-US"/>
              </w:rPr>
              <w:t xml:space="preserve"> </w:t>
            </w:r>
            <w:r w:rsidRPr="002B649C">
              <w:rPr>
                <w:rFonts w:ascii="Times New Roman" w:hAnsi="Times New Roman"/>
                <w:color w:val="000000" w:themeColor="text1"/>
                <w:sz w:val="24"/>
                <w:szCs w:val="24"/>
                <w:lang w:val="en-US"/>
              </w:rPr>
              <w:t>sau cel puțin una dintre persoanele împuternicite</w:t>
            </w:r>
            <w:r w:rsidRPr="002B649C">
              <w:rPr>
                <w:rFonts w:ascii="Times New Roman" w:hAnsi="Times New Roman"/>
                <w:color w:val="000000" w:themeColor="text1"/>
                <w:sz w:val="24"/>
                <w:szCs w:val="24"/>
                <w:vertAlign w:val="superscript"/>
                <w:lang w:val="en-US"/>
              </w:rPr>
              <w:t>1)</w:t>
            </w:r>
            <w:r w:rsidRPr="002B649C">
              <w:rPr>
                <w:rFonts w:ascii="Times New Roman" w:hAnsi="Times New Roman"/>
                <w:color w:val="000000" w:themeColor="text1"/>
                <w:sz w:val="24"/>
                <w:szCs w:val="24"/>
                <w:lang w:val="en-US"/>
              </w:rPr>
              <w:t xml:space="preserve"> de persoana impozabilă analizată pentru a desfășura operațiuni pe conturile bancare ale acesteia nu au calitatea de administrator/asociat/salariat.</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vertAlign w:val="superscript"/>
                <w:lang w:val="en-US"/>
              </w:rPr>
              <w:t>1)</w:t>
            </w:r>
            <w:r w:rsidRPr="002B649C">
              <w:rPr>
                <w:rFonts w:ascii="Times New Roman" w:hAnsi="Times New Roman"/>
                <w:i/>
                <w:color w:val="000000" w:themeColor="text1"/>
                <w:sz w:val="24"/>
                <w:szCs w:val="24"/>
                <w:lang w:val="en-US"/>
              </w:rPr>
              <w:t xml:space="preserve"> prin împuternicit se înțelege persoana fizică care are dreptul de a desfășura operațiuni pe conturile bancare ale persoanei impozabile analizate.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12</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ACTIVITATE DESFĂŞURATĂ</w:t>
            </w:r>
          </w:p>
        </w:tc>
      </w:tr>
      <w:tr w:rsidR="002B649C" w:rsidRPr="002B649C" w:rsidTr="0015410D">
        <w:trPr>
          <w:trHeight w:val="710"/>
        </w:trPr>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lastRenderedPageBreak/>
              <w:t>12.1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Persoana impozabilă analizată nu desfășoară activități economice în spațiul destinat sediului social și/sau sediilor secundare și nici în afara acestora.</w:t>
            </w:r>
          </w:p>
          <w:p w:rsidR="002B649C" w:rsidRPr="002B649C" w:rsidRDefault="002B649C" w:rsidP="002B649C">
            <w:pPr>
              <w:jc w:val="both"/>
              <w:textAlignment w:val="baseline"/>
              <w:rPr>
                <w:rFonts w:ascii="Times New Roman" w:hAnsi="Times New Roman"/>
                <w:i/>
                <w:color w:val="000000" w:themeColor="text1"/>
                <w:sz w:val="24"/>
                <w:szCs w:val="24"/>
                <w:lang w:val="en-US"/>
              </w:rPr>
            </w:pP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13.</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TERȚI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13.1</w:t>
            </w:r>
          </w:p>
        </w:tc>
        <w:tc>
          <w:tcPr>
            <w:tcW w:w="7723" w:type="dxa"/>
          </w:tcPr>
          <w:p w:rsidR="002B649C" w:rsidRPr="002B649C" w:rsidRDefault="002B649C" w:rsidP="002B649C">
            <w:pPr>
              <w:jc w:val="both"/>
              <w:textAlignment w:val="baseline"/>
              <w:rPr>
                <w:rFonts w:ascii="Times New Roman" w:hAnsi="Times New Roman"/>
                <w:b/>
                <w:bCs/>
                <w:color w:val="000000" w:themeColor="text1"/>
                <w:sz w:val="24"/>
                <w:szCs w:val="24"/>
                <w:lang w:val="en-US"/>
              </w:rPr>
            </w:pPr>
            <w:r w:rsidRPr="002B649C">
              <w:rPr>
                <w:rFonts w:ascii="Times New Roman" w:hAnsi="Times New Roman"/>
                <w:color w:val="000000" w:themeColor="text1"/>
                <w:sz w:val="24"/>
                <w:szCs w:val="24"/>
                <w:lang w:val="en-US"/>
              </w:rPr>
              <w:t>Persoana impozabilă analizată desfășoară exclusiv activități economice în afara sediului social/profesional și a sediilor secundare (punctelor de lucru)</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14.</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SERVICII CONTABILE</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14.1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Persoana impozabilă analizată nu are desemnată o persoană care să conducă compartimentul de contabilitate sau are desemnată o persoană care nu îndeplinește prevederile art. 10 alin. (2) din Legea contabilității nr. 82/1991, republicată, cu modificările și completările ulterioare, în cazul în care contabilitatea este organizată şi condusă în compartimente distincte, inclusiv situația în care persoana impozabilă analizată nu are încheiate contracte de prestări servicii cu persoane fizice/juridice membre active CECCAR, în cazul în care contabilitatea este organizată și condusă pe bază de contracte de prestări de servicii în domeniul contabilității.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15.</w:t>
            </w:r>
          </w:p>
        </w:tc>
        <w:tc>
          <w:tcPr>
            <w:tcW w:w="7723" w:type="dxa"/>
          </w:tcPr>
          <w:p w:rsidR="002B649C" w:rsidRPr="002B649C" w:rsidRDefault="002B649C" w:rsidP="002B649C">
            <w:pPr>
              <w:jc w:val="both"/>
              <w:textAlignment w:val="baseline"/>
              <w:rPr>
                <w:rFonts w:ascii="Times New Roman" w:hAnsi="Times New Roman"/>
                <w:b/>
                <w:color w:val="000000" w:themeColor="text1"/>
                <w:sz w:val="24"/>
                <w:szCs w:val="24"/>
                <w:lang w:val="en-US"/>
              </w:rPr>
            </w:pPr>
            <w:r w:rsidRPr="002B649C">
              <w:rPr>
                <w:rFonts w:ascii="Times New Roman" w:hAnsi="Times New Roman"/>
                <w:b/>
                <w:color w:val="000000" w:themeColor="text1"/>
                <w:sz w:val="24"/>
                <w:szCs w:val="24"/>
                <w:lang w:val="en-US"/>
              </w:rPr>
              <w:t>SALARIAȚI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r w:rsidRPr="002B649C">
              <w:rPr>
                <w:rFonts w:ascii="Times New Roman" w:hAnsi="Times New Roman"/>
                <w:color w:val="000000" w:themeColor="text1"/>
                <w:sz w:val="24"/>
                <w:szCs w:val="24"/>
                <w:lang w:val="en-US"/>
              </w:rPr>
              <w:t>15.1</w:t>
            </w:r>
          </w:p>
        </w:tc>
        <w:tc>
          <w:tcPr>
            <w:tcW w:w="7723" w:type="dxa"/>
          </w:tcPr>
          <w:p w:rsidR="002B649C" w:rsidRPr="002B649C" w:rsidRDefault="002B649C" w:rsidP="002B649C">
            <w:pPr>
              <w:jc w:val="both"/>
              <w:textAlignment w:val="baseline"/>
              <w:rPr>
                <w:rFonts w:ascii="Times New Roman" w:hAnsi="Times New Roman"/>
                <w:color w:val="000000" w:themeColor="text1"/>
                <w:sz w:val="24"/>
                <w:szCs w:val="24"/>
                <w:vertAlign w:val="superscript"/>
                <w:lang w:val="en-US"/>
              </w:rPr>
            </w:pPr>
            <w:r w:rsidRPr="002B649C">
              <w:rPr>
                <w:rFonts w:ascii="Times New Roman" w:hAnsi="Times New Roman"/>
                <w:color w:val="000000" w:themeColor="text1"/>
                <w:sz w:val="24"/>
                <w:szCs w:val="24"/>
                <w:lang w:val="en-US"/>
              </w:rPr>
              <w:t>Persoana impozabilă analizată nu are încheiate contracte individuale de muncă</w:t>
            </w:r>
            <w:r w:rsidRPr="002B649C">
              <w:rPr>
                <w:rFonts w:ascii="Times New Roman" w:hAnsi="Times New Roman"/>
                <w:color w:val="000000" w:themeColor="text1"/>
                <w:sz w:val="24"/>
                <w:szCs w:val="24"/>
                <w:vertAlign w:val="superscript"/>
                <w:lang w:val="en-US"/>
              </w:rPr>
              <w:t xml:space="preserve">1) </w:t>
            </w:r>
            <w:r w:rsidRPr="002B649C">
              <w:rPr>
                <w:rFonts w:ascii="Times New Roman" w:hAnsi="Times New Roman"/>
                <w:color w:val="000000" w:themeColor="text1"/>
                <w:sz w:val="24"/>
                <w:szCs w:val="24"/>
                <w:lang w:val="en-US"/>
              </w:rPr>
              <w:t>la data efectuării analizei.</w:t>
            </w:r>
          </w:p>
        </w:tc>
      </w:tr>
      <w:tr w:rsidR="002B649C" w:rsidRPr="002B649C" w:rsidTr="0015410D">
        <w:tc>
          <w:tcPr>
            <w:tcW w:w="648" w:type="dxa"/>
          </w:tcPr>
          <w:p w:rsidR="002B649C" w:rsidRPr="002B649C" w:rsidRDefault="002B649C" w:rsidP="002B649C">
            <w:pPr>
              <w:jc w:val="both"/>
              <w:textAlignment w:val="baseline"/>
              <w:rPr>
                <w:rFonts w:ascii="Times New Roman" w:hAnsi="Times New Roman"/>
                <w:color w:val="000000" w:themeColor="text1"/>
                <w:sz w:val="24"/>
                <w:szCs w:val="24"/>
                <w:lang w:val="en-US"/>
              </w:rPr>
            </w:pPr>
          </w:p>
        </w:tc>
        <w:tc>
          <w:tcPr>
            <w:tcW w:w="7723" w:type="dxa"/>
          </w:tcPr>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bCs/>
                <w:i/>
                <w:color w:val="000000" w:themeColor="text1"/>
                <w:sz w:val="24"/>
                <w:szCs w:val="24"/>
                <w:vertAlign w:val="superscript"/>
                <w:lang w:val="en-US"/>
              </w:rPr>
              <w:t>1)</w:t>
            </w:r>
            <w:r w:rsidRPr="002B649C">
              <w:rPr>
                <w:rFonts w:ascii="Times New Roman" w:hAnsi="Times New Roman"/>
                <w:bCs/>
                <w:i/>
                <w:color w:val="000000" w:themeColor="text1"/>
                <w:sz w:val="24"/>
                <w:szCs w:val="24"/>
                <w:lang w:val="en-US"/>
              </w:rPr>
              <w:t xml:space="preserve"> Din cadrul contractelor de muncă sunt excluse contractele încheiate cu persoanele angajate în funcția de director economic, contabil șef.</w:t>
            </w:r>
          </w:p>
        </w:tc>
      </w:tr>
    </w:tbl>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Note:</w:t>
      </w:r>
    </w:p>
    <w:p w:rsidR="002B649C" w:rsidRPr="002B649C" w:rsidRDefault="002B649C" w:rsidP="002B649C">
      <w:pPr>
        <w:jc w:val="both"/>
        <w:textAlignment w:val="baseline"/>
        <w:rPr>
          <w:rFonts w:ascii="Times New Roman" w:hAnsi="Times New Roman"/>
          <w:i/>
          <w:color w:val="000000" w:themeColor="text1"/>
          <w:sz w:val="24"/>
          <w:szCs w:val="24"/>
          <w:lang w:val="en-US"/>
        </w:rPr>
      </w:pPr>
      <w:r w:rsidRPr="002B649C">
        <w:rPr>
          <w:rFonts w:ascii="Times New Roman" w:hAnsi="Times New Roman"/>
          <w:i/>
          <w:color w:val="000000" w:themeColor="text1"/>
          <w:sz w:val="24"/>
          <w:szCs w:val="24"/>
          <w:lang w:val="en-US"/>
        </w:rPr>
        <w:t xml:space="preserve"> În cazul în care persoana impozabilă care solicită înregistrarea în scopuri de TVA </w:t>
      </w:r>
      <w:r w:rsidRPr="000B2DB9">
        <w:rPr>
          <w:rFonts w:ascii="Times New Roman" w:hAnsi="Times New Roman"/>
          <w:i/>
          <w:sz w:val="24"/>
          <w:szCs w:val="24"/>
          <w:lang w:val="en-US"/>
        </w:rPr>
        <w:t xml:space="preserve">potrivit art. 316 alin. (12) lit. e) din Codul fiscal </w:t>
      </w:r>
      <w:r w:rsidRPr="002B649C">
        <w:rPr>
          <w:rFonts w:ascii="Times New Roman" w:hAnsi="Times New Roman"/>
          <w:i/>
          <w:color w:val="000000" w:themeColor="text1"/>
          <w:sz w:val="24"/>
          <w:szCs w:val="24"/>
          <w:lang w:val="en-US"/>
        </w:rPr>
        <w:t>se află în procedura insolvenței prevăzută de Legea nr. 85/2014 privind procedurile de prevenire a insolvenței și de insolvență, cu modificările și completările ulterioare, se vor avea în vedere asociații și/sau administratorii care dețineau această calitate la data declanșării procedurii insolvenței.</w:t>
      </w:r>
    </w:p>
    <w:p w:rsidR="00E60420" w:rsidRPr="00653936" w:rsidRDefault="00E60420" w:rsidP="00E60420">
      <w:pPr>
        <w:jc w:val="both"/>
        <w:textAlignment w:val="baseline"/>
        <w:rPr>
          <w:rFonts w:ascii="Times New Roman" w:hAnsi="Times New Roman"/>
          <w:color w:val="000000" w:themeColor="text1"/>
          <w:sz w:val="24"/>
          <w:szCs w:val="24"/>
        </w:rPr>
        <w:sectPr w:rsidR="00E60420" w:rsidRPr="00653936">
          <w:pgSz w:w="11906" w:h="16838"/>
          <w:pgMar w:top="864" w:right="1411" w:bottom="720" w:left="1411" w:header="0" w:footer="0" w:gutter="0"/>
          <w:cols w:space="720"/>
          <w:formProt w:val="0"/>
          <w:docGrid w:linePitch="360" w:charSpace="-2049"/>
        </w:sectPr>
      </w:pPr>
    </w:p>
    <w:p w:rsidR="00E54EE8" w:rsidRPr="000B2DB9" w:rsidRDefault="00096787">
      <w:pPr>
        <w:pStyle w:val="Standard"/>
        <w:rPr>
          <w:lang w:val="ro-RO"/>
        </w:rPr>
      </w:pPr>
      <w:r w:rsidRPr="000B2DB9">
        <w:rPr>
          <w:rFonts w:eastAsia="Times New Roman" w:cs="Times New Roman"/>
          <w:b/>
          <w:sz w:val="20"/>
          <w:szCs w:val="20"/>
          <w:lang w:val="ro-RO"/>
        </w:rPr>
        <w:lastRenderedPageBreak/>
        <w:t xml:space="preserve">Anexa </w:t>
      </w:r>
      <w:r w:rsidR="00E60420" w:rsidRPr="000B2DB9">
        <w:rPr>
          <w:rFonts w:eastAsia="Times New Roman" w:cs="Times New Roman"/>
          <w:b/>
          <w:sz w:val="20"/>
          <w:szCs w:val="20"/>
          <w:lang w:val="ro-RO"/>
        </w:rPr>
        <w:t>nr. 2</w:t>
      </w:r>
    </w:p>
    <w:p w:rsidR="00E54EE8" w:rsidRPr="00653936" w:rsidRDefault="00096787">
      <w:pPr>
        <w:pStyle w:val="Standard"/>
        <w:rPr>
          <w:color w:val="000000" w:themeColor="text1"/>
          <w:lang w:val="ro-RO"/>
        </w:rPr>
      </w:pPr>
      <w:r w:rsidRPr="00653936">
        <w:rPr>
          <w:rFonts w:eastAsia="Times New Roman" w:cs="Times New Roman"/>
          <w:i/>
          <w:color w:val="000000" w:themeColor="text1"/>
          <w:sz w:val="20"/>
          <w:szCs w:val="20"/>
          <w:lang w:val="ro-RO"/>
        </w:rPr>
        <w:t>(</w:t>
      </w:r>
      <w:r w:rsidRPr="00653936">
        <w:rPr>
          <w:i/>
          <w:color w:val="000000" w:themeColor="text1"/>
          <w:sz w:val="20"/>
          <w:szCs w:val="20"/>
          <w:lang w:val="ro-RO"/>
        </w:rPr>
        <w:t>Anexa nr. 19 la Normele metodologice de aplicare a prevederilor titlului VIII din Codul fiscal)</w:t>
      </w:r>
    </w:p>
    <w:p w:rsidR="00E54EE8" w:rsidRPr="00653936" w:rsidRDefault="00E54EE8">
      <w:pPr>
        <w:pStyle w:val="Standard"/>
        <w:rPr>
          <w:b/>
          <w:i/>
          <w:color w:val="000000" w:themeColor="text1"/>
          <w:sz w:val="20"/>
          <w:szCs w:val="20"/>
          <w:lang w:val="ro-RO"/>
        </w:rPr>
      </w:pPr>
    </w:p>
    <w:p w:rsidR="00E54EE8" w:rsidRPr="00653936" w:rsidRDefault="00096787">
      <w:pPr>
        <w:pStyle w:val="Standard"/>
        <w:jc w:val="both"/>
        <w:rPr>
          <w:color w:val="000000" w:themeColor="text1"/>
          <w:lang w:val="ro-RO"/>
        </w:rPr>
      </w:pPr>
      <w:r w:rsidRPr="00653936">
        <w:rPr>
          <w:color w:val="000000" w:themeColor="text1"/>
          <w:sz w:val="20"/>
          <w:szCs w:val="20"/>
          <w:lang w:val="ro-RO"/>
        </w:rPr>
        <w:t>Denumirea destinatarului înregistrat/</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reprezentantului fiscal/importator autorizat</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w:t>
      </w:r>
      <w:r w:rsidRPr="00653936">
        <w:rPr>
          <w:color w:val="000000" w:themeColor="text1"/>
          <w:sz w:val="20"/>
          <w:szCs w:val="20"/>
          <w:lang w:val="ro-RO"/>
        </w:rPr>
        <w:tab/>
      </w:r>
      <w:r w:rsidRPr="00653936">
        <w:rPr>
          <w:color w:val="000000" w:themeColor="text1"/>
          <w:sz w:val="20"/>
          <w:szCs w:val="20"/>
          <w:lang w:val="ro-RO"/>
        </w:rPr>
        <w:tab/>
        <w:t xml:space="preserve">       </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Cod accize/Cod identificare fiscală .....................</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Localitatea ................................, judeţul/sectorul ..................</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Str. ................................................................... nr. ......</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Bl. ......, sc. ....., et. ......, ap. ......, cod poştal ..............   </w:t>
      </w:r>
    </w:p>
    <w:p w:rsidR="00E54EE8" w:rsidRPr="00653936" w:rsidRDefault="00096787">
      <w:pPr>
        <w:pStyle w:val="Standard"/>
        <w:jc w:val="center"/>
        <w:rPr>
          <w:b/>
          <w:color w:val="000000" w:themeColor="text1"/>
          <w:sz w:val="20"/>
          <w:szCs w:val="20"/>
          <w:lang w:val="ro-RO"/>
        </w:rPr>
      </w:pPr>
      <w:r w:rsidRPr="00653936">
        <w:rPr>
          <w:b/>
          <w:color w:val="000000" w:themeColor="text1"/>
          <w:sz w:val="20"/>
          <w:szCs w:val="20"/>
          <w:lang w:val="ro-RO"/>
        </w:rPr>
        <w:t>SITUAŢIE CENTRALIZATOARE</w:t>
      </w:r>
    </w:p>
    <w:p w:rsidR="00E54EE8" w:rsidRPr="00653936" w:rsidRDefault="00096787">
      <w:pPr>
        <w:pStyle w:val="Standard"/>
        <w:jc w:val="center"/>
        <w:rPr>
          <w:color w:val="000000" w:themeColor="text1"/>
          <w:lang w:val="ro-RO"/>
        </w:rPr>
      </w:pPr>
      <w:r w:rsidRPr="00653936">
        <w:rPr>
          <w:b/>
          <w:color w:val="000000" w:themeColor="text1"/>
          <w:sz w:val="20"/>
          <w:szCs w:val="20"/>
          <w:lang w:val="ro-RO"/>
        </w:rPr>
        <w:t xml:space="preserve">    privind achiziţiile/importurile de produse accizabile</w:t>
      </w:r>
    </w:p>
    <w:p w:rsidR="00E54EE8" w:rsidRPr="00653936" w:rsidRDefault="00096787">
      <w:pPr>
        <w:pStyle w:val="Standard"/>
        <w:jc w:val="center"/>
        <w:rPr>
          <w:color w:val="000000" w:themeColor="text1"/>
          <w:lang w:val="ro-RO"/>
        </w:rPr>
      </w:pPr>
      <w:r w:rsidRPr="00653936">
        <w:rPr>
          <w:b/>
          <w:color w:val="000000" w:themeColor="text1"/>
          <w:sz w:val="20"/>
          <w:szCs w:val="20"/>
          <w:lang w:val="ro-RO"/>
        </w:rPr>
        <w:t xml:space="preserve"> în luna ............... anul .....</w:t>
      </w:r>
    </w:p>
    <w:p w:rsidR="00E54EE8" w:rsidRPr="00653936" w:rsidRDefault="00E54EE8">
      <w:pPr>
        <w:pStyle w:val="Standard"/>
        <w:jc w:val="center"/>
        <w:rPr>
          <w:color w:val="000000" w:themeColor="text1"/>
          <w:sz w:val="20"/>
          <w:szCs w:val="20"/>
          <w:lang w:val="ro-RO"/>
        </w:rPr>
      </w:pP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Semnificaţia coloanelor din tabelul de mai jos este următoarea:</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A - Provenienţa (2)</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B - Cod accize expeditor</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C - Cod produs accizabil</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D - Codul NC al produsului</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E - Starea produsului (vrac/îmbuteliat) (V/Î)</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F - Densitate la 15°C kg/l (3)</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G - Concentraţie grad alcoolic (4)</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H - Grad Plato (5)</w:t>
      </w:r>
    </w:p>
    <w:p w:rsidR="00E54EE8" w:rsidRPr="00653936" w:rsidRDefault="00096787">
      <w:pPr>
        <w:pStyle w:val="Standard"/>
        <w:jc w:val="both"/>
        <w:rPr>
          <w:color w:val="000000" w:themeColor="text1"/>
          <w:sz w:val="20"/>
          <w:szCs w:val="20"/>
          <w:lang w:val="ro-RO"/>
        </w:rPr>
      </w:pPr>
      <w:r w:rsidRPr="00653936">
        <w:rPr>
          <w:color w:val="000000" w:themeColor="text1"/>
          <w:sz w:val="20"/>
          <w:szCs w:val="20"/>
          <w:lang w:val="ro-RO"/>
        </w:rPr>
        <w:t xml:space="preserve">    I - Acciza datorată - mii lei -</w:t>
      </w:r>
    </w:p>
    <w:p w:rsidR="00E54EE8" w:rsidRPr="00653936" w:rsidRDefault="00E54EE8">
      <w:pPr>
        <w:pStyle w:val="Standard"/>
        <w:jc w:val="both"/>
        <w:rPr>
          <w:b/>
          <w:color w:val="000000" w:themeColor="text1"/>
          <w:sz w:val="20"/>
          <w:szCs w:val="20"/>
          <w:lang w:val="ro-RO"/>
        </w:rPr>
      </w:pPr>
    </w:p>
    <w:p w:rsidR="00E54EE8" w:rsidRPr="00653936" w:rsidRDefault="00E54EE8">
      <w:pPr>
        <w:pStyle w:val="Standard"/>
        <w:jc w:val="center"/>
        <w:rPr>
          <w:color w:val="000000" w:themeColor="text1"/>
          <w:sz w:val="20"/>
          <w:szCs w:val="20"/>
          <w:lang w:val="ro-RO"/>
        </w:rPr>
      </w:pPr>
    </w:p>
    <w:tbl>
      <w:tblPr>
        <w:tblW w:w="14850" w:type="dxa"/>
        <w:tblInd w:w="-605" w:type="dxa"/>
        <w:tblBorders>
          <w:top w:val="single" w:sz="4" w:space="0" w:color="000001"/>
          <w:left w:val="single" w:sz="4" w:space="0" w:color="000001"/>
        </w:tblBorders>
        <w:tblLook w:val="04A0" w:firstRow="1" w:lastRow="0" w:firstColumn="1" w:lastColumn="0" w:noHBand="0" w:noVBand="1"/>
      </w:tblPr>
      <w:tblGrid>
        <w:gridCol w:w="622"/>
        <w:gridCol w:w="807"/>
        <w:gridCol w:w="989"/>
        <w:gridCol w:w="722"/>
        <w:gridCol w:w="721"/>
        <w:gridCol w:w="722"/>
        <w:gridCol w:w="811"/>
        <w:gridCol w:w="898"/>
        <w:gridCol w:w="811"/>
        <w:gridCol w:w="900"/>
        <w:gridCol w:w="900"/>
        <w:gridCol w:w="2464"/>
        <w:gridCol w:w="628"/>
        <w:gridCol w:w="789"/>
        <w:gridCol w:w="628"/>
        <w:gridCol w:w="789"/>
        <w:gridCol w:w="649"/>
      </w:tblGrid>
      <w:tr w:rsidR="00E54EE8" w:rsidRPr="00653936">
        <w:trPr>
          <w:trHeight w:val="332"/>
        </w:trPr>
        <w:tc>
          <w:tcPr>
            <w:tcW w:w="2420" w:type="dxa"/>
            <w:gridSpan w:val="3"/>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Document</w:t>
            </w:r>
          </w:p>
        </w:tc>
        <w:tc>
          <w:tcPr>
            <w:tcW w:w="722"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A</w:t>
            </w:r>
          </w:p>
        </w:tc>
        <w:tc>
          <w:tcPr>
            <w:tcW w:w="720"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B</w:t>
            </w:r>
          </w:p>
        </w:tc>
        <w:tc>
          <w:tcPr>
            <w:tcW w:w="722"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lang w:val="ro-RO"/>
              </w:rPr>
            </w:pPr>
            <w:r w:rsidRPr="00653936">
              <w:rPr>
                <w:color w:val="000000" w:themeColor="text1"/>
                <w:sz w:val="20"/>
                <w:szCs w:val="20"/>
                <w:lang w:val="ro-RO"/>
              </w:rPr>
              <w:t>C</w:t>
            </w:r>
          </w:p>
        </w:tc>
        <w:tc>
          <w:tcPr>
            <w:tcW w:w="811"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D</w:t>
            </w:r>
          </w:p>
        </w:tc>
        <w:tc>
          <w:tcPr>
            <w:tcW w:w="898"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E</w:t>
            </w:r>
          </w:p>
        </w:tc>
        <w:tc>
          <w:tcPr>
            <w:tcW w:w="811"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F</w:t>
            </w:r>
          </w:p>
        </w:tc>
        <w:tc>
          <w:tcPr>
            <w:tcW w:w="900"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G</w:t>
            </w:r>
          </w:p>
        </w:tc>
        <w:tc>
          <w:tcPr>
            <w:tcW w:w="900" w:type="dxa"/>
            <w:vMerge w:val="restart"/>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H</w:t>
            </w:r>
          </w:p>
        </w:tc>
        <w:tc>
          <w:tcPr>
            <w:tcW w:w="3093" w:type="dxa"/>
            <w:gridSpan w:val="2"/>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Recipienţi</w:t>
            </w:r>
          </w:p>
          <w:p w:rsidR="00E54EE8" w:rsidRPr="00653936" w:rsidRDefault="00E54EE8">
            <w:pPr>
              <w:pStyle w:val="Standard"/>
              <w:jc w:val="center"/>
              <w:rPr>
                <w:color w:val="000000" w:themeColor="text1"/>
                <w:sz w:val="20"/>
                <w:szCs w:val="20"/>
                <w:lang w:val="ro-RO"/>
              </w:rPr>
            </w:pPr>
          </w:p>
        </w:tc>
        <w:tc>
          <w:tcPr>
            <w:tcW w:w="2205" w:type="dxa"/>
            <w:gridSpan w:val="3"/>
            <w:tcBorders>
              <w:top w:val="single" w:sz="4" w:space="0" w:color="000001"/>
              <w:lef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Cantitate</w:t>
            </w:r>
          </w:p>
        </w:tc>
        <w:tc>
          <w:tcPr>
            <w:tcW w:w="648" w:type="dxa"/>
            <w:tcBorders>
              <w:top w:val="single" w:sz="4" w:space="0" w:color="000001"/>
              <w:left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I</w:t>
            </w:r>
          </w:p>
        </w:tc>
      </w:tr>
      <w:tr w:rsidR="00E54EE8" w:rsidRPr="00653936">
        <w:trPr>
          <w:trHeight w:val="530"/>
        </w:trPr>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Tip (1)</w:t>
            </w: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lang w:val="ro-RO"/>
              </w:rPr>
            </w:pPr>
            <w:r w:rsidRPr="00653936">
              <w:rPr>
                <w:color w:val="000000" w:themeColor="text1"/>
                <w:sz w:val="20"/>
                <w:szCs w:val="20"/>
                <w:lang w:val="ro-RO"/>
              </w:rPr>
              <w:t>Numă</w:t>
            </w:r>
            <w:r w:rsidRPr="00653936">
              <w:rPr>
                <w:rFonts w:cs="Arial"/>
                <w:color w:val="000000" w:themeColor="text1"/>
                <w:sz w:val="20"/>
                <w:szCs w:val="20"/>
                <w:lang w:val="ro-RO"/>
              </w:rPr>
              <w:t>r</w:t>
            </w:r>
          </w:p>
          <w:p w:rsidR="00E54EE8" w:rsidRPr="00653936" w:rsidRDefault="00E54EE8">
            <w:pPr>
              <w:pStyle w:val="Standard"/>
              <w:jc w:val="center"/>
              <w:rPr>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Data</w:t>
            </w:r>
          </w:p>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achiziţiei</w:t>
            </w:r>
          </w:p>
        </w:tc>
        <w:tc>
          <w:tcPr>
            <w:tcW w:w="721"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721"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721"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811"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898"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811"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900"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900" w:type="dxa"/>
            <w:vMerge/>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rPr>
                <w:color w:val="000000" w:themeColor="text1"/>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Capacitate nominală</w:t>
            </w: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nr.</w:t>
            </w: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kg</w:t>
            </w: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litri</w:t>
            </w: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mii bucăţi</w:t>
            </w: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rPr>
                <w:color w:val="000000" w:themeColor="text1"/>
              </w:rPr>
            </w:pPr>
          </w:p>
        </w:tc>
      </w:tr>
      <w:tr w:rsidR="00E54EE8" w:rsidRPr="00653936">
        <w:trPr>
          <w:trHeight w:val="287"/>
        </w:trPr>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9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r>
      <w:tr w:rsidR="00E54EE8" w:rsidRPr="00653936">
        <w:trPr>
          <w:trHeight w:val="188"/>
        </w:trPr>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9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r>
      <w:tr w:rsidR="00E54EE8" w:rsidRPr="00653936">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rFonts w:cs="Arial"/>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9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r>
      <w:tr w:rsidR="00E54EE8" w:rsidRPr="00653936">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9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r>
      <w:tr w:rsidR="00E54EE8" w:rsidRPr="00653936">
        <w:tc>
          <w:tcPr>
            <w:tcW w:w="623"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0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8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2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9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811"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900"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2465"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28"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789" w:type="dxa"/>
            <w:tcBorders>
              <w:top w:val="single" w:sz="4" w:space="0" w:color="000001"/>
              <w:left w:val="single" w:sz="4" w:space="0" w:color="000001"/>
              <w:bottom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c>
          <w:tcPr>
            <w:tcW w:w="64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center"/>
              <w:rPr>
                <w:color w:val="000000" w:themeColor="text1"/>
                <w:sz w:val="20"/>
                <w:szCs w:val="20"/>
                <w:lang w:val="ro-RO"/>
              </w:rPr>
            </w:pPr>
          </w:p>
        </w:tc>
      </w:tr>
    </w:tbl>
    <w:p w:rsidR="00E54EE8" w:rsidRPr="00653936" w:rsidRDefault="00096787">
      <w:pPr>
        <w:pStyle w:val="Standard"/>
        <w:jc w:val="both"/>
        <w:rPr>
          <w:color w:val="000000" w:themeColor="text1"/>
          <w:lang w:val="ro-RO"/>
        </w:rPr>
      </w:pPr>
      <w:r w:rsidRPr="00653936">
        <w:rPr>
          <w:rFonts w:cs="Arial"/>
          <w:i/>
          <w:color w:val="000000" w:themeColor="text1"/>
          <w:sz w:val="20"/>
          <w:szCs w:val="20"/>
          <w:lang w:val="ro-RO"/>
        </w:rPr>
        <w:tab/>
      </w:r>
    </w:p>
    <w:p w:rsidR="00E54EE8" w:rsidRPr="00653936" w:rsidRDefault="00096787">
      <w:pPr>
        <w:pStyle w:val="Standard"/>
        <w:jc w:val="both"/>
        <w:rPr>
          <w:color w:val="000000" w:themeColor="text1"/>
          <w:lang w:val="ro-RO"/>
        </w:rPr>
      </w:pPr>
      <w:r w:rsidRPr="00653936">
        <w:rPr>
          <w:rFonts w:cs="Arial"/>
          <w:i/>
          <w:color w:val="000000" w:themeColor="text1"/>
          <w:sz w:val="20"/>
          <w:szCs w:val="20"/>
          <w:lang w:val="ro-RO"/>
        </w:rPr>
        <w:tab/>
        <w:t>(1)  e-DA; declaraţia vamală de punere în liberă circulaţie.</w:t>
      </w:r>
    </w:p>
    <w:p w:rsidR="00E54EE8" w:rsidRPr="00653936" w:rsidRDefault="00096787">
      <w:pPr>
        <w:pStyle w:val="Standard"/>
        <w:jc w:val="both"/>
        <w:rPr>
          <w:color w:val="000000" w:themeColor="text1"/>
          <w:lang w:val="ro-RO"/>
        </w:rPr>
      </w:pPr>
      <w:r w:rsidRPr="00653936">
        <w:rPr>
          <w:i/>
          <w:color w:val="000000" w:themeColor="text1"/>
          <w:sz w:val="20"/>
          <w:szCs w:val="20"/>
          <w:lang w:val="ro-RO"/>
        </w:rPr>
        <w:tab/>
        <w:t>(2)  Se va înscrie indicativul SM de expediere/statul din care este efectuat importul.</w:t>
      </w:r>
    </w:p>
    <w:p w:rsidR="00E54EE8" w:rsidRPr="00653936" w:rsidRDefault="00096787">
      <w:pPr>
        <w:pStyle w:val="Standard"/>
        <w:jc w:val="both"/>
        <w:rPr>
          <w:color w:val="000000" w:themeColor="text1"/>
          <w:lang w:val="ro-RO"/>
        </w:rPr>
      </w:pPr>
      <w:r w:rsidRPr="00653936">
        <w:rPr>
          <w:i/>
          <w:color w:val="000000" w:themeColor="text1"/>
          <w:sz w:val="20"/>
          <w:szCs w:val="20"/>
          <w:lang w:val="ro-RO"/>
        </w:rPr>
        <w:tab/>
        <w:t>(3)  Se va completa numai în cazul produselor energetice.</w:t>
      </w:r>
    </w:p>
    <w:p w:rsidR="00E54EE8" w:rsidRPr="00653936" w:rsidRDefault="00096787">
      <w:pPr>
        <w:pStyle w:val="Standard"/>
        <w:jc w:val="both"/>
        <w:rPr>
          <w:color w:val="000000" w:themeColor="text1"/>
          <w:lang w:val="ro-RO"/>
        </w:rPr>
      </w:pPr>
      <w:r w:rsidRPr="00653936">
        <w:rPr>
          <w:i/>
          <w:color w:val="000000" w:themeColor="text1"/>
          <w:sz w:val="20"/>
          <w:szCs w:val="20"/>
          <w:lang w:val="ro-RO"/>
        </w:rPr>
        <w:tab/>
        <w:t>(4)  Se va completa numai în cazul alcoolului şi băuturilor alcoolice.</w:t>
      </w:r>
    </w:p>
    <w:p w:rsidR="00E54EE8" w:rsidRPr="00653936" w:rsidRDefault="00096787">
      <w:pPr>
        <w:pStyle w:val="Standard"/>
        <w:jc w:val="both"/>
        <w:rPr>
          <w:color w:val="000000" w:themeColor="text1"/>
          <w:lang w:val="ro-RO"/>
        </w:rPr>
      </w:pPr>
      <w:r w:rsidRPr="00653936">
        <w:rPr>
          <w:i/>
          <w:color w:val="000000" w:themeColor="text1"/>
          <w:sz w:val="20"/>
          <w:szCs w:val="20"/>
          <w:lang w:val="ro-RO"/>
        </w:rPr>
        <w:tab/>
        <w:t>(5)  Se va completa numai în cazul berii.</w:t>
      </w:r>
    </w:p>
    <w:p w:rsidR="00E54EE8" w:rsidRPr="00653936" w:rsidRDefault="00E54EE8">
      <w:pPr>
        <w:pStyle w:val="Standard"/>
        <w:jc w:val="both"/>
        <w:rPr>
          <w:color w:val="000000" w:themeColor="text1"/>
          <w:sz w:val="20"/>
          <w:szCs w:val="20"/>
          <w:lang w:val="ro-RO"/>
        </w:rPr>
      </w:pPr>
    </w:p>
    <w:p w:rsidR="00E54EE8" w:rsidRPr="00653936" w:rsidRDefault="00E54EE8">
      <w:pPr>
        <w:pStyle w:val="Standard"/>
        <w:rPr>
          <w:i/>
          <w:color w:val="000000" w:themeColor="text1"/>
          <w:sz w:val="20"/>
          <w:szCs w:val="20"/>
          <w:lang w:val="ro-RO"/>
        </w:rPr>
      </w:pPr>
    </w:p>
    <w:p w:rsidR="00E54EE8" w:rsidRPr="00653936" w:rsidRDefault="00096787">
      <w:pPr>
        <w:pStyle w:val="Standard"/>
        <w:jc w:val="left"/>
        <w:rPr>
          <w:color w:val="000000" w:themeColor="text1"/>
          <w:lang w:val="ro-RO"/>
        </w:rPr>
      </w:pPr>
      <w:r w:rsidRPr="00653936">
        <w:rPr>
          <w:i/>
          <w:color w:val="000000" w:themeColor="text1"/>
          <w:sz w:val="20"/>
          <w:szCs w:val="20"/>
          <w:lang w:val="ro-RO"/>
        </w:rPr>
        <w:lastRenderedPageBreak/>
        <w:t xml:space="preserve">    Semnificaţia coloanelor din tabelul de mai jos este următoarea:</w:t>
      </w:r>
    </w:p>
    <w:p w:rsidR="00E54EE8" w:rsidRPr="00653936" w:rsidRDefault="00096787">
      <w:pPr>
        <w:pStyle w:val="Standard"/>
        <w:jc w:val="left"/>
        <w:rPr>
          <w:color w:val="000000" w:themeColor="text1"/>
          <w:lang w:val="ro-RO"/>
        </w:rPr>
      </w:pPr>
      <w:r w:rsidRPr="00653936">
        <w:rPr>
          <w:i/>
          <w:color w:val="000000" w:themeColor="text1"/>
          <w:sz w:val="20"/>
          <w:szCs w:val="20"/>
          <w:lang w:val="ro-RO"/>
        </w:rPr>
        <w:t xml:space="preserve">    A - Pierderi</w:t>
      </w:r>
    </w:p>
    <w:p w:rsidR="00E54EE8" w:rsidRPr="00653936" w:rsidRDefault="00096787">
      <w:pPr>
        <w:pStyle w:val="Standard"/>
        <w:jc w:val="left"/>
        <w:rPr>
          <w:color w:val="000000" w:themeColor="text1"/>
          <w:lang w:val="ro-RO"/>
        </w:rPr>
      </w:pPr>
      <w:r w:rsidRPr="00653936">
        <w:rPr>
          <w:i/>
          <w:color w:val="000000" w:themeColor="text1"/>
          <w:sz w:val="20"/>
          <w:szCs w:val="20"/>
          <w:lang w:val="ro-RO"/>
        </w:rPr>
        <w:t xml:space="preserve">    B - Stoc efectiv</w:t>
      </w:r>
    </w:p>
    <w:p w:rsidR="00E54EE8" w:rsidRPr="00653936" w:rsidRDefault="00096787">
      <w:pPr>
        <w:pStyle w:val="Standard"/>
        <w:jc w:val="left"/>
        <w:rPr>
          <w:color w:val="000000" w:themeColor="text1"/>
          <w:lang w:val="ro-RO"/>
        </w:rPr>
      </w:pPr>
      <w:r w:rsidRPr="00653936">
        <w:rPr>
          <w:i/>
          <w:color w:val="000000" w:themeColor="text1"/>
          <w:sz w:val="20"/>
          <w:szCs w:val="20"/>
          <w:lang w:val="ro-RO"/>
        </w:rPr>
        <w:t xml:space="preserve">    C - Diferenţa (+) sau (-)</w:t>
      </w:r>
    </w:p>
    <w:p w:rsidR="00E54EE8" w:rsidRPr="00653936" w:rsidRDefault="00E54EE8">
      <w:pPr>
        <w:pStyle w:val="Standard"/>
        <w:jc w:val="both"/>
        <w:rPr>
          <w:rFonts w:cs="Arial"/>
          <w:color w:val="000000" w:themeColor="text1"/>
          <w:sz w:val="20"/>
          <w:szCs w:val="20"/>
          <w:lang w:val="ro-RO"/>
        </w:rPr>
      </w:pPr>
    </w:p>
    <w:tbl>
      <w:tblPr>
        <w:tblW w:w="13230" w:type="dxa"/>
        <w:tblInd w:w="-6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103"/>
        <w:gridCol w:w="1377"/>
        <w:gridCol w:w="794"/>
        <w:gridCol w:w="1483"/>
        <w:gridCol w:w="1317"/>
        <w:gridCol w:w="1156"/>
        <w:gridCol w:w="1159"/>
        <w:gridCol w:w="1807"/>
        <w:gridCol w:w="1014"/>
        <w:gridCol w:w="1013"/>
        <w:gridCol w:w="1007"/>
      </w:tblGrid>
      <w:tr w:rsidR="00E54EE8" w:rsidRPr="00653936">
        <w:tc>
          <w:tcPr>
            <w:tcW w:w="13228" w:type="dxa"/>
            <w:gridSpan w:val="11"/>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left"/>
              <w:rPr>
                <w:b/>
                <w:color w:val="000000" w:themeColor="text1"/>
                <w:sz w:val="20"/>
                <w:szCs w:val="20"/>
                <w:lang w:val="ro-RO"/>
              </w:rPr>
            </w:pPr>
            <w:r w:rsidRPr="00653936">
              <w:rPr>
                <w:b/>
                <w:color w:val="000000" w:themeColor="text1"/>
                <w:sz w:val="20"/>
                <w:szCs w:val="20"/>
                <w:lang w:val="ro-RO"/>
              </w:rPr>
              <w:t>RECAPITULAREA PERIOADEI</w:t>
            </w:r>
          </w:p>
        </w:tc>
      </w:tr>
      <w:tr w:rsidR="00E54EE8" w:rsidRPr="00653936">
        <w:tc>
          <w:tcPr>
            <w:tcW w:w="1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Cod produs asccizabil</w:t>
            </w: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Codul NC al produsului</w:t>
            </w: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U.M.</w:t>
            </w:r>
          </w:p>
        </w:tc>
        <w:tc>
          <w:tcPr>
            <w:tcW w:w="14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Vrac/Îmbuteliat</w:t>
            </w:r>
          </w:p>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(V/Î)</w:t>
            </w: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Stoc la începutul lunii</w:t>
            </w:r>
          </w:p>
        </w:tc>
        <w:tc>
          <w:tcPr>
            <w:tcW w:w="11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Cantitatea intrată</w:t>
            </w: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Cantitatea</w:t>
            </w:r>
          </w:p>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ieşită</w:t>
            </w: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Surplus pe</w:t>
            </w:r>
          </w:p>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parcursul lunii</w:t>
            </w: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A</w:t>
            </w: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B</w:t>
            </w: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096787">
            <w:pPr>
              <w:pStyle w:val="Standard"/>
              <w:jc w:val="center"/>
              <w:rPr>
                <w:color w:val="000000" w:themeColor="text1"/>
                <w:sz w:val="20"/>
                <w:szCs w:val="20"/>
                <w:lang w:val="ro-RO"/>
              </w:rPr>
            </w:pPr>
            <w:r w:rsidRPr="00653936">
              <w:rPr>
                <w:color w:val="000000" w:themeColor="text1"/>
                <w:sz w:val="20"/>
                <w:szCs w:val="20"/>
                <w:lang w:val="ro-RO"/>
              </w:rPr>
              <w:t>C</w:t>
            </w:r>
          </w:p>
        </w:tc>
      </w:tr>
      <w:tr w:rsidR="00E54EE8" w:rsidRPr="00653936">
        <w:tc>
          <w:tcPr>
            <w:tcW w:w="1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4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1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r>
      <w:tr w:rsidR="00E54EE8" w:rsidRPr="00653936">
        <w:tc>
          <w:tcPr>
            <w:tcW w:w="110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3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7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47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3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15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15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8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c>
          <w:tcPr>
            <w:tcW w:w="10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54EE8" w:rsidRPr="00653936" w:rsidRDefault="00E54EE8">
            <w:pPr>
              <w:pStyle w:val="Standard"/>
              <w:snapToGrid w:val="0"/>
              <w:jc w:val="both"/>
              <w:rPr>
                <w:rFonts w:cs="Arial"/>
                <w:color w:val="000000" w:themeColor="text1"/>
                <w:sz w:val="20"/>
                <w:szCs w:val="20"/>
                <w:lang w:val="ro-RO"/>
              </w:rPr>
            </w:pPr>
          </w:p>
        </w:tc>
      </w:tr>
    </w:tbl>
    <w:p w:rsidR="00E54EE8" w:rsidRPr="00653936" w:rsidRDefault="00E54EE8">
      <w:pPr>
        <w:pStyle w:val="Standard"/>
        <w:jc w:val="both"/>
        <w:rPr>
          <w:rFonts w:cs="Arial"/>
          <w:color w:val="000000" w:themeColor="text1"/>
          <w:sz w:val="20"/>
          <w:szCs w:val="20"/>
          <w:lang w:val="ro-RO"/>
        </w:rPr>
      </w:pPr>
    </w:p>
    <w:p w:rsidR="00E54EE8" w:rsidRPr="00653936" w:rsidRDefault="00096787">
      <w:pPr>
        <w:pStyle w:val="Standard"/>
        <w:jc w:val="both"/>
        <w:rPr>
          <w:color w:val="000000" w:themeColor="text1"/>
          <w:lang w:val="ro-RO"/>
        </w:rPr>
      </w:pPr>
      <w:r w:rsidRPr="00653936">
        <w:rPr>
          <w:rFonts w:eastAsia="Times New Roman" w:cs="Times New Roman"/>
          <w:color w:val="000000" w:themeColor="text1"/>
          <w:sz w:val="20"/>
          <w:szCs w:val="20"/>
          <w:lang w:val="ro-RO"/>
        </w:rPr>
        <w:t xml:space="preserve">             </w:t>
      </w:r>
      <w:r w:rsidRPr="00653936">
        <w:rPr>
          <w:color w:val="000000" w:themeColor="text1"/>
          <w:sz w:val="20"/>
          <w:szCs w:val="20"/>
          <w:lang w:val="ro-RO"/>
        </w:rPr>
        <w:t xml:space="preserve">Numele şi prenumele </w:t>
      </w:r>
      <w:r w:rsidRPr="00653936">
        <w:rPr>
          <w:rFonts w:eastAsia="Times New Roman" w:cs="Times New Roman"/>
          <w:color w:val="000000" w:themeColor="text1"/>
          <w:sz w:val="20"/>
          <w:szCs w:val="20"/>
          <w:lang w:val="ro-RO"/>
        </w:rPr>
        <w:t xml:space="preserve">  </w:t>
      </w:r>
      <w:r w:rsidRPr="00653936">
        <w:rPr>
          <w:rFonts w:cs="Arial"/>
          <w:color w:val="000000" w:themeColor="text1"/>
          <w:sz w:val="20"/>
          <w:szCs w:val="20"/>
          <w:lang w:val="ro-RO"/>
        </w:rPr>
        <w:t xml:space="preserve">...............................................  </w:t>
      </w:r>
    </w:p>
    <w:p w:rsidR="00E54EE8" w:rsidRPr="00653936" w:rsidRDefault="00096787">
      <w:pPr>
        <w:pStyle w:val="Standard"/>
        <w:jc w:val="both"/>
        <w:rPr>
          <w:color w:val="000000" w:themeColor="text1"/>
          <w:lang w:val="ro-RO"/>
        </w:rPr>
      </w:pPr>
      <w:r w:rsidRPr="00653936">
        <w:rPr>
          <w:rFonts w:eastAsia="Times New Roman" w:cs="Times New Roman"/>
          <w:color w:val="000000" w:themeColor="text1"/>
          <w:sz w:val="20"/>
          <w:szCs w:val="20"/>
          <w:lang w:val="ro-RO"/>
        </w:rPr>
        <w:t xml:space="preserve">            </w:t>
      </w:r>
      <w:r w:rsidRPr="00653936">
        <w:rPr>
          <w:rFonts w:cs="Arial"/>
          <w:color w:val="000000" w:themeColor="text1"/>
          <w:sz w:val="20"/>
          <w:szCs w:val="20"/>
          <w:lang w:val="ro-RO"/>
        </w:rPr>
        <w:t xml:space="preserve">                                                                                   </w:t>
      </w:r>
    </w:p>
    <w:p w:rsidR="00E54EE8" w:rsidRPr="00653936" w:rsidRDefault="00096787">
      <w:pPr>
        <w:pStyle w:val="Standard"/>
        <w:jc w:val="both"/>
        <w:rPr>
          <w:rFonts w:eastAsia="Times New Roman" w:cs="Times New Roman"/>
          <w:color w:val="000000" w:themeColor="text1"/>
          <w:sz w:val="20"/>
          <w:szCs w:val="20"/>
          <w:lang w:val="ro-RO"/>
        </w:rPr>
      </w:pPr>
      <w:r w:rsidRPr="00653936">
        <w:rPr>
          <w:rFonts w:eastAsia="Times New Roman" w:cs="Times New Roman"/>
          <w:color w:val="000000" w:themeColor="text1"/>
          <w:sz w:val="20"/>
          <w:szCs w:val="20"/>
          <w:lang w:val="ro-RO"/>
        </w:rPr>
        <w:t xml:space="preserve">             </w:t>
      </w:r>
    </w:p>
    <w:p w:rsidR="00E54EE8" w:rsidRPr="00653936" w:rsidRDefault="00E54EE8">
      <w:pPr>
        <w:pStyle w:val="Standard"/>
        <w:jc w:val="both"/>
        <w:rPr>
          <w:color w:val="000000" w:themeColor="text1"/>
          <w:sz w:val="20"/>
          <w:szCs w:val="20"/>
          <w:lang w:val="ro-RO"/>
        </w:rPr>
      </w:pPr>
    </w:p>
    <w:p w:rsidR="00E54EE8" w:rsidRPr="00653936" w:rsidRDefault="00096787">
      <w:pPr>
        <w:pStyle w:val="Standard"/>
        <w:jc w:val="both"/>
        <w:rPr>
          <w:color w:val="000000" w:themeColor="text1"/>
          <w:lang w:val="ro-RO"/>
        </w:rPr>
      </w:pPr>
      <w:r w:rsidRPr="00653936">
        <w:rPr>
          <w:rFonts w:eastAsia="Times New Roman" w:cs="Times New Roman"/>
          <w:color w:val="000000" w:themeColor="text1"/>
          <w:sz w:val="20"/>
          <w:szCs w:val="20"/>
          <w:lang w:val="ro-RO"/>
        </w:rPr>
        <w:t xml:space="preserve">            </w:t>
      </w:r>
      <w:r w:rsidRPr="00653936">
        <w:rPr>
          <w:color w:val="000000" w:themeColor="text1"/>
          <w:sz w:val="20"/>
          <w:szCs w:val="20"/>
          <w:lang w:val="ro-RO"/>
        </w:rPr>
        <w:t xml:space="preserve">Semnătura  </w:t>
      </w:r>
      <w:r w:rsidRPr="00653936">
        <w:rPr>
          <w:rFonts w:cs="Arial"/>
          <w:color w:val="000000" w:themeColor="text1"/>
          <w:sz w:val="20"/>
          <w:szCs w:val="20"/>
          <w:lang w:val="ro-RO"/>
        </w:rPr>
        <w:t>...........................................</w:t>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t>Data</w:t>
      </w:r>
      <w:r w:rsidRPr="00653936">
        <w:rPr>
          <w:color w:val="000000" w:themeColor="text1"/>
          <w:sz w:val="20"/>
          <w:szCs w:val="20"/>
          <w:lang w:val="ro-RO"/>
        </w:rPr>
        <w:t xml:space="preserve">    </w:t>
      </w:r>
      <w:r w:rsidRPr="00653936">
        <w:rPr>
          <w:rFonts w:cs="Arial"/>
          <w:color w:val="000000" w:themeColor="text1"/>
          <w:sz w:val="20"/>
          <w:szCs w:val="20"/>
          <w:lang w:val="ro-RO"/>
        </w:rPr>
        <w:t>..........................................</w:t>
      </w:r>
    </w:p>
    <w:p w:rsidR="00E54EE8" w:rsidRPr="00653936" w:rsidRDefault="00096787">
      <w:pPr>
        <w:pStyle w:val="Standard"/>
        <w:jc w:val="both"/>
        <w:rPr>
          <w:color w:val="000000" w:themeColor="text1"/>
          <w:lang w:val="ro-RO"/>
        </w:rPr>
      </w:pPr>
      <w:r w:rsidRPr="00653936">
        <w:rPr>
          <w:color w:val="000000" w:themeColor="text1"/>
          <w:sz w:val="20"/>
          <w:szCs w:val="20"/>
          <w:lang w:val="ro-RO"/>
        </w:rPr>
        <w:t xml:space="preserve">                                                            </w:t>
      </w:r>
      <w:r w:rsidRPr="00653936">
        <w:rPr>
          <w:color w:val="000000" w:themeColor="text1"/>
          <w:sz w:val="20"/>
          <w:szCs w:val="20"/>
          <w:lang w:val="ro-RO"/>
        </w:rPr>
        <w:tab/>
      </w:r>
      <w:r w:rsidRPr="00653936">
        <w:rPr>
          <w:color w:val="000000" w:themeColor="text1"/>
          <w:sz w:val="20"/>
          <w:szCs w:val="20"/>
          <w:lang w:val="ro-RO"/>
        </w:rPr>
        <w:tab/>
      </w:r>
      <w:r w:rsidRPr="00653936">
        <w:rPr>
          <w:color w:val="000000" w:themeColor="text1"/>
          <w:sz w:val="20"/>
          <w:szCs w:val="20"/>
          <w:lang w:val="ro-RO"/>
        </w:rPr>
        <w:tab/>
      </w:r>
      <w:r w:rsidRPr="00653936">
        <w:rPr>
          <w:color w:val="000000" w:themeColor="text1"/>
          <w:sz w:val="20"/>
          <w:szCs w:val="20"/>
          <w:lang w:val="ro-RO"/>
        </w:rPr>
        <w:tab/>
      </w:r>
      <w:r w:rsidRPr="00653936">
        <w:rPr>
          <w:color w:val="000000" w:themeColor="text1"/>
          <w:sz w:val="20"/>
          <w:szCs w:val="20"/>
          <w:lang w:val="ro-RO"/>
        </w:rPr>
        <w:tab/>
      </w:r>
      <w:r w:rsidRPr="00653936">
        <w:rPr>
          <w:color w:val="000000" w:themeColor="text1"/>
          <w:sz w:val="20"/>
          <w:szCs w:val="20"/>
          <w:lang w:val="ro-RO"/>
        </w:rPr>
        <w:tab/>
      </w:r>
    </w:p>
    <w:p w:rsidR="00E54EE8" w:rsidRPr="00653936" w:rsidRDefault="00096787">
      <w:pPr>
        <w:pStyle w:val="Standard"/>
        <w:jc w:val="both"/>
        <w:rPr>
          <w:color w:val="000000" w:themeColor="text1"/>
          <w:lang w:val="ro-RO"/>
        </w:rPr>
      </w:pP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t xml:space="preserve">         </w:t>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r w:rsidRPr="00653936">
        <w:rPr>
          <w:rFonts w:cs="Arial"/>
          <w:color w:val="000000" w:themeColor="text1"/>
          <w:sz w:val="20"/>
          <w:szCs w:val="20"/>
          <w:lang w:val="ro-RO"/>
        </w:rPr>
        <w:tab/>
      </w:r>
    </w:p>
    <w:p w:rsidR="00E54EE8" w:rsidRPr="00653936" w:rsidRDefault="00E54EE8">
      <w:pPr>
        <w:jc w:val="both"/>
        <w:textAlignment w:val="baseline"/>
      </w:pPr>
    </w:p>
    <w:sectPr w:rsidR="00E54EE8" w:rsidRPr="00653936">
      <w:headerReference w:type="default" r:id="rId8"/>
      <w:pgSz w:w="16838" w:h="11906" w:orient="landscape"/>
      <w:pgMar w:top="777" w:right="1134" w:bottom="680" w:left="1134" w:header="720" w:footer="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2D8" w:rsidRDefault="009562D8">
      <w:pPr>
        <w:spacing w:line="240" w:lineRule="auto"/>
      </w:pPr>
      <w:r>
        <w:separator/>
      </w:r>
    </w:p>
  </w:endnote>
  <w:endnote w:type="continuationSeparator" w:id="0">
    <w:p w:rsidR="009562D8" w:rsidRDefault="00956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ont349">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2D8" w:rsidRDefault="009562D8">
      <w:pPr>
        <w:spacing w:line="240" w:lineRule="auto"/>
      </w:pPr>
      <w:r>
        <w:separator/>
      </w:r>
    </w:p>
  </w:footnote>
  <w:footnote w:type="continuationSeparator" w:id="0">
    <w:p w:rsidR="009562D8" w:rsidRDefault="00956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52" w:rsidRDefault="00F16052">
    <w:pPr>
      <w:pStyle w:val="Standar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B461CD6"/>
    <w:name w:val="WWNum1"/>
    <w:lvl w:ilvl="0">
      <w:start w:val="19"/>
      <w:numFmt w:val="decimal"/>
      <w:lvlText w:val="%1."/>
      <w:lvlJc w:val="left"/>
      <w:pPr>
        <w:tabs>
          <w:tab w:val="num" w:pos="0"/>
        </w:tabs>
        <w:ind w:left="900" w:hanging="360"/>
      </w:pPr>
      <w:rPr>
        <w:rFonts w:ascii="Times New Roman" w:hAnsi="Times New Roman" w:hint="default"/>
        <w:b/>
        <w:sz w:val="24"/>
      </w:rPr>
    </w:lvl>
    <w:lvl w:ilvl="1">
      <w:start w:val="1"/>
      <w:numFmt w:val="lowerLetter"/>
      <w:lvlText w:val="%2."/>
      <w:lvlJc w:val="left"/>
      <w:pPr>
        <w:tabs>
          <w:tab w:val="num" w:pos="0"/>
        </w:tabs>
        <w:ind w:left="1530" w:hanging="360"/>
      </w:pPr>
      <w:rPr>
        <w:rFonts w:hint="default"/>
      </w:rPr>
    </w:lvl>
    <w:lvl w:ilvl="2">
      <w:start w:val="1"/>
      <w:numFmt w:val="lowerRoman"/>
      <w:lvlText w:val="%3."/>
      <w:lvlJc w:val="right"/>
      <w:pPr>
        <w:tabs>
          <w:tab w:val="num" w:pos="0"/>
        </w:tabs>
        <w:ind w:left="2250" w:hanging="180"/>
      </w:pPr>
      <w:rPr>
        <w:rFonts w:hint="default"/>
      </w:rPr>
    </w:lvl>
    <w:lvl w:ilvl="3">
      <w:start w:val="1"/>
      <w:numFmt w:val="decimal"/>
      <w:lvlText w:val="%4."/>
      <w:lvlJc w:val="left"/>
      <w:pPr>
        <w:tabs>
          <w:tab w:val="num" w:pos="0"/>
        </w:tabs>
        <w:ind w:left="2970" w:hanging="360"/>
      </w:pPr>
      <w:rPr>
        <w:rFonts w:hint="default"/>
      </w:rPr>
    </w:lvl>
    <w:lvl w:ilvl="4">
      <w:start w:val="1"/>
      <w:numFmt w:val="lowerLetter"/>
      <w:lvlText w:val="%5."/>
      <w:lvlJc w:val="left"/>
      <w:pPr>
        <w:tabs>
          <w:tab w:val="num" w:pos="0"/>
        </w:tabs>
        <w:ind w:left="3690" w:hanging="360"/>
      </w:pPr>
      <w:rPr>
        <w:rFonts w:hint="default"/>
      </w:rPr>
    </w:lvl>
    <w:lvl w:ilvl="5">
      <w:start w:val="1"/>
      <w:numFmt w:val="lowerRoman"/>
      <w:lvlText w:val="%6."/>
      <w:lvlJc w:val="right"/>
      <w:pPr>
        <w:tabs>
          <w:tab w:val="num" w:pos="0"/>
        </w:tabs>
        <w:ind w:left="4410" w:hanging="180"/>
      </w:pPr>
      <w:rPr>
        <w:rFonts w:hint="default"/>
      </w:rPr>
    </w:lvl>
    <w:lvl w:ilvl="6">
      <w:start w:val="1"/>
      <w:numFmt w:val="decimal"/>
      <w:lvlText w:val="%7."/>
      <w:lvlJc w:val="left"/>
      <w:pPr>
        <w:tabs>
          <w:tab w:val="num" w:pos="0"/>
        </w:tabs>
        <w:ind w:left="5130" w:hanging="360"/>
      </w:pPr>
      <w:rPr>
        <w:rFonts w:hint="default"/>
      </w:rPr>
    </w:lvl>
    <w:lvl w:ilvl="7">
      <w:start w:val="1"/>
      <w:numFmt w:val="lowerLetter"/>
      <w:lvlText w:val="%8."/>
      <w:lvlJc w:val="left"/>
      <w:pPr>
        <w:tabs>
          <w:tab w:val="num" w:pos="0"/>
        </w:tabs>
        <w:ind w:left="5850" w:hanging="360"/>
      </w:pPr>
      <w:rPr>
        <w:rFonts w:hint="default"/>
      </w:rPr>
    </w:lvl>
    <w:lvl w:ilvl="8">
      <w:start w:val="1"/>
      <w:numFmt w:val="lowerRoman"/>
      <w:lvlText w:val="%9."/>
      <w:lvlJc w:val="right"/>
      <w:pPr>
        <w:tabs>
          <w:tab w:val="num" w:pos="0"/>
        </w:tabs>
        <w:ind w:left="6570" w:hanging="180"/>
      </w:pPr>
      <w:rPr>
        <w:rFonts w:hint="default"/>
      </w:rPr>
    </w:lvl>
  </w:abstractNum>
  <w:abstractNum w:abstractNumId="1" w15:restartNumberingAfterBreak="0">
    <w:nsid w:val="00000002"/>
    <w:multiLevelType w:val="multilevel"/>
    <w:tmpl w:val="00000002"/>
    <w:name w:val="WWNum2"/>
    <w:lvl w:ilvl="0">
      <w:start w:val="1"/>
      <w:numFmt w:val="upperLetter"/>
      <w:lvlText w:val="%1."/>
      <w:lvlJc w:val="left"/>
      <w:pPr>
        <w:tabs>
          <w:tab w:val="num" w:pos="0"/>
        </w:tabs>
        <w:ind w:left="952" w:hanging="360"/>
      </w:pPr>
      <w:rPr>
        <w:rFonts w:ascii="Times New Roman" w:hAnsi="Times New Roman" w:cs="Times New Roman"/>
        <w:b/>
        <w:sz w:val="24"/>
        <w:szCs w:val="24"/>
      </w:rPr>
    </w:lvl>
    <w:lvl w:ilvl="1">
      <w:start w:val="1"/>
      <w:numFmt w:val="lowerLetter"/>
      <w:lvlText w:val="%2."/>
      <w:lvlJc w:val="left"/>
      <w:pPr>
        <w:tabs>
          <w:tab w:val="num" w:pos="0"/>
        </w:tabs>
        <w:ind w:left="1672" w:hanging="360"/>
      </w:pPr>
    </w:lvl>
    <w:lvl w:ilvl="2">
      <w:start w:val="1"/>
      <w:numFmt w:val="lowerRoman"/>
      <w:lvlText w:val="%3."/>
      <w:lvlJc w:val="right"/>
      <w:pPr>
        <w:tabs>
          <w:tab w:val="num" w:pos="0"/>
        </w:tabs>
        <w:ind w:left="2392" w:hanging="180"/>
      </w:pPr>
    </w:lvl>
    <w:lvl w:ilvl="3">
      <w:start w:val="1"/>
      <w:numFmt w:val="decimal"/>
      <w:lvlText w:val="%4."/>
      <w:lvlJc w:val="left"/>
      <w:pPr>
        <w:tabs>
          <w:tab w:val="num" w:pos="0"/>
        </w:tabs>
        <w:ind w:left="3112" w:hanging="360"/>
      </w:pPr>
    </w:lvl>
    <w:lvl w:ilvl="4">
      <w:start w:val="1"/>
      <w:numFmt w:val="lowerLetter"/>
      <w:lvlText w:val="%5."/>
      <w:lvlJc w:val="left"/>
      <w:pPr>
        <w:tabs>
          <w:tab w:val="num" w:pos="0"/>
        </w:tabs>
        <w:ind w:left="3832" w:hanging="360"/>
      </w:pPr>
    </w:lvl>
    <w:lvl w:ilvl="5">
      <w:start w:val="1"/>
      <w:numFmt w:val="lowerRoman"/>
      <w:lvlText w:val="%6."/>
      <w:lvlJc w:val="right"/>
      <w:pPr>
        <w:tabs>
          <w:tab w:val="num" w:pos="0"/>
        </w:tabs>
        <w:ind w:left="4552" w:hanging="180"/>
      </w:pPr>
    </w:lvl>
    <w:lvl w:ilvl="6">
      <w:start w:val="1"/>
      <w:numFmt w:val="decimal"/>
      <w:lvlText w:val="%7."/>
      <w:lvlJc w:val="left"/>
      <w:pPr>
        <w:tabs>
          <w:tab w:val="num" w:pos="0"/>
        </w:tabs>
        <w:ind w:left="5272" w:hanging="360"/>
      </w:pPr>
    </w:lvl>
    <w:lvl w:ilvl="7">
      <w:start w:val="1"/>
      <w:numFmt w:val="lowerLetter"/>
      <w:lvlText w:val="%8."/>
      <w:lvlJc w:val="left"/>
      <w:pPr>
        <w:tabs>
          <w:tab w:val="num" w:pos="0"/>
        </w:tabs>
        <w:ind w:left="5992" w:hanging="360"/>
      </w:pPr>
    </w:lvl>
    <w:lvl w:ilvl="8">
      <w:start w:val="1"/>
      <w:numFmt w:val="lowerRoman"/>
      <w:lvlText w:val="%9."/>
      <w:lvlJc w:val="right"/>
      <w:pPr>
        <w:tabs>
          <w:tab w:val="num" w:pos="0"/>
        </w:tabs>
        <w:ind w:left="6712"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450" w:hanging="360"/>
      </w:pPr>
      <w:rPr>
        <w:rFonts w:ascii="Times New Roman" w:hAnsi="Times New Roman"/>
        <w:b/>
        <w:sz w:val="24"/>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00000004"/>
    <w:multiLevelType w:val="multilevel"/>
    <w:tmpl w:val="3F2E57B8"/>
    <w:name w:val="WWNum4"/>
    <w:lvl w:ilvl="0">
      <w:start w:val="4"/>
      <w:numFmt w:val="decimal"/>
      <w:lvlText w:val="%1."/>
      <w:lvlJc w:val="left"/>
      <w:pPr>
        <w:tabs>
          <w:tab w:val="num" w:pos="0"/>
        </w:tabs>
        <w:ind w:left="450" w:hanging="360"/>
      </w:pPr>
      <w:rPr>
        <w:rFonts w:ascii="Times New Roman" w:hAnsi="Times New Roman" w:hint="default"/>
        <w:b/>
        <w:sz w:val="24"/>
      </w:rPr>
    </w:lvl>
    <w:lvl w:ilvl="1">
      <w:start w:val="1"/>
      <w:numFmt w:val="lowerLetter"/>
      <w:lvlText w:val="%2."/>
      <w:lvlJc w:val="left"/>
      <w:pPr>
        <w:tabs>
          <w:tab w:val="num" w:pos="0"/>
        </w:tabs>
        <w:ind w:left="1222" w:hanging="360"/>
      </w:pPr>
      <w:rPr>
        <w:rFonts w:hint="default"/>
      </w:rPr>
    </w:lvl>
    <w:lvl w:ilvl="2">
      <w:start w:val="1"/>
      <w:numFmt w:val="lowerRoman"/>
      <w:lvlText w:val="%3."/>
      <w:lvlJc w:val="right"/>
      <w:pPr>
        <w:tabs>
          <w:tab w:val="num" w:pos="0"/>
        </w:tabs>
        <w:ind w:left="1942" w:hanging="180"/>
      </w:pPr>
      <w:rPr>
        <w:rFonts w:hint="default"/>
      </w:rPr>
    </w:lvl>
    <w:lvl w:ilvl="3">
      <w:start w:val="1"/>
      <w:numFmt w:val="decimal"/>
      <w:lvlText w:val="%4."/>
      <w:lvlJc w:val="left"/>
      <w:pPr>
        <w:tabs>
          <w:tab w:val="num" w:pos="0"/>
        </w:tabs>
        <w:ind w:left="2662" w:hanging="360"/>
      </w:pPr>
      <w:rPr>
        <w:rFonts w:hint="default"/>
      </w:rPr>
    </w:lvl>
    <w:lvl w:ilvl="4">
      <w:start w:val="1"/>
      <w:numFmt w:val="lowerLetter"/>
      <w:lvlText w:val="%5."/>
      <w:lvlJc w:val="left"/>
      <w:pPr>
        <w:tabs>
          <w:tab w:val="num" w:pos="0"/>
        </w:tabs>
        <w:ind w:left="3382" w:hanging="360"/>
      </w:pPr>
      <w:rPr>
        <w:rFonts w:hint="default"/>
      </w:rPr>
    </w:lvl>
    <w:lvl w:ilvl="5">
      <w:start w:val="1"/>
      <w:numFmt w:val="lowerRoman"/>
      <w:lvlText w:val="%6."/>
      <w:lvlJc w:val="right"/>
      <w:pPr>
        <w:tabs>
          <w:tab w:val="num" w:pos="0"/>
        </w:tabs>
        <w:ind w:left="4102" w:hanging="180"/>
      </w:pPr>
      <w:rPr>
        <w:rFonts w:hint="default"/>
      </w:rPr>
    </w:lvl>
    <w:lvl w:ilvl="6">
      <w:start w:val="1"/>
      <w:numFmt w:val="decimal"/>
      <w:lvlText w:val="%7."/>
      <w:lvlJc w:val="left"/>
      <w:pPr>
        <w:tabs>
          <w:tab w:val="num" w:pos="0"/>
        </w:tabs>
        <w:ind w:left="4822" w:hanging="360"/>
      </w:pPr>
      <w:rPr>
        <w:rFonts w:hint="default"/>
      </w:rPr>
    </w:lvl>
    <w:lvl w:ilvl="7">
      <w:start w:val="1"/>
      <w:numFmt w:val="lowerLetter"/>
      <w:lvlText w:val="%8."/>
      <w:lvlJc w:val="left"/>
      <w:pPr>
        <w:tabs>
          <w:tab w:val="num" w:pos="0"/>
        </w:tabs>
        <w:ind w:left="5542" w:hanging="360"/>
      </w:pPr>
      <w:rPr>
        <w:rFonts w:hint="default"/>
      </w:rPr>
    </w:lvl>
    <w:lvl w:ilvl="8">
      <w:start w:val="1"/>
      <w:numFmt w:val="lowerRoman"/>
      <w:lvlText w:val="%9."/>
      <w:lvlJc w:val="right"/>
      <w:pPr>
        <w:tabs>
          <w:tab w:val="num" w:pos="0"/>
        </w:tabs>
        <w:ind w:left="6262" w:hanging="180"/>
      </w:pPr>
      <w:rPr>
        <w:rFonts w:hint="default"/>
      </w:rPr>
    </w:lvl>
  </w:abstractNum>
  <w:abstractNum w:abstractNumId="4" w15:restartNumberingAfterBreak="0">
    <w:nsid w:val="2BC847C8"/>
    <w:multiLevelType w:val="multilevel"/>
    <w:tmpl w:val="269ECE60"/>
    <w:lvl w:ilvl="0">
      <w:start w:val="1"/>
      <w:numFmt w:val="decimal"/>
      <w:lvlText w:val="%1."/>
      <w:lvlJc w:val="left"/>
      <w:pPr>
        <w:ind w:left="900" w:hanging="360"/>
      </w:pPr>
      <w:rPr>
        <w:rFonts w:ascii="Times New Roman" w:hAnsi="Times New Roman"/>
        <w:b/>
        <w:sz w:val="24"/>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15:restartNumberingAfterBreak="0">
    <w:nsid w:val="3A63249F"/>
    <w:multiLevelType w:val="multilevel"/>
    <w:tmpl w:val="52D8AC48"/>
    <w:lvl w:ilvl="0">
      <w:start w:val="1"/>
      <w:numFmt w:val="decimal"/>
      <w:lvlText w:val="%1."/>
      <w:lvlJc w:val="left"/>
      <w:pPr>
        <w:ind w:left="450" w:hanging="360"/>
      </w:pPr>
      <w:rPr>
        <w:rFonts w:ascii="Times New Roman" w:hAnsi="Times New Roman"/>
        <w:b/>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58144177"/>
    <w:multiLevelType w:val="multilevel"/>
    <w:tmpl w:val="52D8AC48"/>
    <w:lvl w:ilvl="0">
      <w:start w:val="1"/>
      <w:numFmt w:val="decimal"/>
      <w:lvlText w:val="%1."/>
      <w:lvlJc w:val="left"/>
      <w:pPr>
        <w:ind w:left="450" w:hanging="360"/>
      </w:pPr>
      <w:rPr>
        <w:rFonts w:ascii="Times New Roman" w:hAnsi="Times New Roman"/>
        <w:b/>
        <w:sz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695A0279"/>
    <w:multiLevelType w:val="multilevel"/>
    <w:tmpl w:val="F4BA45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917290E"/>
    <w:multiLevelType w:val="multilevel"/>
    <w:tmpl w:val="704445A6"/>
    <w:lvl w:ilvl="0">
      <w:start w:val="1"/>
      <w:numFmt w:val="upperLetter"/>
      <w:lvlText w:val="%1."/>
      <w:lvlJc w:val="left"/>
      <w:pPr>
        <w:ind w:left="952" w:hanging="360"/>
      </w:pPr>
      <w:rPr>
        <w:rFonts w:ascii="Times New Roman" w:hAnsi="Times New Roman" w:cs="Times New Roman" w:hint="default"/>
        <w:b/>
        <w:sz w:val="24"/>
        <w:szCs w:val="24"/>
      </w:rPr>
    </w:lvl>
    <w:lvl w:ilvl="1">
      <w:start w:val="1"/>
      <w:numFmt w:val="lowerLetter"/>
      <w:lvlText w:val="%2."/>
      <w:lvlJc w:val="left"/>
      <w:pPr>
        <w:ind w:left="1672" w:hanging="360"/>
      </w:pPr>
    </w:lvl>
    <w:lvl w:ilvl="2">
      <w:start w:val="1"/>
      <w:numFmt w:val="lowerRoman"/>
      <w:lvlText w:val="%3."/>
      <w:lvlJc w:val="right"/>
      <w:pPr>
        <w:ind w:left="2392" w:hanging="180"/>
      </w:pPr>
    </w:lvl>
    <w:lvl w:ilvl="3">
      <w:start w:val="1"/>
      <w:numFmt w:val="decimal"/>
      <w:lvlText w:val="%4."/>
      <w:lvlJc w:val="left"/>
      <w:pPr>
        <w:ind w:left="3112" w:hanging="360"/>
      </w:pPr>
    </w:lvl>
    <w:lvl w:ilvl="4">
      <w:start w:val="1"/>
      <w:numFmt w:val="lowerLetter"/>
      <w:lvlText w:val="%5."/>
      <w:lvlJc w:val="left"/>
      <w:pPr>
        <w:ind w:left="3832" w:hanging="360"/>
      </w:pPr>
    </w:lvl>
    <w:lvl w:ilvl="5">
      <w:start w:val="1"/>
      <w:numFmt w:val="lowerRoman"/>
      <w:lvlText w:val="%6."/>
      <w:lvlJc w:val="right"/>
      <w:pPr>
        <w:ind w:left="4552" w:hanging="180"/>
      </w:pPr>
    </w:lvl>
    <w:lvl w:ilvl="6">
      <w:start w:val="1"/>
      <w:numFmt w:val="decimal"/>
      <w:lvlText w:val="%7."/>
      <w:lvlJc w:val="left"/>
      <w:pPr>
        <w:ind w:left="5272" w:hanging="360"/>
      </w:pPr>
    </w:lvl>
    <w:lvl w:ilvl="7">
      <w:start w:val="1"/>
      <w:numFmt w:val="lowerLetter"/>
      <w:lvlText w:val="%8."/>
      <w:lvlJc w:val="left"/>
      <w:pPr>
        <w:ind w:left="5992" w:hanging="360"/>
      </w:pPr>
    </w:lvl>
    <w:lvl w:ilvl="8">
      <w:start w:val="1"/>
      <w:numFmt w:val="lowerRoman"/>
      <w:lvlText w:val="%9."/>
      <w:lvlJc w:val="right"/>
      <w:pPr>
        <w:ind w:left="6712" w:hanging="180"/>
      </w:pPr>
    </w:lvl>
  </w:abstractNum>
  <w:num w:numId="1">
    <w:abstractNumId w:val="4"/>
  </w:num>
  <w:num w:numId="2">
    <w:abstractNumId w:val="8"/>
  </w:num>
  <w:num w:numId="3">
    <w:abstractNumId w:val="5"/>
  </w:num>
  <w:num w:numId="4">
    <w:abstractNumId w:val="7"/>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E8"/>
    <w:rsid w:val="000252BB"/>
    <w:rsid w:val="00026BD5"/>
    <w:rsid w:val="00044893"/>
    <w:rsid w:val="00066490"/>
    <w:rsid w:val="00070B6C"/>
    <w:rsid w:val="00085DA1"/>
    <w:rsid w:val="00096787"/>
    <w:rsid w:val="000B2700"/>
    <w:rsid w:val="000B2D7D"/>
    <w:rsid w:val="000B2DB9"/>
    <w:rsid w:val="000B37BC"/>
    <w:rsid w:val="000E60A0"/>
    <w:rsid w:val="0015410D"/>
    <w:rsid w:val="00170FB5"/>
    <w:rsid w:val="001B6189"/>
    <w:rsid w:val="00254EA2"/>
    <w:rsid w:val="002B649C"/>
    <w:rsid w:val="003327A4"/>
    <w:rsid w:val="0035434C"/>
    <w:rsid w:val="003A49D7"/>
    <w:rsid w:val="00404609"/>
    <w:rsid w:val="00465115"/>
    <w:rsid w:val="00475FD6"/>
    <w:rsid w:val="004F7F29"/>
    <w:rsid w:val="00570450"/>
    <w:rsid w:val="0058168C"/>
    <w:rsid w:val="005D56A7"/>
    <w:rsid w:val="005F2D22"/>
    <w:rsid w:val="006036CE"/>
    <w:rsid w:val="006148FD"/>
    <w:rsid w:val="00653936"/>
    <w:rsid w:val="00721F54"/>
    <w:rsid w:val="007771CE"/>
    <w:rsid w:val="007C304B"/>
    <w:rsid w:val="00896876"/>
    <w:rsid w:val="008A5F46"/>
    <w:rsid w:val="00932305"/>
    <w:rsid w:val="009562D8"/>
    <w:rsid w:val="00971896"/>
    <w:rsid w:val="009A1F8A"/>
    <w:rsid w:val="00A016FF"/>
    <w:rsid w:val="00A217F6"/>
    <w:rsid w:val="00A867DD"/>
    <w:rsid w:val="00AF594C"/>
    <w:rsid w:val="00B0181B"/>
    <w:rsid w:val="00B26870"/>
    <w:rsid w:val="00B67AC9"/>
    <w:rsid w:val="00B9044E"/>
    <w:rsid w:val="00B94B62"/>
    <w:rsid w:val="00BA204B"/>
    <w:rsid w:val="00C12A88"/>
    <w:rsid w:val="00C7671E"/>
    <w:rsid w:val="00CB0D82"/>
    <w:rsid w:val="00CD3E6A"/>
    <w:rsid w:val="00E06AB9"/>
    <w:rsid w:val="00E54EE8"/>
    <w:rsid w:val="00E60420"/>
    <w:rsid w:val="00EA41C2"/>
    <w:rsid w:val="00ED5BA6"/>
    <w:rsid w:val="00F104C1"/>
    <w:rsid w:val="00F11275"/>
    <w:rsid w:val="00F16052"/>
    <w:rsid w:val="00F37A18"/>
    <w:rsid w:val="00F670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948B1-543C-421A-B548-75B1D006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right"/>
    </w:pPr>
    <w:rPr>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b/>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b/>
      <w:color w:val="000000"/>
      <w:sz w:val="24"/>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rFonts w:ascii="Times New Roman" w:hAnsi="Times New Roman"/>
      <w:b/>
      <w:sz w:val="24"/>
    </w:rPr>
  </w:style>
  <w:style w:type="character" w:customStyle="1" w:styleId="ListLabel16">
    <w:name w:val="ListLabel 16"/>
    <w:qFormat/>
    <w:rPr>
      <w:rFonts w:eastAsia="Calibri"/>
      <w:i w:val="0"/>
      <w:color w:val="000000"/>
    </w:rPr>
  </w:style>
  <w:style w:type="character" w:customStyle="1" w:styleId="ListLabel17">
    <w:name w:val="ListLabel 17"/>
    <w:qFormat/>
    <w:rPr>
      <w:b/>
    </w:rPr>
  </w:style>
  <w:style w:type="character" w:customStyle="1" w:styleId="ListLabel18">
    <w:name w:val="ListLabel 18"/>
    <w:qFormat/>
    <w:rPr>
      <w:rFonts w:ascii="Times New Roman" w:hAnsi="Times New Roman"/>
      <w:b/>
      <w:sz w:val="24"/>
    </w:rPr>
  </w:style>
  <w:style w:type="character" w:customStyle="1" w:styleId="CommentTextChar">
    <w:name w:val="Comment Text Char"/>
    <w:basedOn w:val="DefaultParagraphFont"/>
    <w:link w:val="CommentText"/>
    <w:uiPriority w:val="99"/>
    <w:semiHidden/>
    <w:qFormat/>
    <w:rPr>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324523"/>
    <w:rPr>
      <w:rFonts w:ascii="Segoe UI" w:hAnsi="Segoe UI" w:cs="Segoe UI"/>
      <w:sz w:val="18"/>
      <w:szCs w:val="18"/>
    </w:rPr>
  </w:style>
  <w:style w:type="character" w:customStyle="1" w:styleId="ListLabel19">
    <w:name w:val="ListLabel 19"/>
    <w:qFormat/>
    <w:rPr>
      <w:rFonts w:ascii="Times New Roman" w:hAnsi="Times New Roman"/>
      <w:b/>
      <w:sz w:val="24"/>
    </w:rPr>
  </w:style>
  <w:style w:type="character" w:customStyle="1" w:styleId="ListLabel20">
    <w:name w:val="ListLabel 20"/>
    <w:qFormat/>
    <w:rPr>
      <w:rFonts w:ascii="Times New Roman" w:hAnsi="Times New Roman"/>
      <w:b/>
      <w:sz w:val="24"/>
    </w:rPr>
  </w:style>
  <w:style w:type="character" w:customStyle="1" w:styleId="ListLabel21">
    <w:name w:val="ListLabel 21"/>
    <w:qFormat/>
    <w:rPr>
      <w:rFonts w:ascii="Times New Roman" w:hAnsi="Times New Roman"/>
      <w:b/>
      <w:sz w:val="24"/>
    </w:rPr>
  </w:style>
  <w:style w:type="character" w:customStyle="1" w:styleId="ListLabel22">
    <w:name w:val="ListLabel 22"/>
    <w:qFormat/>
    <w:rPr>
      <w:rFonts w:ascii="Times New Roman" w:hAnsi="Times New Roman"/>
      <w:b/>
      <w:sz w:val="24"/>
    </w:rPr>
  </w:style>
  <w:style w:type="character" w:customStyle="1" w:styleId="ListLabel23">
    <w:name w:val="ListLabel 23"/>
    <w:qFormat/>
    <w:rPr>
      <w:rFonts w:ascii="Times New Roman" w:hAnsi="Times New Roman"/>
      <w:b/>
      <w:sz w:val="24"/>
    </w:rPr>
  </w:style>
  <w:style w:type="character" w:customStyle="1" w:styleId="ListLabel24">
    <w:name w:val="ListLabel 24"/>
    <w:qFormat/>
    <w:rPr>
      <w:rFonts w:ascii="Times New Roman" w:hAnsi="Times New Roman"/>
      <w:b/>
      <w:sz w:val="24"/>
    </w:rPr>
  </w:style>
  <w:style w:type="character" w:customStyle="1" w:styleId="ListLabel25">
    <w:name w:val="ListLabel 25"/>
    <w:qFormat/>
    <w:rPr>
      <w:rFonts w:ascii="Times New Roman" w:hAnsi="Times New Roman"/>
      <w:b/>
      <w:sz w:val="24"/>
    </w:rPr>
  </w:style>
  <w:style w:type="character" w:customStyle="1" w:styleId="ListLabel26">
    <w:name w:val="ListLabel 26"/>
    <w:qFormat/>
    <w:rPr>
      <w:rFonts w:ascii="Times New Roman" w:hAnsi="Times New Roman"/>
      <w:b/>
      <w:sz w:val="24"/>
    </w:rPr>
  </w:style>
  <w:style w:type="character" w:customStyle="1" w:styleId="ListLabel27">
    <w:name w:val="ListLabel 27"/>
    <w:qFormat/>
    <w:rPr>
      <w:rFonts w:ascii="Times New Roman" w:hAnsi="Times New Roman"/>
      <w:b/>
      <w:sz w:val="24"/>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76"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B54822"/>
    <w:pPr>
      <w:spacing w:beforeAutospacing="1" w:after="142" w:line="288" w:lineRule="auto"/>
    </w:pPr>
    <w:rPr>
      <w:rFonts w:ascii="Times New Roman" w:eastAsia="Times New Roman" w:hAnsi="Times New Roman" w:cs="Times New Roman"/>
      <w:sz w:val="24"/>
      <w:szCs w:val="24"/>
      <w:lang w:eastAsia="ro-RO"/>
    </w:rPr>
  </w:style>
  <w:style w:type="paragraph" w:customStyle="1" w:styleId="western">
    <w:name w:val="western"/>
    <w:basedOn w:val="Normal"/>
    <w:qFormat/>
    <w:rsid w:val="00B54822"/>
    <w:pPr>
      <w:spacing w:beforeAutospacing="1" w:after="142" w:line="288" w:lineRule="auto"/>
    </w:pPr>
    <w:rPr>
      <w:rFonts w:ascii="Calibri" w:eastAsia="Times New Roman" w:hAnsi="Calibri" w:cs="Calibri"/>
      <w:lang w:eastAsia="ro-RO"/>
    </w:rPr>
  </w:style>
  <w:style w:type="paragraph" w:styleId="ListParagraph">
    <w:name w:val="List Paragraph"/>
    <w:basedOn w:val="Normal"/>
    <w:qFormat/>
    <w:rsid w:val="007A72E0"/>
    <w:pPr>
      <w:ind w:left="720"/>
      <w:contextualSpacing/>
    </w:pPr>
  </w:style>
  <w:style w:type="paragraph" w:customStyle="1" w:styleId="Standard">
    <w:name w:val="Standard"/>
    <w:qFormat/>
    <w:rsid w:val="007F23CC"/>
    <w:pPr>
      <w:suppressAutoHyphens/>
      <w:jc w:val="right"/>
      <w:textAlignment w:val="baseline"/>
    </w:pPr>
    <w:rPr>
      <w:rFonts w:ascii="Times New Roman" w:eastAsia="Andale Sans UI" w:hAnsi="Times New Roman" w:cs="Tahoma"/>
      <w:sz w:val="24"/>
      <w:szCs w:val="24"/>
      <w:lang w:val="en-US" w:eastAsia="zh-CN" w:bidi="en-US"/>
    </w:rPr>
  </w:style>
  <w:style w:type="paragraph" w:styleId="Header">
    <w:name w:val="header"/>
    <w:basedOn w:val="Normal"/>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324523"/>
    <w:pPr>
      <w:spacing w:line="240" w:lineRule="auto"/>
    </w:pPr>
    <w:rPr>
      <w:rFonts w:ascii="Segoe UI" w:hAnsi="Segoe UI" w:cs="Segoe UI"/>
      <w:sz w:val="18"/>
      <w:szCs w:val="18"/>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BodyText">
    <w:name w:val="Body Text"/>
    <w:basedOn w:val="Normal"/>
    <w:link w:val="BodyTextChar"/>
    <w:rsid w:val="00AF594C"/>
    <w:pPr>
      <w:spacing w:after="140" w:line="276" w:lineRule="auto"/>
    </w:pPr>
    <w:rPr>
      <w:rFonts w:ascii="Calibri" w:eastAsia="Calibri" w:hAnsi="Calibri" w:cs="font349"/>
    </w:rPr>
  </w:style>
  <w:style w:type="character" w:customStyle="1" w:styleId="BodyTextChar">
    <w:name w:val="Body Text Char"/>
    <w:basedOn w:val="DefaultParagraphFont"/>
    <w:link w:val="BodyText"/>
    <w:rsid w:val="00AF594C"/>
    <w:rPr>
      <w:rFonts w:ascii="Calibri" w:eastAsia="Calibri" w:hAnsi="Calibri" w:cs="font34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7C3E8-9D05-442B-A78A-881CD2F72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9398</Words>
  <Characters>53573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62846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ELENA-MARIA OPRAN</dc:creator>
  <cp:lastModifiedBy>IONELA-MARILENA BALESCU</cp:lastModifiedBy>
  <cp:revision>3</cp:revision>
  <cp:lastPrinted>2020-09-22T14:03:00Z</cp:lastPrinted>
  <dcterms:created xsi:type="dcterms:W3CDTF">2020-09-25T10:32:00Z</dcterms:created>
  <dcterms:modified xsi:type="dcterms:W3CDTF">2020-09-25T10:32:00Z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