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B11" w14:textId="77777777" w:rsidR="00125664" w:rsidRPr="00125664" w:rsidRDefault="00125664" w:rsidP="00D0433D">
      <w:pPr>
        <w:tabs>
          <w:tab w:val="left" w:pos="4590"/>
        </w:tabs>
        <w:spacing w:after="120" w:line="264" w:lineRule="auto"/>
        <w:jc w:val="both"/>
        <w:rPr>
          <w:rFonts w:asciiTheme="majorHAnsi" w:hAnsiTheme="majorHAnsi" w:cstheme="majorHAnsi"/>
          <w:bCs/>
          <w:lang w:val="ro-RO"/>
        </w:rPr>
      </w:pPr>
    </w:p>
    <w:p w14:paraId="251B752B" w14:textId="77777777" w:rsidR="00125664" w:rsidRPr="00B4594D" w:rsidRDefault="00125664" w:rsidP="00D0433D">
      <w:pPr>
        <w:tabs>
          <w:tab w:val="left" w:pos="4590"/>
        </w:tabs>
        <w:spacing w:after="120"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B4594D">
        <w:rPr>
          <w:rFonts w:asciiTheme="majorHAnsi" w:hAnsiTheme="majorHAnsi" w:cstheme="majorHAnsi"/>
          <w:b/>
          <w:bCs/>
          <w:sz w:val="24"/>
          <w:szCs w:val="24"/>
          <w:lang w:val="ro-RO"/>
        </w:rPr>
        <w:t>Toamna se număr</w:t>
      </w:r>
      <w:r w:rsidR="009A7059" w:rsidRPr="00B4594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ă </w:t>
      </w:r>
      <w:r w:rsidRPr="00B4594D">
        <w:rPr>
          <w:rFonts w:asciiTheme="majorHAnsi" w:hAnsiTheme="majorHAnsi" w:cstheme="majorHAnsi"/>
          <w:b/>
          <w:bCs/>
          <w:sz w:val="24"/>
          <w:szCs w:val="24"/>
          <w:lang w:val="ro-RO"/>
        </w:rPr>
        <w:t>inspecțiile fiscale</w:t>
      </w:r>
      <w:r w:rsidR="006E36BC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. Datele publicate de </w:t>
      </w:r>
      <w:r w:rsidRPr="00B4594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ANAF </w:t>
      </w:r>
      <w:r w:rsidR="006E36BC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indică o intensificare a </w:t>
      </w:r>
      <w:r w:rsidRPr="00B4594D">
        <w:rPr>
          <w:rFonts w:asciiTheme="majorHAnsi" w:hAnsiTheme="majorHAnsi" w:cstheme="majorHAnsi"/>
          <w:b/>
          <w:bCs/>
          <w:sz w:val="24"/>
          <w:szCs w:val="24"/>
          <w:lang w:val="ro-RO"/>
        </w:rPr>
        <w:t>contro</w:t>
      </w:r>
      <w:r w:rsidR="006E36BC">
        <w:rPr>
          <w:rFonts w:asciiTheme="majorHAnsi" w:hAnsiTheme="majorHAnsi" w:cstheme="majorHAnsi"/>
          <w:b/>
          <w:bCs/>
          <w:sz w:val="24"/>
          <w:szCs w:val="24"/>
          <w:lang w:val="ro-RO"/>
        </w:rPr>
        <w:t>alelor în perioada următoare</w:t>
      </w:r>
    </w:p>
    <w:p w14:paraId="296AABDE" w14:textId="77777777" w:rsidR="00125664" w:rsidRPr="00B4594D" w:rsidRDefault="00125664" w:rsidP="00D0433D">
      <w:pPr>
        <w:tabs>
          <w:tab w:val="left" w:pos="4590"/>
        </w:tabs>
        <w:spacing w:after="120"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7C5034CB" w14:textId="77777777" w:rsidR="009A7059" w:rsidRPr="00B4594D" w:rsidRDefault="009A7059" w:rsidP="00D0433D">
      <w:pPr>
        <w:tabs>
          <w:tab w:val="left" w:pos="4590"/>
        </w:tabs>
        <w:spacing w:after="120" w:line="264" w:lineRule="auto"/>
        <w:jc w:val="both"/>
        <w:rPr>
          <w:rFonts w:asciiTheme="majorHAnsi" w:hAnsiTheme="majorHAnsi" w:cstheme="majorHAnsi"/>
          <w:bCs/>
          <w:i/>
          <w:lang w:val="ro-RO"/>
        </w:rPr>
      </w:pPr>
      <w:r w:rsidRPr="00B4594D">
        <w:rPr>
          <w:rFonts w:asciiTheme="majorHAnsi" w:hAnsiTheme="majorHAnsi" w:cstheme="majorHAnsi"/>
          <w:bCs/>
          <w:i/>
          <w:lang w:val="ro-RO"/>
        </w:rPr>
        <w:t xml:space="preserve">Material de opinie de Alexandru Stancu, Senior Manager, Bogdan Borleanu, Senior Consultant, și Cristiana Negrei, Consultant, Taxe Indirecte, Deloitte România </w:t>
      </w:r>
    </w:p>
    <w:p w14:paraId="2C064516" w14:textId="77777777" w:rsidR="009A7059" w:rsidRPr="00125664" w:rsidRDefault="009A7059" w:rsidP="00D0433D">
      <w:pPr>
        <w:tabs>
          <w:tab w:val="left" w:pos="4590"/>
        </w:tabs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079521DB" w14:textId="77777777" w:rsidR="00955CEA" w:rsidRDefault="003126E0" w:rsidP="00D0433D">
      <w:pPr>
        <w:tabs>
          <w:tab w:val="left" w:pos="4590"/>
        </w:tabs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bCs/>
          <w:lang w:val="ro-RO"/>
        </w:rPr>
        <w:t xml:space="preserve">Strategia </w:t>
      </w:r>
      <w:r w:rsidRPr="00B23DE3">
        <w:rPr>
          <w:rFonts w:asciiTheme="majorHAnsi" w:hAnsiTheme="majorHAnsi" w:cstheme="majorHAnsi"/>
          <w:bCs/>
          <w:lang w:val="ro-RO"/>
        </w:rPr>
        <w:t>Agenți</w:t>
      </w:r>
      <w:r>
        <w:rPr>
          <w:rFonts w:asciiTheme="majorHAnsi" w:hAnsiTheme="majorHAnsi" w:cstheme="majorHAnsi"/>
          <w:bCs/>
          <w:lang w:val="ro-RO"/>
        </w:rPr>
        <w:t>ei</w:t>
      </w:r>
      <w:r w:rsidRPr="00B23DE3">
        <w:rPr>
          <w:rFonts w:asciiTheme="majorHAnsi" w:hAnsiTheme="majorHAnsi" w:cstheme="majorHAnsi"/>
          <w:bCs/>
          <w:lang w:val="ro-RO"/>
        </w:rPr>
        <w:t xml:space="preserve"> </w:t>
      </w:r>
      <w:r w:rsidR="00125664" w:rsidRPr="00B23DE3">
        <w:rPr>
          <w:rFonts w:asciiTheme="majorHAnsi" w:hAnsiTheme="majorHAnsi" w:cstheme="majorHAnsi"/>
          <w:bCs/>
          <w:lang w:val="ro-RO"/>
        </w:rPr>
        <w:t>Național</w:t>
      </w:r>
      <w:r>
        <w:rPr>
          <w:rFonts w:asciiTheme="majorHAnsi" w:hAnsiTheme="majorHAnsi" w:cstheme="majorHAnsi"/>
          <w:bCs/>
          <w:lang w:val="ro-RO"/>
        </w:rPr>
        <w:t>e</w:t>
      </w:r>
      <w:r w:rsidR="00125664" w:rsidRPr="00B23DE3">
        <w:rPr>
          <w:rFonts w:asciiTheme="majorHAnsi" w:hAnsiTheme="majorHAnsi" w:cstheme="majorHAnsi"/>
          <w:bCs/>
          <w:lang w:val="ro-RO"/>
        </w:rPr>
        <w:t xml:space="preserve"> de Administrare Fiscală</w:t>
      </w:r>
      <w:r w:rsidR="00B23DE3" w:rsidRPr="00B23DE3">
        <w:rPr>
          <w:rFonts w:asciiTheme="majorHAnsi" w:hAnsiTheme="majorHAnsi" w:cstheme="majorHAnsi"/>
          <w:bCs/>
          <w:lang w:val="ro-RO"/>
        </w:rPr>
        <w:t xml:space="preserve"> (ANAF)</w:t>
      </w:r>
      <w:r w:rsidR="00B23DE3">
        <w:rPr>
          <w:rFonts w:asciiTheme="majorHAnsi" w:hAnsiTheme="majorHAnsi" w:cstheme="majorHAnsi"/>
          <w:bCs/>
          <w:lang w:val="ro-RO"/>
        </w:rPr>
        <w:t xml:space="preserve"> </w:t>
      </w:r>
      <w:r w:rsidR="00E25FC8" w:rsidRPr="00606D41">
        <w:rPr>
          <w:rFonts w:asciiTheme="majorHAnsi" w:hAnsiTheme="majorHAnsi" w:cstheme="majorHAnsi"/>
          <w:lang w:val="ro-RO"/>
        </w:rPr>
        <w:t xml:space="preserve">pentru </w:t>
      </w:r>
      <w:r w:rsidR="00E25FC8" w:rsidRPr="002E1816">
        <w:rPr>
          <w:rFonts w:asciiTheme="majorHAnsi" w:hAnsiTheme="majorHAnsi" w:cstheme="majorHAnsi"/>
          <w:lang w:val="ro-RO"/>
        </w:rPr>
        <w:t xml:space="preserve">perioada 2021-2024 este marcată de măsuri și acțiuni cu scopul de a </w:t>
      </w:r>
      <w:r w:rsidR="00E25FC8" w:rsidRPr="002E1816">
        <w:rPr>
          <w:rFonts w:asciiTheme="majorHAnsi" w:hAnsiTheme="majorHAnsi" w:cstheme="majorHAnsi"/>
          <w:bCs/>
          <w:lang w:val="ro-RO"/>
        </w:rPr>
        <w:t>îmbunătăți capacitatea de colectare</w:t>
      </w:r>
      <w:r w:rsidR="002E1816" w:rsidRPr="002E1816">
        <w:rPr>
          <w:rFonts w:asciiTheme="majorHAnsi" w:hAnsiTheme="majorHAnsi" w:cstheme="majorHAnsi"/>
          <w:bCs/>
          <w:lang w:val="ro-RO"/>
        </w:rPr>
        <w:t xml:space="preserve"> </w:t>
      </w:r>
      <w:r w:rsidR="002E1816" w:rsidRPr="002E1816">
        <w:rPr>
          <w:rFonts w:asciiTheme="majorHAnsi" w:hAnsiTheme="majorHAnsi" w:cstheme="majorHAnsi"/>
          <w:lang w:val="ro-RO"/>
        </w:rPr>
        <w:t>și combaterea evaziunii fiscale</w:t>
      </w:r>
      <w:r w:rsidR="00E25FC8" w:rsidRPr="002E1816">
        <w:rPr>
          <w:rFonts w:asciiTheme="majorHAnsi" w:hAnsiTheme="majorHAnsi" w:cstheme="majorHAnsi"/>
          <w:bCs/>
          <w:lang w:val="ro-RO"/>
        </w:rPr>
        <w:t>. Astfel, ANAF</w:t>
      </w:r>
      <w:r w:rsidR="00E25FC8" w:rsidRPr="002E1816">
        <w:rPr>
          <w:rFonts w:asciiTheme="majorHAnsi" w:hAnsiTheme="majorHAnsi" w:cstheme="majorHAnsi"/>
          <w:lang w:val="ro-RO"/>
        </w:rPr>
        <w:t xml:space="preserve"> </w:t>
      </w:r>
      <w:r w:rsidR="00B23DE3" w:rsidRPr="002E1816">
        <w:rPr>
          <w:rFonts w:asciiTheme="majorHAnsi" w:hAnsiTheme="majorHAnsi" w:cstheme="majorHAnsi"/>
          <w:bCs/>
          <w:lang w:val="ro-RO"/>
        </w:rPr>
        <w:t>continuă campania de informare a contribuabililor cu scopul de a</w:t>
      </w:r>
      <w:r w:rsidR="007D485E" w:rsidRPr="002E1816">
        <w:rPr>
          <w:rFonts w:asciiTheme="majorHAnsi" w:hAnsiTheme="majorHAnsi" w:cstheme="majorHAnsi"/>
          <w:bCs/>
          <w:lang w:val="ro-RO"/>
        </w:rPr>
        <w:t xml:space="preserve"> crește conformarea voluntară </w:t>
      </w:r>
      <w:r w:rsidR="00167D33" w:rsidRPr="002E1816">
        <w:rPr>
          <w:rFonts w:asciiTheme="majorHAnsi" w:hAnsiTheme="majorHAnsi" w:cstheme="majorHAnsi"/>
          <w:bCs/>
          <w:lang w:val="ro-RO"/>
        </w:rPr>
        <w:t xml:space="preserve">și de a remedia </w:t>
      </w:r>
      <w:r w:rsidR="007E1BEF" w:rsidRPr="002E1816">
        <w:rPr>
          <w:rFonts w:asciiTheme="majorHAnsi" w:hAnsiTheme="majorHAnsi" w:cstheme="majorHAnsi"/>
          <w:bCs/>
          <w:lang w:val="ro-RO"/>
        </w:rPr>
        <w:t>deficiențele constatate în cadrul acțiunilor de control</w:t>
      </w:r>
      <w:r w:rsidRPr="002E1816">
        <w:rPr>
          <w:rFonts w:asciiTheme="majorHAnsi" w:hAnsiTheme="majorHAnsi" w:cstheme="majorHAnsi"/>
          <w:bCs/>
          <w:lang w:val="ro-RO"/>
        </w:rPr>
        <w:t>.</w:t>
      </w:r>
      <w:r w:rsidR="00C60C04" w:rsidRPr="002E1816">
        <w:rPr>
          <w:rFonts w:asciiTheme="majorHAnsi" w:hAnsiTheme="majorHAnsi" w:cstheme="majorHAnsi"/>
          <w:lang w:val="ro-RO"/>
        </w:rPr>
        <w:t xml:space="preserve"> Pe de altă parte,</w:t>
      </w:r>
      <w:r w:rsidR="005062FA" w:rsidRPr="002E1816">
        <w:rPr>
          <w:rFonts w:asciiTheme="majorHAnsi" w:hAnsiTheme="majorHAnsi" w:cstheme="majorHAnsi"/>
          <w:lang w:val="ro-RO"/>
        </w:rPr>
        <w:t xml:space="preserve"> în ciuda intensificării numărului</w:t>
      </w:r>
      <w:r w:rsidR="005062FA" w:rsidRPr="00606D41">
        <w:rPr>
          <w:rFonts w:asciiTheme="majorHAnsi" w:hAnsiTheme="majorHAnsi" w:cstheme="majorHAnsi"/>
          <w:lang w:val="ro-RO"/>
        </w:rPr>
        <w:t xml:space="preserve"> de inspecții fiscale</w:t>
      </w:r>
      <w:r w:rsidR="005062FA">
        <w:rPr>
          <w:rFonts w:asciiTheme="majorHAnsi" w:hAnsiTheme="majorHAnsi" w:cstheme="majorHAnsi"/>
          <w:lang w:val="ro-RO"/>
        </w:rPr>
        <w:t>,</w:t>
      </w:r>
      <w:r w:rsidR="00C60C04" w:rsidRPr="00606D41">
        <w:rPr>
          <w:rFonts w:asciiTheme="majorHAnsi" w:hAnsiTheme="majorHAnsi" w:cstheme="majorHAnsi"/>
          <w:lang w:val="ro-RO"/>
        </w:rPr>
        <w:t xml:space="preserve"> </w:t>
      </w:r>
      <w:r w:rsidR="00424DD5">
        <w:rPr>
          <w:rFonts w:asciiTheme="majorHAnsi" w:hAnsiTheme="majorHAnsi" w:cstheme="majorHAnsi"/>
          <w:lang w:val="ro-RO"/>
        </w:rPr>
        <w:t>rezultatele din</w:t>
      </w:r>
      <w:r w:rsidR="00C60C04" w:rsidRPr="00606D41">
        <w:rPr>
          <w:rFonts w:asciiTheme="majorHAnsi" w:hAnsiTheme="majorHAnsi" w:cstheme="majorHAnsi"/>
          <w:lang w:val="ro-RO"/>
        </w:rPr>
        <w:t xml:space="preserve"> primul </w:t>
      </w:r>
      <w:r w:rsidR="00167D33" w:rsidRPr="00606D41">
        <w:rPr>
          <w:rFonts w:asciiTheme="majorHAnsi" w:hAnsiTheme="majorHAnsi" w:cstheme="majorHAnsi"/>
          <w:lang w:val="ro-RO"/>
        </w:rPr>
        <w:t>semestru</w:t>
      </w:r>
      <w:r w:rsidR="00C60C04" w:rsidRPr="00606D41">
        <w:rPr>
          <w:rFonts w:asciiTheme="majorHAnsi" w:hAnsiTheme="majorHAnsi" w:cstheme="majorHAnsi"/>
          <w:lang w:val="ro-RO"/>
        </w:rPr>
        <w:t xml:space="preserve"> al acestui an indică o </w:t>
      </w:r>
      <w:r w:rsidR="007C0E44" w:rsidRPr="00606D41">
        <w:rPr>
          <w:rFonts w:asciiTheme="majorHAnsi" w:hAnsiTheme="majorHAnsi" w:cstheme="majorHAnsi"/>
          <w:lang w:val="ro-RO"/>
        </w:rPr>
        <w:t>scădere a sumelor</w:t>
      </w:r>
      <w:r w:rsidR="006F6AA2" w:rsidRPr="00606D41">
        <w:rPr>
          <w:rFonts w:asciiTheme="majorHAnsi" w:hAnsiTheme="majorHAnsi" w:cstheme="majorHAnsi"/>
          <w:lang w:val="ro-RO"/>
        </w:rPr>
        <w:t xml:space="preserve"> stabilite suplimentar </w:t>
      </w:r>
      <w:r w:rsidR="00CD70A8">
        <w:rPr>
          <w:rFonts w:asciiTheme="majorHAnsi" w:hAnsiTheme="majorHAnsi" w:cstheme="majorHAnsi"/>
          <w:lang w:val="ro-RO"/>
        </w:rPr>
        <w:t>prin decizii de impunere</w:t>
      </w:r>
      <w:r w:rsidR="00587AC5">
        <w:rPr>
          <w:rFonts w:asciiTheme="majorHAnsi" w:hAnsiTheme="majorHAnsi" w:cstheme="majorHAnsi"/>
          <w:lang w:val="ro-RO"/>
        </w:rPr>
        <w:t>,</w:t>
      </w:r>
      <w:r w:rsidR="00CD70A8" w:rsidRPr="00606D41">
        <w:rPr>
          <w:rFonts w:asciiTheme="majorHAnsi" w:hAnsiTheme="majorHAnsi" w:cstheme="majorHAnsi"/>
          <w:lang w:val="ro-RO"/>
        </w:rPr>
        <w:t xml:space="preserve"> </w:t>
      </w:r>
      <w:r w:rsidR="006F6AA2" w:rsidRPr="00606D41">
        <w:rPr>
          <w:rFonts w:asciiTheme="majorHAnsi" w:hAnsiTheme="majorHAnsi" w:cstheme="majorHAnsi"/>
          <w:lang w:val="ro-RO"/>
        </w:rPr>
        <w:t>comparativ cu aceeași perioadă a anului</w:t>
      </w:r>
      <w:r w:rsidR="005062FA">
        <w:rPr>
          <w:rFonts w:asciiTheme="majorHAnsi" w:hAnsiTheme="majorHAnsi" w:cstheme="majorHAnsi"/>
          <w:lang w:val="ro-RO"/>
        </w:rPr>
        <w:t xml:space="preserve"> precedent</w:t>
      </w:r>
      <w:r w:rsidR="00C60C04" w:rsidRPr="00606D41">
        <w:rPr>
          <w:rFonts w:asciiTheme="majorHAnsi" w:hAnsiTheme="majorHAnsi" w:cstheme="majorHAnsi"/>
          <w:lang w:val="ro-RO"/>
        </w:rPr>
        <w:t>.</w:t>
      </w:r>
      <w:r w:rsidR="00C60C04">
        <w:rPr>
          <w:rFonts w:asciiTheme="majorHAnsi" w:hAnsiTheme="majorHAnsi" w:cstheme="majorHAnsi"/>
          <w:lang w:val="ro-RO"/>
        </w:rPr>
        <w:t xml:space="preserve">  </w:t>
      </w:r>
    </w:p>
    <w:p w14:paraId="685F09B9" w14:textId="77777777" w:rsidR="00125664" w:rsidRDefault="00424DD5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În tot acest context, trebuie avute în vedere și</w:t>
      </w:r>
      <w:r w:rsidR="00653E78">
        <w:rPr>
          <w:rFonts w:asciiTheme="majorHAnsi" w:hAnsiTheme="majorHAnsi" w:cstheme="majorHAnsi"/>
          <w:lang w:val="ro-RO"/>
        </w:rPr>
        <w:t xml:space="preserve"> obiective</w:t>
      </w:r>
      <w:r>
        <w:rPr>
          <w:rFonts w:asciiTheme="majorHAnsi" w:hAnsiTheme="majorHAnsi" w:cstheme="majorHAnsi"/>
          <w:lang w:val="ro-RO"/>
        </w:rPr>
        <w:t>le</w:t>
      </w:r>
      <w:r w:rsidR="00955CEA">
        <w:rPr>
          <w:rFonts w:asciiTheme="majorHAnsi" w:hAnsiTheme="majorHAnsi" w:cstheme="majorHAnsi"/>
          <w:lang w:val="ro-RO"/>
        </w:rPr>
        <w:t xml:space="preserve"> asumate </w:t>
      </w:r>
      <w:r>
        <w:rPr>
          <w:rFonts w:asciiTheme="majorHAnsi" w:hAnsiTheme="majorHAnsi" w:cstheme="majorHAnsi"/>
          <w:lang w:val="ro-RO"/>
        </w:rPr>
        <w:t>de</w:t>
      </w:r>
      <w:r w:rsidR="00955CEA">
        <w:rPr>
          <w:rFonts w:asciiTheme="majorHAnsi" w:hAnsiTheme="majorHAnsi" w:cstheme="majorHAnsi"/>
          <w:lang w:val="ro-RO"/>
        </w:rPr>
        <w:t xml:space="preserve"> ANAF </w:t>
      </w:r>
      <w:r w:rsidR="00125664" w:rsidRPr="00125664">
        <w:rPr>
          <w:rFonts w:asciiTheme="majorHAnsi" w:hAnsiTheme="majorHAnsi" w:cstheme="majorHAnsi"/>
          <w:lang w:val="ro-RO"/>
        </w:rPr>
        <w:t>până la finalul anului 2024</w:t>
      </w:r>
      <w:r>
        <w:rPr>
          <w:rFonts w:asciiTheme="majorHAnsi" w:hAnsiTheme="majorHAnsi" w:cstheme="majorHAnsi"/>
          <w:lang w:val="ro-RO"/>
        </w:rPr>
        <w:t xml:space="preserve">: </w:t>
      </w:r>
      <w:r w:rsidR="00125664" w:rsidRPr="00125664">
        <w:rPr>
          <w:rFonts w:asciiTheme="majorHAnsi" w:hAnsiTheme="majorHAnsi" w:cstheme="majorHAnsi"/>
          <w:lang w:val="ro-RO"/>
        </w:rPr>
        <w:t xml:space="preserve">creșterea </w:t>
      </w:r>
      <w:r w:rsidR="001809A7">
        <w:rPr>
          <w:rFonts w:asciiTheme="majorHAnsi" w:hAnsiTheme="majorHAnsi" w:cstheme="majorHAnsi"/>
          <w:lang w:val="ro-RO"/>
        </w:rPr>
        <w:t xml:space="preserve">ponderii </w:t>
      </w:r>
      <w:r w:rsidR="00955CEA">
        <w:rPr>
          <w:rFonts w:asciiTheme="majorHAnsi" w:hAnsiTheme="majorHAnsi" w:cstheme="majorHAnsi"/>
          <w:lang w:val="ro-RO"/>
        </w:rPr>
        <w:t xml:space="preserve">veniturilor bugetare </w:t>
      </w:r>
      <w:r w:rsidR="001809A7">
        <w:rPr>
          <w:rFonts w:asciiTheme="majorHAnsi" w:hAnsiTheme="majorHAnsi" w:cstheme="majorHAnsi"/>
          <w:lang w:val="ro-RO"/>
        </w:rPr>
        <w:t xml:space="preserve">în PIB </w:t>
      </w:r>
      <w:r w:rsidR="00955CEA">
        <w:rPr>
          <w:rFonts w:asciiTheme="majorHAnsi" w:hAnsiTheme="majorHAnsi" w:cstheme="majorHAnsi"/>
          <w:lang w:val="ro-RO"/>
        </w:rPr>
        <w:t xml:space="preserve">cu </w:t>
      </w:r>
      <w:r w:rsidR="00125664" w:rsidRPr="00125664">
        <w:rPr>
          <w:rFonts w:asciiTheme="majorHAnsi" w:hAnsiTheme="majorHAnsi" w:cstheme="majorHAnsi"/>
          <w:lang w:val="ro-RO"/>
        </w:rPr>
        <w:t xml:space="preserve">2,5% și reducerea decalajului de încasare a TVA cu până la </w:t>
      </w:r>
      <w:r>
        <w:rPr>
          <w:rFonts w:asciiTheme="majorHAnsi" w:hAnsiTheme="majorHAnsi" w:cstheme="majorHAnsi"/>
          <w:lang w:val="ro-RO"/>
        </w:rPr>
        <w:t>zece puncte procentuale. Toate acestea</w:t>
      </w:r>
      <w:r w:rsidR="00E25FC8">
        <w:rPr>
          <w:rFonts w:asciiTheme="majorHAnsi" w:hAnsiTheme="majorHAnsi" w:cstheme="majorHAnsi"/>
          <w:lang w:val="ro-RO"/>
        </w:rPr>
        <w:t>,</w:t>
      </w:r>
      <w:r w:rsidR="00125664" w:rsidRPr="00125664">
        <w:rPr>
          <w:rFonts w:asciiTheme="majorHAnsi" w:hAnsiTheme="majorHAnsi" w:cstheme="majorHAnsi"/>
          <w:lang w:val="ro-RO"/>
        </w:rPr>
        <w:t xml:space="preserve"> cu respectarea următoarelor direcții strategice: </w:t>
      </w:r>
      <w:r w:rsidR="00125664" w:rsidRPr="00B4594D">
        <w:rPr>
          <w:rFonts w:asciiTheme="majorHAnsi" w:hAnsiTheme="majorHAnsi" w:cstheme="majorHAnsi"/>
          <w:lang w:val="ro-RO"/>
        </w:rPr>
        <w:t>simplificarea procedurilor de administrare fiscal</w:t>
      </w:r>
      <w:r w:rsidR="00125664" w:rsidRPr="00B4594D">
        <w:rPr>
          <w:rFonts w:asciiTheme="majorHAnsi" w:hAnsiTheme="majorHAnsi" w:cstheme="majorHAnsi" w:hint="eastAsia"/>
          <w:lang w:val="ro-RO"/>
        </w:rPr>
        <w:t>ă</w:t>
      </w:r>
      <w:r w:rsidR="00DA047C">
        <w:rPr>
          <w:rFonts w:asciiTheme="majorHAnsi" w:hAnsiTheme="majorHAnsi" w:cstheme="majorHAnsi"/>
          <w:lang w:val="ro-RO"/>
        </w:rPr>
        <w:t>,</w:t>
      </w:r>
      <w:r w:rsidR="00955CEA">
        <w:rPr>
          <w:rFonts w:asciiTheme="majorHAnsi" w:hAnsiTheme="majorHAnsi" w:cstheme="majorHAnsi"/>
          <w:lang w:val="ro-RO"/>
        </w:rPr>
        <w:t xml:space="preserve"> </w:t>
      </w:r>
      <w:r w:rsidR="00DA047C">
        <w:rPr>
          <w:rFonts w:asciiTheme="majorHAnsi" w:hAnsiTheme="majorHAnsi" w:cstheme="majorHAnsi"/>
          <w:lang w:val="ro-RO"/>
        </w:rPr>
        <w:t>digitalizarea ANAF,</w:t>
      </w:r>
      <w:r w:rsidR="00955CEA">
        <w:rPr>
          <w:rFonts w:asciiTheme="majorHAnsi" w:hAnsiTheme="majorHAnsi" w:cstheme="majorHAnsi"/>
          <w:lang w:val="ro-RO"/>
        </w:rPr>
        <w:t xml:space="preserve"> </w:t>
      </w:r>
      <w:r w:rsidR="00606D41">
        <w:rPr>
          <w:rFonts w:asciiTheme="majorHAnsi" w:hAnsiTheme="majorHAnsi" w:cstheme="majorHAnsi"/>
          <w:lang w:val="ro-RO"/>
        </w:rPr>
        <w:t>combaterea evaziunii fiscale și</w:t>
      </w:r>
      <w:r w:rsidR="00955CEA">
        <w:rPr>
          <w:rFonts w:asciiTheme="majorHAnsi" w:hAnsiTheme="majorHAnsi" w:cstheme="majorHAnsi"/>
          <w:lang w:val="ro-RO"/>
        </w:rPr>
        <w:t xml:space="preserve"> </w:t>
      </w:r>
      <w:r w:rsidR="00125664" w:rsidRPr="00B4594D">
        <w:rPr>
          <w:rFonts w:asciiTheme="majorHAnsi" w:hAnsiTheme="majorHAnsi" w:cstheme="majorHAnsi"/>
          <w:lang w:val="ro-RO"/>
        </w:rPr>
        <w:t xml:space="preserve">transparentizarea </w:t>
      </w:r>
      <w:r w:rsidR="00955CEA">
        <w:rPr>
          <w:rFonts w:asciiTheme="majorHAnsi" w:hAnsiTheme="majorHAnsi" w:cstheme="majorHAnsi"/>
          <w:lang w:val="ro-RO"/>
        </w:rPr>
        <w:t>instituției</w:t>
      </w:r>
      <w:r w:rsidR="00125664" w:rsidRPr="00B4594D">
        <w:rPr>
          <w:rFonts w:asciiTheme="majorHAnsi" w:hAnsiTheme="majorHAnsi" w:cstheme="majorHAnsi"/>
          <w:lang w:val="ro-RO"/>
        </w:rPr>
        <w:t>.</w:t>
      </w:r>
    </w:p>
    <w:p w14:paraId="2104FD10" w14:textId="77777777" w:rsidR="00955CEA" w:rsidRDefault="00955CEA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576D1625" w14:textId="77777777" w:rsidR="00082BC1" w:rsidRPr="00B4594D" w:rsidRDefault="00082BC1" w:rsidP="00D0433D">
      <w:pPr>
        <w:spacing w:after="120" w:line="264" w:lineRule="auto"/>
        <w:jc w:val="both"/>
        <w:rPr>
          <w:rFonts w:asciiTheme="majorHAnsi" w:hAnsiTheme="majorHAnsi" w:cstheme="majorHAnsi"/>
          <w:b/>
          <w:lang w:val="ro-RO"/>
        </w:rPr>
      </w:pPr>
      <w:r w:rsidRPr="00B4594D">
        <w:rPr>
          <w:rFonts w:asciiTheme="majorHAnsi" w:hAnsiTheme="majorHAnsi" w:cstheme="majorHAnsi"/>
          <w:b/>
          <w:lang w:val="ro-RO"/>
        </w:rPr>
        <w:t xml:space="preserve">Creșteri semnificative ale activității de control în </w:t>
      </w:r>
      <w:r w:rsidR="00FA2C7A">
        <w:rPr>
          <w:rFonts w:asciiTheme="majorHAnsi" w:hAnsiTheme="majorHAnsi" w:cstheme="majorHAnsi"/>
          <w:b/>
          <w:lang w:val="ro-RO"/>
        </w:rPr>
        <w:t>primul semestru din 2022</w:t>
      </w:r>
      <w:r w:rsidRPr="00B4594D">
        <w:rPr>
          <w:rFonts w:asciiTheme="majorHAnsi" w:hAnsiTheme="majorHAnsi" w:cstheme="majorHAnsi"/>
          <w:b/>
          <w:lang w:val="ro-RO"/>
        </w:rPr>
        <w:t xml:space="preserve"> </w:t>
      </w:r>
    </w:p>
    <w:p w14:paraId="43359800" w14:textId="09F7B484" w:rsidR="00970ED6" w:rsidRDefault="00955CEA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</w:t>
      </w:r>
      <w:r w:rsidR="00125664" w:rsidRPr="00125664">
        <w:rPr>
          <w:rFonts w:asciiTheme="majorHAnsi" w:hAnsiTheme="majorHAnsi" w:cstheme="majorHAnsi"/>
          <w:lang w:val="ro-RO"/>
        </w:rPr>
        <w:t>ndeplinirea obiectiv</w:t>
      </w:r>
      <w:r>
        <w:rPr>
          <w:rFonts w:asciiTheme="majorHAnsi" w:hAnsiTheme="majorHAnsi" w:cstheme="majorHAnsi"/>
          <w:lang w:val="ro-RO"/>
        </w:rPr>
        <w:t xml:space="preserve">elor </w:t>
      </w:r>
      <w:r w:rsidR="00125664" w:rsidRPr="00125664">
        <w:rPr>
          <w:rFonts w:asciiTheme="majorHAnsi" w:hAnsiTheme="majorHAnsi" w:cstheme="majorHAnsi"/>
          <w:lang w:val="ro-RO"/>
        </w:rPr>
        <w:t>propus</w:t>
      </w:r>
      <w:r>
        <w:rPr>
          <w:rFonts w:asciiTheme="majorHAnsi" w:hAnsiTheme="majorHAnsi" w:cstheme="majorHAnsi"/>
          <w:lang w:val="ro-RO"/>
        </w:rPr>
        <w:t>e</w:t>
      </w:r>
      <w:r w:rsidR="00125664" w:rsidRPr="00125664">
        <w:rPr>
          <w:rFonts w:asciiTheme="majorHAnsi" w:hAnsiTheme="majorHAnsi" w:cstheme="majorHAnsi"/>
          <w:lang w:val="ro-RO"/>
        </w:rPr>
        <w:t xml:space="preserve"> vin</w:t>
      </w:r>
      <w:r>
        <w:rPr>
          <w:rFonts w:asciiTheme="majorHAnsi" w:hAnsiTheme="majorHAnsi" w:cstheme="majorHAnsi"/>
          <w:lang w:val="ro-RO"/>
        </w:rPr>
        <w:t>e</w:t>
      </w:r>
      <w:r w:rsidR="003974AC">
        <w:rPr>
          <w:rFonts w:asciiTheme="majorHAnsi" w:hAnsiTheme="majorHAnsi" w:cstheme="majorHAnsi"/>
          <w:lang w:val="ro-RO"/>
        </w:rPr>
        <w:t xml:space="preserve"> însă</w:t>
      </w:r>
      <w:r w:rsidR="00125664" w:rsidRPr="00125664">
        <w:rPr>
          <w:rFonts w:asciiTheme="majorHAnsi" w:hAnsiTheme="majorHAnsi" w:cstheme="majorHAnsi"/>
          <w:lang w:val="ro-RO"/>
        </w:rPr>
        <w:t xml:space="preserve"> „la pachet” cu o intensificare a activității de inspecție fiscală (atât la nivelul persoanelor juridice</w:t>
      </w:r>
      <w:r w:rsidR="00826B39">
        <w:rPr>
          <w:rFonts w:asciiTheme="majorHAnsi" w:hAnsiTheme="majorHAnsi" w:cstheme="majorHAnsi"/>
          <w:lang w:val="ro-RO"/>
        </w:rPr>
        <w:t>,</w:t>
      </w:r>
      <w:r w:rsidR="00125664" w:rsidRPr="00125664">
        <w:rPr>
          <w:rFonts w:asciiTheme="majorHAnsi" w:hAnsiTheme="majorHAnsi" w:cstheme="majorHAnsi"/>
          <w:lang w:val="ro-RO"/>
        </w:rPr>
        <w:t xml:space="preserve"> cât și al persoanelor fizice).</w:t>
      </w:r>
      <w:r>
        <w:rPr>
          <w:rFonts w:asciiTheme="majorHAnsi" w:hAnsiTheme="majorHAnsi" w:cstheme="majorHAnsi"/>
          <w:lang w:val="ro-RO"/>
        </w:rPr>
        <w:t xml:space="preserve"> </w:t>
      </w:r>
      <w:r w:rsidR="00125664" w:rsidRPr="00125664">
        <w:rPr>
          <w:rFonts w:asciiTheme="majorHAnsi" w:hAnsiTheme="majorHAnsi" w:cstheme="majorHAnsi"/>
          <w:lang w:val="ro-RO"/>
        </w:rPr>
        <w:t xml:space="preserve">ANAF </w:t>
      </w:r>
      <w:r>
        <w:rPr>
          <w:rFonts w:asciiTheme="majorHAnsi" w:hAnsiTheme="majorHAnsi" w:cstheme="majorHAnsi"/>
          <w:lang w:val="ro-RO"/>
        </w:rPr>
        <w:t xml:space="preserve">a anunțat recent că are </w:t>
      </w:r>
      <w:r w:rsidR="00125664" w:rsidRPr="00125664">
        <w:rPr>
          <w:rFonts w:asciiTheme="majorHAnsi" w:hAnsiTheme="majorHAnsi" w:cstheme="majorHAnsi"/>
          <w:lang w:val="ro-RO"/>
        </w:rPr>
        <w:t xml:space="preserve">în derulare peste 550 de acțiuni de inspecție fiscală și control inopinat la nivelul </w:t>
      </w:r>
      <w:r>
        <w:rPr>
          <w:rFonts w:asciiTheme="majorHAnsi" w:hAnsiTheme="majorHAnsi" w:cstheme="majorHAnsi"/>
          <w:lang w:val="ro-RO"/>
        </w:rPr>
        <w:t>m</w:t>
      </w:r>
      <w:r w:rsidR="00125664" w:rsidRPr="00125664">
        <w:rPr>
          <w:rFonts w:asciiTheme="majorHAnsi" w:hAnsiTheme="majorHAnsi" w:cstheme="majorHAnsi"/>
          <w:lang w:val="ro-RO"/>
        </w:rPr>
        <w:t xml:space="preserve">arilor </w:t>
      </w:r>
      <w:r>
        <w:rPr>
          <w:rFonts w:asciiTheme="majorHAnsi" w:hAnsiTheme="majorHAnsi" w:cstheme="majorHAnsi"/>
          <w:lang w:val="ro-RO"/>
        </w:rPr>
        <w:t>c</w:t>
      </w:r>
      <w:r w:rsidR="00125664" w:rsidRPr="00125664">
        <w:rPr>
          <w:rFonts w:asciiTheme="majorHAnsi" w:hAnsiTheme="majorHAnsi" w:cstheme="majorHAnsi"/>
          <w:lang w:val="ro-RO"/>
        </w:rPr>
        <w:t>ontribuabili</w:t>
      </w:r>
      <w:r w:rsidR="00970ED6">
        <w:rPr>
          <w:rFonts w:asciiTheme="majorHAnsi" w:hAnsiTheme="majorHAnsi" w:cstheme="majorHAnsi"/>
          <w:lang w:val="ro-RO"/>
        </w:rPr>
        <w:t xml:space="preserve">. </w:t>
      </w:r>
      <w:r w:rsidR="003974AC">
        <w:rPr>
          <w:rFonts w:asciiTheme="majorHAnsi" w:hAnsiTheme="majorHAnsi" w:cstheme="majorHAnsi"/>
          <w:lang w:val="ro-RO"/>
        </w:rPr>
        <w:t>Po</w:t>
      </w:r>
      <w:r w:rsidR="00970ED6">
        <w:rPr>
          <w:rFonts w:asciiTheme="majorHAnsi" w:hAnsiTheme="majorHAnsi" w:cstheme="majorHAnsi"/>
          <w:lang w:val="ro-RO"/>
        </w:rPr>
        <w:t xml:space="preserve">trivit celui mai recent raport de activitate, </w:t>
      </w:r>
      <w:r w:rsidR="003974AC">
        <w:rPr>
          <w:rFonts w:asciiTheme="majorHAnsi" w:hAnsiTheme="majorHAnsi" w:cstheme="majorHAnsi"/>
          <w:lang w:val="ro-RO"/>
        </w:rPr>
        <w:t>în primul</w:t>
      </w:r>
      <w:r w:rsidR="003974AC" w:rsidRPr="00125664">
        <w:rPr>
          <w:rFonts w:asciiTheme="majorHAnsi" w:hAnsiTheme="majorHAnsi" w:cstheme="majorHAnsi"/>
          <w:lang w:val="ro-RO"/>
        </w:rPr>
        <w:t xml:space="preserve"> semestru </w:t>
      </w:r>
      <w:r w:rsidR="003974AC">
        <w:rPr>
          <w:rFonts w:asciiTheme="majorHAnsi" w:hAnsiTheme="majorHAnsi" w:cstheme="majorHAnsi"/>
          <w:lang w:val="ro-RO"/>
        </w:rPr>
        <w:t xml:space="preserve">din 2022, </w:t>
      </w:r>
      <w:r w:rsidR="00970ED6">
        <w:rPr>
          <w:rFonts w:asciiTheme="majorHAnsi" w:hAnsiTheme="majorHAnsi" w:cstheme="majorHAnsi"/>
          <w:lang w:val="ro-RO"/>
        </w:rPr>
        <w:t xml:space="preserve">instituția a </w:t>
      </w:r>
      <w:r w:rsidR="00653E78">
        <w:rPr>
          <w:rFonts w:asciiTheme="majorHAnsi" w:hAnsiTheme="majorHAnsi" w:cstheme="majorHAnsi"/>
          <w:lang w:val="ro-RO"/>
        </w:rPr>
        <w:t>efectuat 18.108 verificări</w:t>
      </w:r>
      <w:r w:rsidR="00970ED6">
        <w:rPr>
          <w:rFonts w:asciiTheme="majorHAnsi" w:hAnsiTheme="majorHAnsi" w:cstheme="majorHAnsi"/>
          <w:lang w:val="ro-RO"/>
        </w:rPr>
        <w:t xml:space="preserve">, în urma cărora a stabilit sume suplimentare </w:t>
      </w:r>
      <w:r w:rsidR="00970ED6" w:rsidRPr="00125664">
        <w:rPr>
          <w:rFonts w:asciiTheme="majorHAnsi" w:hAnsiTheme="majorHAnsi" w:cstheme="majorHAnsi"/>
          <w:lang w:val="ro-RO"/>
        </w:rPr>
        <w:t>de plată în valoare totală de</w:t>
      </w:r>
      <w:r w:rsidR="00970ED6">
        <w:rPr>
          <w:rFonts w:asciiTheme="majorHAnsi" w:hAnsiTheme="majorHAnsi" w:cstheme="majorHAnsi"/>
          <w:lang w:val="ro-RO"/>
        </w:rPr>
        <w:t xml:space="preserve"> peste 1,</w:t>
      </w:r>
      <w:r w:rsidR="00970ED6" w:rsidRPr="00125664">
        <w:rPr>
          <w:rFonts w:asciiTheme="majorHAnsi" w:hAnsiTheme="majorHAnsi" w:cstheme="majorHAnsi"/>
          <w:lang w:val="ro-RO"/>
        </w:rPr>
        <w:t>5</w:t>
      </w:r>
      <w:r w:rsidR="00970ED6">
        <w:rPr>
          <w:rFonts w:asciiTheme="majorHAnsi" w:hAnsiTheme="majorHAnsi" w:cstheme="majorHAnsi"/>
          <w:lang w:val="ro-RO"/>
        </w:rPr>
        <w:t xml:space="preserve"> miliarde de </w:t>
      </w:r>
      <w:r w:rsidR="00970ED6" w:rsidRPr="00125664">
        <w:rPr>
          <w:rFonts w:asciiTheme="majorHAnsi" w:hAnsiTheme="majorHAnsi" w:cstheme="majorHAnsi"/>
          <w:lang w:val="ro-RO"/>
        </w:rPr>
        <w:t>lei.</w:t>
      </w:r>
      <w:r w:rsidR="00970ED6">
        <w:rPr>
          <w:rFonts w:asciiTheme="majorHAnsi" w:hAnsiTheme="majorHAnsi" w:cstheme="majorHAnsi"/>
          <w:lang w:val="ro-RO"/>
        </w:rPr>
        <w:t xml:space="preserve"> </w:t>
      </w:r>
      <w:r w:rsidR="001809A7">
        <w:rPr>
          <w:rFonts w:asciiTheme="majorHAnsi" w:hAnsiTheme="majorHAnsi" w:cstheme="majorHAnsi"/>
          <w:lang w:val="ro-RO"/>
        </w:rPr>
        <w:t xml:space="preserve">La aceste sume se adaugă peste 420 </w:t>
      </w:r>
      <w:r w:rsidR="00587AC5">
        <w:rPr>
          <w:rFonts w:asciiTheme="majorHAnsi" w:hAnsiTheme="majorHAnsi" w:cstheme="majorHAnsi"/>
          <w:lang w:val="ro-RO"/>
        </w:rPr>
        <w:t xml:space="preserve">de </w:t>
      </w:r>
      <w:r w:rsidR="001809A7">
        <w:rPr>
          <w:rFonts w:asciiTheme="majorHAnsi" w:hAnsiTheme="majorHAnsi" w:cstheme="majorHAnsi"/>
          <w:lang w:val="ro-RO"/>
        </w:rPr>
        <w:t>milioane de lei</w:t>
      </w:r>
      <w:r w:rsidR="00164D87">
        <w:rPr>
          <w:rFonts w:asciiTheme="majorHAnsi" w:hAnsiTheme="majorHAnsi" w:cstheme="majorHAnsi"/>
          <w:lang w:val="ro-RO"/>
        </w:rPr>
        <w:t xml:space="preserve"> din </w:t>
      </w:r>
      <w:r w:rsidR="00970ED6">
        <w:rPr>
          <w:rFonts w:asciiTheme="majorHAnsi" w:hAnsiTheme="majorHAnsi" w:cstheme="majorHAnsi"/>
          <w:lang w:val="ro-RO"/>
        </w:rPr>
        <w:t>acțiunile de combatere a</w:t>
      </w:r>
      <w:r w:rsidR="00970ED6" w:rsidRPr="00125664">
        <w:rPr>
          <w:rFonts w:asciiTheme="majorHAnsi" w:hAnsiTheme="majorHAnsi" w:cstheme="majorHAnsi"/>
          <w:lang w:val="ro-RO"/>
        </w:rPr>
        <w:t xml:space="preserve"> evaziunii fiscal</w:t>
      </w:r>
      <w:r w:rsidR="00826B39">
        <w:rPr>
          <w:rFonts w:asciiTheme="majorHAnsi" w:hAnsiTheme="majorHAnsi" w:cstheme="majorHAnsi"/>
          <w:lang w:val="ro-RO"/>
        </w:rPr>
        <w:t>e</w:t>
      </w:r>
      <w:r w:rsidR="005062FA">
        <w:rPr>
          <w:rFonts w:asciiTheme="majorHAnsi" w:hAnsiTheme="majorHAnsi" w:cstheme="majorHAnsi"/>
          <w:lang w:val="ro-RO"/>
        </w:rPr>
        <w:t xml:space="preserve"> realizate de inspectorii antifraudă</w:t>
      </w:r>
      <w:r w:rsidR="00164D87">
        <w:rPr>
          <w:rFonts w:asciiTheme="majorHAnsi" w:hAnsiTheme="majorHAnsi" w:cstheme="majorHAnsi"/>
          <w:lang w:val="ro-RO"/>
        </w:rPr>
        <w:t>.</w:t>
      </w:r>
    </w:p>
    <w:p w14:paraId="16FDE3E6" w14:textId="77777777" w:rsidR="005062FA" w:rsidRDefault="00970ED6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125664">
        <w:rPr>
          <w:rFonts w:asciiTheme="majorHAnsi" w:hAnsiTheme="majorHAnsi" w:cstheme="majorHAnsi"/>
          <w:lang w:val="ro-RO"/>
        </w:rPr>
        <w:t>Comparativ cu primul semestru al anului precedent</w:t>
      </w:r>
      <w:r w:rsidR="00164D87">
        <w:rPr>
          <w:rFonts w:asciiTheme="majorHAnsi" w:hAnsiTheme="majorHAnsi" w:cstheme="majorHAnsi"/>
          <w:lang w:val="ro-RO"/>
        </w:rPr>
        <w:t>,</w:t>
      </w:r>
      <w:r w:rsidR="005062FA">
        <w:rPr>
          <w:rFonts w:asciiTheme="majorHAnsi" w:hAnsiTheme="majorHAnsi" w:cstheme="majorHAnsi"/>
          <w:lang w:val="ro-RO"/>
        </w:rPr>
        <w:t xml:space="preserve"> chiar dacă numărul controalelor a înregistrat o creștere</w:t>
      </w:r>
      <w:r w:rsidR="000C0371">
        <w:rPr>
          <w:rFonts w:asciiTheme="majorHAnsi" w:hAnsiTheme="majorHAnsi" w:cstheme="majorHAnsi"/>
          <w:lang w:val="ro-RO"/>
        </w:rPr>
        <w:t xml:space="preserve"> semnificativă</w:t>
      </w:r>
      <w:r w:rsidR="005062FA">
        <w:rPr>
          <w:rFonts w:asciiTheme="majorHAnsi" w:hAnsiTheme="majorHAnsi" w:cstheme="majorHAnsi"/>
          <w:lang w:val="ro-RO"/>
        </w:rPr>
        <w:t xml:space="preserve">, sumele </w:t>
      </w:r>
      <w:r w:rsidR="00CD70A8">
        <w:rPr>
          <w:rFonts w:asciiTheme="majorHAnsi" w:hAnsiTheme="majorHAnsi" w:cstheme="majorHAnsi"/>
          <w:lang w:val="ro-RO"/>
        </w:rPr>
        <w:t xml:space="preserve">de plată </w:t>
      </w:r>
      <w:r w:rsidR="005062FA">
        <w:rPr>
          <w:rFonts w:asciiTheme="majorHAnsi" w:hAnsiTheme="majorHAnsi" w:cstheme="majorHAnsi"/>
          <w:lang w:val="ro-RO"/>
        </w:rPr>
        <w:t xml:space="preserve">stabilite suplimentar au </w:t>
      </w:r>
      <w:r w:rsidR="00587AC5">
        <w:rPr>
          <w:rFonts w:asciiTheme="majorHAnsi" w:hAnsiTheme="majorHAnsi" w:cstheme="majorHAnsi"/>
          <w:lang w:val="ro-RO"/>
        </w:rPr>
        <w:t>consemnat</w:t>
      </w:r>
      <w:r w:rsidR="005062FA">
        <w:rPr>
          <w:rFonts w:asciiTheme="majorHAnsi" w:hAnsiTheme="majorHAnsi" w:cstheme="majorHAnsi"/>
          <w:lang w:val="ro-RO"/>
        </w:rPr>
        <w:t xml:space="preserve"> scăderi atât la nivelul a</w:t>
      </w:r>
      <w:r w:rsidR="003641B2">
        <w:rPr>
          <w:rFonts w:asciiTheme="majorHAnsi" w:hAnsiTheme="majorHAnsi" w:cstheme="majorHAnsi"/>
          <w:lang w:val="ro-RO"/>
        </w:rPr>
        <w:t xml:space="preserve">ctivității de inspecție fiscală, </w:t>
      </w:r>
      <w:r w:rsidR="005062FA">
        <w:rPr>
          <w:rFonts w:asciiTheme="majorHAnsi" w:hAnsiTheme="majorHAnsi" w:cstheme="majorHAnsi"/>
          <w:lang w:val="ro-RO"/>
        </w:rPr>
        <w:t>de la 2,3 miliarde</w:t>
      </w:r>
      <w:r w:rsidR="00E25FC8">
        <w:rPr>
          <w:rFonts w:asciiTheme="majorHAnsi" w:hAnsiTheme="majorHAnsi" w:cstheme="majorHAnsi"/>
          <w:lang w:val="ro-RO"/>
        </w:rPr>
        <w:t xml:space="preserve"> de</w:t>
      </w:r>
      <w:r w:rsidR="000C0371">
        <w:rPr>
          <w:rFonts w:asciiTheme="majorHAnsi" w:hAnsiTheme="majorHAnsi" w:cstheme="majorHAnsi"/>
          <w:lang w:val="ro-RO"/>
        </w:rPr>
        <w:t xml:space="preserve"> lei</w:t>
      </w:r>
      <w:r w:rsidR="005062FA">
        <w:rPr>
          <w:rFonts w:asciiTheme="majorHAnsi" w:hAnsiTheme="majorHAnsi" w:cstheme="majorHAnsi"/>
          <w:lang w:val="ro-RO"/>
        </w:rPr>
        <w:t xml:space="preserve"> la 1,5 miliarde</w:t>
      </w:r>
      <w:r w:rsidR="00CD70A8">
        <w:rPr>
          <w:rFonts w:asciiTheme="majorHAnsi" w:hAnsiTheme="majorHAnsi" w:cstheme="majorHAnsi"/>
          <w:lang w:val="ro-RO"/>
        </w:rPr>
        <w:t xml:space="preserve"> de</w:t>
      </w:r>
      <w:r w:rsidR="000C0371">
        <w:rPr>
          <w:rFonts w:asciiTheme="majorHAnsi" w:hAnsiTheme="majorHAnsi" w:cstheme="majorHAnsi"/>
          <w:lang w:val="ro-RO"/>
        </w:rPr>
        <w:t xml:space="preserve"> lei</w:t>
      </w:r>
      <w:r w:rsidR="003641B2">
        <w:rPr>
          <w:rFonts w:asciiTheme="majorHAnsi" w:hAnsiTheme="majorHAnsi" w:cstheme="majorHAnsi"/>
          <w:lang w:val="ro-RO"/>
        </w:rPr>
        <w:t xml:space="preserve">, </w:t>
      </w:r>
      <w:r w:rsidR="000C0371">
        <w:rPr>
          <w:rFonts w:asciiTheme="majorHAnsi" w:hAnsiTheme="majorHAnsi" w:cstheme="majorHAnsi"/>
          <w:lang w:val="ro-RO"/>
        </w:rPr>
        <w:t>cât și la nivelul</w:t>
      </w:r>
      <w:r w:rsidR="00FA2C7A">
        <w:rPr>
          <w:rFonts w:asciiTheme="majorHAnsi" w:hAnsiTheme="majorHAnsi" w:cstheme="majorHAnsi"/>
          <w:lang w:val="ro-RO"/>
        </w:rPr>
        <w:t xml:space="preserve"> structurii </w:t>
      </w:r>
      <w:r w:rsidR="003641B2">
        <w:rPr>
          <w:rFonts w:asciiTheme="majorHAnsi" w:hAnsiTheme="majorHAnsi" w:cstheme="majorHAnsi"/>
          <w:lang w:val="ro-RO"/>
        </w:rPr>
        <w:t xml:space="preserve">antifraudă, </w:t>
      </w:r>
      <w:r w:rsidR="000C0371">
        <w:rPr>
          <w:rFonts w:asciiTheme="majorHAnsi" w:hAnsiTheme="majorHAnsi" w:cstheme="majorHAnsi"/>
          <w:lang w:val="ro-RO"/>
        </w:rPr>
        <w:t xml:space="preserve">de la 917 milioane </w:t>
      </w:r>
      <w:r w:rsidR="00CD70A8">
        <w:rPr>
          <w:rFonts w:asciiTheme="majorHAnsi" w:hAnsiTheme="majorHAnsi" w:cstheme="majorHAnsi"/>
          <w:lang w:val="ro-RO"/>
        </w:rPr>
        <w:t xml:space="preserve">de </w:t>
      </w:r>
      <w:r w:rsidR="000C0371">
        <w:rPr>
          <w:rFonts w:asciiTheme="majorHAnsi" w:hAnsiTheme="majorHAnsi" w:cstheme="majorHAnsi"/>
          <w:lang w:val="ro-RO"/>
        </w:rPr>
        <w:t xml:space="preserve">lei la 423 </w:t>
      </w:r>
      <w:r w:rsidR="00587AC5">
        <w:rPr>
          <w:rFonts w:asciiTheme="majorHAnsi" w:hAnsiTheme="majorHAnsi" w:cstheme="majorHAnsi"/>
          <w:lang w:val="ro-RO"/>
        </w:rPr>
        <w:t xml:space="preserve">de </w:t>
      </w:r>
      <w:r w:rsidR="000C0371">
        <w:rPr>
          <w:rFonts w:asciiTheme="majorHAnsi" w:hAnsiTheme="majorHAnsi" w:cstheme="majorHAnsi"/>
          <w:lang w:val="ro-RO"/>
        </w:rPr>
        <w:t xml:space="preserve">milioane </w:t>
      </w:r>
      <w:r w:rsidR="00CD70A8">
        <w:rPr>
          <w:rFonts w:asciiTheme="majorHAnsi" w:hAnsiTheme="majorHAnsi" w:cstheme="majorHAnsi"/>
          <w:lang w:val="ro-RO"/>
        </w:rPr>
        <w:t xml:space="preserve">de </w:t>
      </w:r>
      <w:r w:rsidR="000C0371">
        <w:rPr>
          <w:rFonts w:asciiTheme="majorHAnsi" w:hAnsiTheme="majorHAnsi" w:cstheme="majorHAnsi"/>
          <w:lang w:val="ro-RO"/>
        </w:rPr>
        <w:t xml:space="preserve">lei. </w:t>
      </w:r>
    </w:p>
    <w:p w14:paraId="58414A67" w14:textId="77777777" w:rsidR="00970ED6" w:rsidRDefault="000C0371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Pe de altă parte, verificările documentare </w:t>
      </w:r>
      <w:r w:rsidR="00CD70A8">
        <w:rPr>
          <w:rFonts w:asciiTheme="majorHAnsi" w:hAnsiTheme="majorHAnsi" w:cstheme="majorHAnsi"/>
          <w:lang w:val="ro-RO"/>
        </w:rPr>
        <w:t>(controale</w:t>
      </w:r>
      <w:r w:rsidR="002E1816">
        <w:rPr>
          <w:rFonts w:asciiTheme="majorHAnsi" w:hAnsiTheme="majorHAnsi" w:cstheme="majorHAnsi"/>
          <w:lang w:val="ro-RO"/>
        </w:rPr>
        <w:t>le</w:t>
      </w:r>
      <w:r w:rsidR="00CD70A8">
        <w:rPr>
          <w:rFonts w:asciiTheme="majorHAnsi" w:hAnsiTheme="majorHAnsi" w:cstheme="majorHAnsi"/>
          <w:lang w:val="ro-RO"/>
        </w:rPr>
        <w:t xml:space="preserve"> la distanță) </w:t>
      </w:r>
      <w:r>
        <w:rPr>
          <w:rFonts w:asciiTheme="majorHAnsi" w:hAnsiTheme="majorHAnsi" w:cstheme="majorHAnsi"/>
          <w:lang w:val="ro-RO"/>
        </w:rPr>
        <w:t xml:space="preserve">au </w:t>
      </w:r>
      <w:r w:rsidR="00CD70A8">
        <w:rPr>
          <w:rFonts w:asciiTheme="majorHAnsi" w:hAnsiTheme="majorHAnsi" w:cstheme="majorHAnsi"/>
          <w:lang w:val="ro-RO"/>
        </w:rPr>
        <w:t>luat</w:t>
      </w:r>
      <w:r>
        <w:rPr>
          <w:rFonts w:asciiTheme="majorHAnsi" w:hAnsiTheme="majorHAnsi" w:cstheme="majorHAnsi"/>
          <w:lang w:val="ro-RO"/>
        </w:rPr>
        <w:t xml:space="preserve"> amploare în prim</w:t>
      </w:r>
      <w:r w:rsidR="00CD70A8">
        <w:rPr>
          <w:rFonts w:asciiTheme="majorHAnsi" w:hAnsiTheme="majorHAnsi" w:cstheme="majorHAnsi"/>
          <w:lang w:val="ro-RO"/>
        </w:rPr>
        <w:t>a jumătate a acestui an</w:t>
      </w:r>
      <w:r>
        <w:rPr>
          <w:rFonts w:asciiTheme="majorHAnsi" w:hAnsiTheme="majorHAnsi" w:cstheme="majorHAnsi"/>
          <w:lang w:val="ro-RO"/>
        </w:rPr>
        <w:t xml:space="preserve">. Numărul acestora s-a triplat comparativ cu primul </w:t>
      </w:r>
      <w:r w:rsidR="002D2279">
        <w:rPr>
          <w:rFonts w:asciiTheme="majorHAnsi" w:hAnsiTheme="majorHAnsi" w:cstheme="majorHAnsi"/>
          <w:lang w:val="ro-RO"/>
        </w:rPr>
        <w:t>semestru</w:t>
      </w:r>
      <w:r>
        <w:rPr>
          <w:rFonts w:asciiTheme="majorHAnsi" w:hAnsiTheme="majorHAnsi" w:cstheme="majorHAnsi"/>
          <w:lang w:val="ro-RO"/>
        </w:rPr>
        <w:t xml:space="preserve"> al anului precedent, iar sumele </w:t>
      </w:r>
      <w:r w:rsidR="00F42227">
        <w:rPr>
          <w:rFonts w:asciiTheme="majorHAnsi" w:hAnsiTheme="majorHAnsi" w:cstheme="majorHAnsi"/>
          <w:lang w:val="ro-RO"/>
        </w:rPr>
        <w:t>rezultate</w:t>
      </w:r>
      <w:r>
        <w:rPr>
          <w:rFonts w:asciiTheme="majorHAnsi" w:hAnsiTheme="majorHAnsi" w:cstheme="majorHAnsi"/>
          <w:lang w:val="ro-RO"/>
        </w:rPr>
        <w:t xml:space="preserve"> suplimentar </w:t>
      </w:r>
      <w:r w:rsidR="00F42227">
        <w:rPr>
          <w:rFonts w:asciiTheme="majorHAnsi" w:hAnsiTheme="majorHAnsi" w:cstheme="majorHAnsi"/>
          <w:lang w:val="ro-RO"/>
        </w:rPr>
        <w:t>ca urmare a</w:t>
      </w:r>
      <w:r>
        <w:rPr>
          <w:rFonts w:asciiTheme="majorHAnsi" w:hAnsiTheme="majorHAnsi" w:cstheme="majorHAnsi"/>
          <w:lang w:val="ro-RO"/>
        </w:rPr>
        <w:t xml:space="preserve"> acestor verificări au înre</w:t>
      </w:r>
      <w:r w:rsidR="003641B2">
        <w:rPr>
          <w:rFonts w:asciiTheme="majorHAnsi" w:hAnsiTheme="majorHAnsi" w:cstheme="majorHAnsi"/>
          <w:lang w:val="ro-RO"/>
        </w:rPr>
        <w:t xml:space="preserve">gistrat creșteri semnificative, </w:t>
      </w:r>
      <w:r>
        <w:rPr>
          <w:rFonts w:asciiTheme="majorHAnsi" w:hAnsiTheme="majorHAnsi" w:cstheme="majorHAnsi"/>
          <w:lang w:val="ro-RO"/>
        </w:rPr>
        <w:t xml:space="preserve">de la aproximativ 110 milioane </w:t>
      </w:r>
      <w:r w:rsidR="00CD70A8">
        <w:rPr>
          <w:rFonts w:asciiTheme="majorHAnsi" w:hAnsiTheme="majorHAnsi" w:cstheme="majorHAnsi"/>
          <w:lang w:val="ro-RO"/>
        </w:rPr>
        <w:t xml:space="preserve">de </w:t>
      </w:r>
      <w:r>
        <w:rPr>
          <w:rFonts w:asciiTheme="majorHAnsi" w:hAnsiTheme="majorHAnsi" w:cstheme="majorHAnsi"/>
          <w:lang w:val="ro-RO"/>
        </w:rPr>
        <w:t xml:space="preserve">lei în primul semestru </w:t>
      </w:r>
      <w:r w:rsidR="00CD70A8">
        <w:rPr>
          <w:rFonts w:asciiTheme="majorHAnsi" w:hAnsiTheme="majorHAnsi" w:cstheme="majorHAnsi"/>
          <w:lang w:val="ro-RO"/>
        </w:rPr>
        <w:t xml:space="preserve">din </w:t>
      </w:r>
      <w:r>
        <w:rPr>
          <w:rFonts w:asciiTheme="majorHAnsi" w:hAnsiTheme="majorHAnsi" w:cstheme="majorHAnsi"/>
          <w:lang w:val="ro-RO"/>
        </w:rPr>
        <w:t xml:space="preserve">2021 la peste 410 milioane </w:t>
      </w:r>
      <w:r w:rsidR="00CD70A8">
        <w:rPr>
          <w:rFonts w:asciiTheme="majorHAnsi" w:hAnsiTheme="majorHAnsi" w:cstheme="majorHAnsi"/>
          <w:lang w:val="ro-RO"/>
        </w:rPr>
        <w:t xml:space="preserve">de </w:t>
      </w:r>
      <w:r>
        <w:rPr>
          <w:rFonts w:asciiTheme="majorHAnsi" w:hAnsiTheme="majorHAnsi" w:cstheme="majorHAnsi"/>
          <w:lang w:val="ro-RO"/>
        </w:rPr>
        <w:t xml:space="preserve">lei în </w:t>
      </w:r>
      <w:r w:rsidR="00CD70A8">
        <w:rPr>
          <w:rFonts w:asciiTheme="majorHAnsi" w:hAnsiTheme="majorHAnsi" w:cstheme="majorHAnsi"/>
          <w:lang w:val="ro-RO"/>
        </w:rPr>
        <w:t xml:space="preserve">aceeași perioadă din </w:t>
      </w:r>
      <w:r>
        <w:rPr>
          <w:rFonts w:asciiTheme="majorHAnsi" w:hAnsiTheme="majorHAnsi" w:cstheme="majorHAnsi"/>
          <w:lang w:val="ro-RO"/>
        </w:rPr>
        <w:t>2022</w:t>
      </w:r>
      <w:r w:rsidR="00970ED6" w:rsidRPr="00125664">
        <w:rPr>
          <w:rFonts w:asciiTheme="majorHAnsi" w:hAnsiTheme="majorHAnsi" w:cstheme="majorHAnsi"/>
          <w:lang w:val="ro-RO"/>
        </w:rPr>
        <w:t>.</w:t>
      </w:r>
    </w:p>
    <w:p w14:paraId="5D6B8563" w14:textId="77777777" w:rsidR="00970ED6" w:rsidRDefault="00164D87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Acest trend cel mai probabil va continua </w:t>
      </w:r>
      <w:r w:rsidR="00970ED6" w:rsidRPr="00125664">
        <w:rPr>
          <w:rFonts w:asciiTheme="majorHAnsi" w:hAnsiTheme="majorHAnsi" w:cstheme="majorHAnsi"/>
          <w:lang w:val="ro-RO"/>
        </w:rPr>
        <w:t>în perioada următoare</w:t>
      </w:r>
      <w:r>
        <w:rPr>
          <w:rFonts w:asciiTheme="majorHAnsi" w:hAnsiTheme="majorHAnsi" w:cstheme="majorHAnsi"/>
          <w:lang w:val="ro-RO"/>
        </w:rPr>
        <w:t>, dar r</w:t>
      </w:r>
      <w:r w:rsidR="00970ED6" w:rsidRPr="00125664">
        <w:rPr>
          <w:rFonts w:asciiTheme="majorHAnsi" w:hAnsiTheme="majorHAnsi" w:cstheme="majorHAnsi"/>
          <w:lang w:val="ro-RO"/>
        </w:rPr>
        <w:t>ămâne de văzut și cum se va eficientiza activitatea de inspecție fiscală odată cu introducerea măsurilor de digitalizare (SAF-T, RO e-</w:t>
      </w:r>
      <w:r w:rsidR="000E216E">
        <w:rPr>
          <w:rFonts w:asciiTheme="majorHAnsi" w:hAnsiTheme="majorHAnsi" w:cstheme="majorHAnsi"/>
          <w:lang w:val="ro-RO"/>
        </w:rPr>
        <w:t>F</w:t>
      </w:r>
      <w:r w:rsidR="00970ED6" w:rsidRPr="00125664">
        <w:rPr>
          <w:rFonts w:asciiTheme="majorHAnsi" w:hAnsiTheme="majorHAnsi" w:cstheme="majorHAnsi"/>
          <w:lang w:val="ro-RO"/>
        </w:rPr>
        <w:t>actur</w:t>
      </w:r>
      <w:r w:rsidR="000E216E">
        <w:rPr>
          <w:rFonts w:asciiTheme="majorHAnsi" w:hAnsiTheme="majorHAnsi" w:cstheme="majorHAnsi"/>
          <w:lang w:val="ro-RO"/>
        </w:rPr>
        <w:t>a</w:t>
      </w:r>
      <w:r w:rsidR="00970ED6" w:rsidRPr="00125664">
        <w:rPr>
          <w:rFonts w:asciiTheme="majorHAnsi" w:hAnsiTheme="majorHAnsi" w:cstheme="majorHAnsi"/>
          <w:lang w:val="ro-RO"/>
        </w:rPr>
        <w:t>, RO e-</w:t>
      </w:r>
      <w:r w:rsidR="000E216E">
        <w:rPr>
          <w:rFonts w:asciiTheme="majorHAnsi" w:hAnsiTheme="majorHAnsi" w:cstheme="majorHAnsi"/>
          <w:lang w:val="ro-RO"/>
        </w:rPr>
        <w:t>T</w:t>
      </w:r>
      <w:r w:rsidR="00970ED6" w:rsidRPr="00125664">
        <w:rPr>
          <w:rFonts w:asciiTheme="majorHAnsi" w:hAnsiTheme="majorHAnsi" w:cstheme="majorHAnsi"/>
          <w:lang w:val="ro-RO"/>
        </w:rPr>
        <w:t xml:space="preserve">ransport) și dacă </w:t>
      </w:r>
      <w:r>
        <w:rPr>
          <w:rFonts w:asciiTheme="majorHAnsi" w:hAnsiTheme="majorHAnsi" w:cstheme="majorHAnsi"/>
          <w:lang w:val="ro-RO"/>
        </w:rPr>
        <w:t xml:space="preserve">acestea vor determina o </w:t>
      </w:r>
      <w:r w:rsidR="00970ED6" w:rsidRPr="00125664">
        <w:rPr>
          <w:rFonts w:asciiTheme="majorHAnsi" w:hAnsiTheme="majorHAnsi" w:cstheme="majorHAnsi"/>
          <w:lang w:val="ro-RO"/>
        </w:rPr>
        <w:t xml:space="preserve">intensificare a </w:t>
      </w:r>
      <w:r>
        <w:rPr>
          <w:rFonts w:asciiTheme="majorHAnsi" w:hAnsiTheme="majorHAnsi" w:cstheme="majorHAnsi"/>
          <w:lang w:val="ro-RO"/>
        </w:rPr>
        <w:t>controalelor la distanță (</w:t>
      </w:r>
      <w:r w:rsidR="00970ED6" w:rsidRPr="00125664">
        <w:rPr>
          <w:rFonts w:asciiTheme="majorHAnsi" w:hAnsiTheme="majorHAnsi" w:cstheme="majorHAnsi"/>
          <w:lang w:val="ro-RO"/>
        </w:rPr>
        <w:t>de tip</w:t>
      </w:r>
      <w:r>
        <w:rPr>
          <w:rFonts w:asciiTheme="majorHAnsi" w:hAnsiTheme="majorHAnsi" w:cstheme="majorHAnsi"/>
          <w:lang w:val="ro-RO"/>
        </w:rPr>
        <w:t xml:space="preserve"> </w:t>
      </w:r>
      <w:proofErr w:type="spellStart"/>
      <w:r w:rsidRPr="00B4594D">
        <w:rPr>
          <w:rFonts w:asciiTheme="majorHAnsi" w:hAnsiTheme="majorHAnsi" w:cstheme="majorHAnsi"/>
          <w:i/>
          <w:lang w:val="ro-RO"/>
        </w:rPr>
        <w:t>desk</w:t>
      </w:r>
      <w:proofErr w:type="spellEnd"/>
      <w:r w:rsidRPr="00B4594D">
        <w:rPr>
          <w:rFonts w:asciiTheme="majorHAnsi" w:hAnsiTheme="majorHAnsi" w:cstheme="majorHAnsi"/>
          <w:i/>
          <w:lang w:val="ro-RO"/>
        </w:rPr>
        <w:t>-audit</w:t>
      </w:r>
      <w:r>
        <w:rPr>
          <w:rFonts w:asciiTheme="majorHAnsi" w:hAnsiTheme="majorHAnsi" w:cstheme="majorHAnsi"/>
          <w:lang w:val="ro-RO"/>
        </w:rPr>
        <w:t xml:space="preserve">), dat fiind că </w:t>
      </w:r>
      <w:r w:rsidR="00970ED6" w:rsidRPr="00125664">
        <w:rPr>
          <w:rFonts w:asciiTheme="majorHAnsi" w:hAnsiTheme="majorHAnsi" w:cstheme="majorHAnsi"/>
          <w:lang w:val="ro-RO"/>
        </w:rPr>
        <w:t xml:space="preserve">ANAF </w:t>
      </w:r>
      <w:r>
        <w:rPr>
          <w:rFonts w:asciiTheme="majorHAnsi" w:hAnsiTheme="majorHAnsi" w:cstheme="majorHAnsi"/>
          <w:lang w:val="ro-RO"/>
        </w:rPr>
        <w:t xml:space="preserve">are ca </w:t>
      </w:r>
      <w:r w:rsidR="006E5DF3">
        <w:rPr>
          <w:rFonts w:asciiTheme="majorHAnsi" w:hAnsiTheme="majorHAnsi" w:cstheme="majorHAnsi"/>
          <w:lang w:val="ro-RO"/>
        </w:rPr>
        <w:t>obiectiv</w:t>
      </w:r>
      <w:r w:rsidR="00970ED6" w:rsidRPr="00125664">
        <w:rPr>
          <w:rFonts w:asciiTheme="majorHAnsi" w:hAnsiTheme="majorHAnsi" w:cstheme="majorHAnsi"/>
          <w:lang w:val="ro-RO"/>
        </w:rPr>
        <w:t xml:space="preserve"> până la finalul anului </w:t>
      </w:r>
      <w:r w:rsidR="00A41236">
        <w:rPr>
          <w:rFonts w:asciiTheme="majorHAnsi" w:hAnsiTheme="majorHAnsi" w:cstheme="majorHAnsi"/>
          <w:lang w:val="ro-RO"/>
        </w:rPr>
        <w:t xml:space="preserve">ca </w:t>
      </w:r>
      <w:r w:rsidR="00970ED6" w:rsidRPr="00125664">
        <w:rPr>
          <w:rFonts w:asciiTheme="majorHAnsi" w:hAnsiTheme="majorHAnsi" w:cstheme="majorHAnsi"/>
          <w:lang w:val="ro-RO"/>
        </w:rPr>
        <w:t xml:space="preserve">ponderea acestora în total să </w:t>
      </w:r>
      <w:r w:rsidR="006E5DF3">
        <w:rPr>
          <w:rFonts w:asciiTheme="majorHAnsi" w:hAnsiTheme="majorHAnsi" w:cstheme="majorHAnsi"/>
          <w:lang w:val="ro-RO"/>
        </w:rPr>
        <w:t>depășească 30%</w:t>
      </w:r>
      <w:r w:rsidR="00970ED6" w:rsidRPr="00125664">
        <w:rPr>
          <w:rFonts w:asciiTheme="majorHAnsi" w:hAnsiTheme="majorHAnsi" w:cstheme="majorHAnsi"/>
          <w:lang w:val="ro-RO"/>
        </w:rPr>
        <w:t>.</w:t>
      </w:r>
    </w:p>
    <w:p w14:paraId="00E90CCC" w14:textId="77777777" w:rsidR="00082BC1" w:rsidRDefault="00082BC1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079C9BD2" w14:textId="77777777" w:rsidR="00970ED6" w:rsidRPr="00B4594D" w:rsidRDefault="00082BC1" w:rsidP="00D0433D">
      <w:pPr>
        <w:spacing w:after="120" w:line="264" w:lineRule="auto"/>
        <w:jc w:val="both"/>
        <w:rPr>
          <w:rFonts w:asciiTheme="majorHAnsi" w:hAnsiTheme="majorHAnsi" w:cstheme="majorHAnsi"/>
          <w:b/>
          <w:lang w:val="ro-RO"/>
        </w:rPr>
      </w:pPr>
      <w:r w:rsidRPr="00B4594D">
        <w:rPr>
          <w:rFonts w:asciiTheme="majorHAnsi" w:hAnsiTheme="majorHAnsi" w:cstheme="majorHAnsi"/>
          <w:b/>
          <w:lang w:val="ro-RO"/>
        </w:rPr>
        <w:t>Cele mai importante deficiențe constatate de ANAF în controalele anterioare</w:t>
      </w:r>
    </w:p>
    <w:p w14:paraId="44D75B91" w14:textId="77777777" w:rsidR="00FA2C7A" w:rsidRDefault="00955CEA" w:rsidP="00D0433D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B4594D">
        <w:rPr>
          <w:rFonts w:asciiTheme="majorHAnsi" w:hAnsiTheme="majorHAnsi" w:cstheme="majorHAnsi"/>
          <w:lang w:val="ro-RO"/>
        </w:rPr>
        <w:t>Din campania de informare face parte și docume</w:t>
      </w:r>
      <w:r w:rsidR="000078B9" w:rsidRPr="00B4594D">
        <w:rPr>
          <w:rFonts w:asciiTheme="majorHAnsi" w:hAnsiTheme="majorHAnsi" w:cstheme="majorHAnsi"/>
          <w:lang w:val="ro-RO"/>
        </w:rPr>
        <w:t xml:space="preserve">ntul publicat recent </w:t>
      </w:r>
      <w:r w:rsidR="00125664" w:rsidRPr="00B4594D">
        <w:rPr>
          <w:rFonts w:asciiTheme="majorHAnsi" w:hAnsiTheme="majorHAnsi" w:cstheme="majorHAnsi"/>
          <w:lang w:val="ro-RO"/>
        </w:rPr>
        <w:t xml:space="preserve">pe site-ul ANAF </w:t>
      </w:r>
      <w:r w:rsidR="000078B9" w:rsidRPr="00B4594D">
        <w:rPr>
          <w:rFonts w:asciiTheme="majorHAnsi" w:hAnsiTheme="majorHAnsi" w:cstheme="majorHAnsi"/>
          <w:lang w:val="ro-RO"/>
        </w:rPr>
        <w:t xml:space="preserve">care conține </w:t>
      </w:r>
      <w:r w:rsidR="00125664" w:rsidRPr="00B4594D">
        <w:rPr>
          <w:rFonts w:asciiTheme="majorHAnsi" w:hAnsiTheme="majorHAnsi" w:cstheme="majorHAnsi"/>
          <w:lang w:val="ro-RO"/>
        </w:rPr>
        <w:t xml:space="preserve">principalele deficiențe constatate în </w:t>
      </w:r>
      <w:r w:rsidR="000078B9" w:rsidRPr="00B4594D">
        <w:rPr>
          <w:rFonts w:asciiTheme="majorHAnsi" w:hAnsiTheme="majorHAnsi" w:cstheme="majorHAnsi"/>
          <w:lang w:val="ro-RO"/>
        </w:rPr>
        <w:t>timpul</w:t>
      </w:r>
      <w:r w:rsidR="00125664" w:rsidRPr="00B4594D">
        <w:rPr>
          <w:rFonts w:asciiTheme="majorHAnsi" w:hAnsiTheme="majorHAnsi" w:cstheme="majorHAnsi"/>
          <w:lang w:val="ro-RO"/>
        </w:rPr>
        <w:t xml:space="preserve"> acțiunilor de control desf</w:t>
      </w:r>
      <w:r w:rsidR="00125664" w:rsidRPr="00B4594D">
        <w:rPr>
          <w:rFonts w:asciiTheme="majorHAnsi" w:hAnsiTheme="majorHAnsi" w:cstheme="majorHAnsi" w:hint="eastAsia"/>
          <w:lang w:val="ro-RO"/>
        </w:rPr>
        <w:t>ă</w:t>
      </w:r>
      <w:r w:rsidR="00125664" w:rsidRPr="00B4594D">
        <w:rPr>
          <w:rFonts w:asciiTheme="majorHAnsi" w:hAnsiTheme="majorHAnsi" w:cstheme="majorHAnsi"/>
          <w:lang w:val="ro-RO"/>
        </w:rPr>
        <w:t xml:space="preserve">șurate în primul semestru al anului 2022. </w:t>
      </w:r>
    </w:p>
    <w:p w14:paraId="0ACF4B01" w14:textId="7ED4F348" w:rsidR="002F00EB" w:rsidRDefault="00125664" w:rsidP="00D0433D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B4594D">
        <w:rPr>
          <w:rFonts w:asciiTheme="majorHAnsi" w:hAnsiTheme="majorHAnsi" w:cstheme="majorHAnsi"/>
          <w:lang w:val="ro-RO"/>
        </w:rPr>
        <w:lastRenderedPageBreak/>
        <w:t>Conform documentului</w:t>
      </w:r>
      <w:r w:rsidR="000078B9" w:rsidRPr="00B4594D">
        <w:rPr>
          <w:rFonts w:asciiTheme="majorHAnsi" w:hAnsiTheme="majorHAnsi" w:cstheme="majorHAnsi"/>
          <w:lang w:val="ro-RO"/>
        </w:rPr>
        <w:t xml:space="preserve">, printre </w:t>
      </w:r>
      <w:r w:rsidRPr="00B4594D">
        <w:rPr>
          <w:rFonts w:asciiTheme="majorHAnsi" w:hAnsiTheme="majorHAnsi" w:cstheme="majorHAnsi"/>
          <w:lang w:val="ro-RO"/>
        </w:rPr>
        <w:t>cele mai frecvente probleme identificate de c</w:t>
      </w:r>
      <w:r w:rsidRPr="00B4594D">
        <w:rPr>
          <w:rFonts w:asciiTheme="majorHAnsi" w:hAnsiTheme="majorHAnsi" w:cstheme="majorHAnsi" w:hint="eastAsia"/>
          <w:lang w:val="ro-RO"/>
        </w:rPr>
        <w:t>ă</w:t>
      </w:r>
      <w:r w:rsidRPr="00B4594D">
        <w:rPr>
          <w:rFonts w:asciiTheme="majorHAnsi" w:hAnsiTheme="majorHAnsi" w:cstheme="majorHAnsi"/>
          <w:lang w:val="ro-RO"/>
        </w:rPr>
        <w:t>tre</w:t>
      </w:r>
      <w:r w:rsidR="000078B9" w:rsidRPr="00B4594D">
        <w:rPr>
          <w:rFonts w:asciiTheme="majorHAnsi" w:hAnsiTheme="majorHAnsi" w:cstheme="majorHAnsi"/>
          <w:lang w:val="ro-RO"/>
        </w:rPr>
        <w:t xml:space="preserve"> Direcția General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 xml:space="preserve"> Antifraud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 xml:space="preserve"> Fiscal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 xml:space="preserve"> se num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>r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 xml:space="preserve"> </w:t>
      </w:r>
      <w:r w:rsidR="000078B9" w:rsidRPr="00B4594D">
        <w:rPr>
          <w:rFonts w:asciiTheme="majorHAnsi" w:hAnsiTheme="majorHAnsi" w:cstheme="majorHAnsi"/>
          <w:b/>
          <w:lang w:val="ro-RO"/>
        </w:rPr>
        <w:t>evidențierea unor operațiuni fictive</w:t>
      </w:r>
      <w:r w:rsidR="000078B9" w:rsidRPr="00B4594D">
        <w:rPr>
          <w:rFonts w:asciiTheme="majorHAnsi" w:hAnsiTheme="majorHAnsi" w:cstheme="majorHAnsi"/>
          <w:lang w:val="ro-RO"/>
        </w:rPr>
        <w:t xml:space="preserve"> (cazuri de fraud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 xml:space="preserve"> de tip „carusel”</w:t>
      </w:r>
      <w:r w:rsidR="00152A50">
        <w:rPr>
          <w:rFonts w:asciiTheme="majorHAnsi" w:hAnsiTheme="majorHAnsi" w:cstheme="majorHAnsi"/>
          <w:lang w:val="ro-RO"/>
        </w:rPr>
        <w:t>,</w:t>
      </w:r>
      <w:r w:rsidR="000078B9" w:rsidRPr="00B4594D">
        <w:rPr>
          <w:rFonts w:asciiTheme="majorHAnsi" w:hAnsiTheme="majorHAnsi" w:cstheme="majorHAnsi"/>
          <w:lang w:val="ro-RO"/>
        </w:rPr>
        <w:t xml:space="preserve"> livr</w:t>
      </w:r>
      <w:r w:rsidR="000078B9" w:rsidRPr="00B4594D">
        <w:rPr>
          <w:rFonts w:asciiTheme="majorHAnsi" w:hAnsiTheme="majorHAnsi" w:cstheme="majorHAnsi" w:hint="eastAsia"/>
          <w:lang w:val="ro-RO"/>
        </w:rPr>
        <w:t>ă</w:t>
      </w:r>
      <w:r w:rsidR="000078B9" w:rsidRPr="00B4594D">
        <w:rPr>
          <w:rFonts w:asciiTheme="majorHAnsi" w:hAnsiTheme="majorHAnsi" w:cstheme="majorHAnsi"/>
          <w:lang w:val="ro-RO"/>
        </w:rPr>
        <w:t>ri intracomunitare fictive sau înregistrarea unor documente fictive pentru disimularea provenienței</w:t>
      </w:r>
      <w:r w:rsidR="00FA2C7A">
        <w:rPr>
          <w:rFonts w:asciiTheme="majorHAnsi" w:hAnsiTheme="majorHAnsi" w:cstheme="majorHAnsi"/>
          <w:lang w:val="ro-RO"/>
        </w:rPr>
        <w:t>/prețului real al</w:t>
      </w:r>
      <w:r w:rsidR="000078B9" w:rsidRPr="00B4594D">
        <w:rPr>
          <w:rFonts w:asciiTheme="majorHAnsi" w:hAnsiTheme="majorHAnsi" w:cstheme="majorHAnsi"/>
          <w:lang w:val="ro-RO"/>
        </w:rPr>
        <w:t xml:space="preserve"> bunurilor</w:t>
      </w:r>
      <w:r w:rsidR="00A41236" w:rsidRPr="00B4594D">
        <w:rPr>
          <w:rFonts w:asciiTheme="majorHAnsi" w:hAnsiTheme="majorHAnsi" w:cstheme="majorHAnsi"/>
          <w:lang w:val="ro-RO"/>
        </w:rPr>
        <w:t>)</w:t>
      </w:r>
      <w:r w:rsidR="00A41236">
        <w:rPr>
          <w:rFonts w:asciiTheme="majorHAnsi" w:hAnsiTheme="majorHAnsi" w:cstheme="majorHAnsi"/>
          <w:lang w:val="ro-RO"/>
        </w:rPr>
        <w:t>,</w:t>
      </w:r>
      <w:r w:rsidR="00A41236" w:rsidRPr="009F7E72">
        <w:rPr>
          <w:rFonts w:asciiTheme="majorHAnsi" w:hAnsiTheme="majorHAnsi" w:cstheme="majorHAnsi"/>
          <w:lang w:val="ro-RO"/>
        </w:rPr>
        <w:t xml:space="preserve"> </w:t>
      </w:r>
      <w:r w:rsidR="000078B9" w:rsidRPr="00B4594D">
        <w:rPr>
          <w:rFonts w:asciiTheme="majorHAnsi" w:hAnsiTheme="majorHAnsi" w:cstheme="majorHAnsi"/>
          <w:lang w:val="ro-RO"/>
        </w:rPr>
        <w:t xml:space="preserve">cazuri în care contribuabilii </w:t>
      </w:r>
      <w:r w:rsidR="000078B9" w:rsidRPr="00B4594D">
        <w:rPr>
          <w:rFonts w:asciiTheme="majorHAnsi" w:hAnsiTheme="majorHAnsi" w:cstheme="majorHAnsi"/>
          <w:b/>
          <w:lang w:val="ro-RO"/>
        </w:rPr>
        <w:t>nu au evidențiat veniturile realizate</w:t>
      </w:r>
      <w:r w:rsidR="000078B9" w:rsidRPr="00B4594D">
        <w:rPr>
          <w:rFonts w:asciiTheme="majorHAnsi" w:hAnsiTheme="majorHAnsi" w:cstheme="majorHAnsi"/>
          <w:lang w:val="ro-RO"/>
        </w:rPr>
        <w:t xml:space="preserve"> (</w:t>
      </w:r>
      <w:r w:rsidR="000078B9" w:rsidRPr="009F7E72">
        <w:rPr>
          <w:rFonts w:asciiTheme="majorHAnsi" w:hAnsiTheme="majorHAnsi" w:cstheme="majorHAnsi"/>
          <w:lang w:val="ro-RO"/>
        </w:rPr>
        <w:t>în</w:t>
      </w:r>
      <w:r w:rsidR="00FA2C7A">
        <w:rPr>
          <w:rFonts w:asciiTheme="majorHAnsi" w:hAnsiTheme="majorHAnsi" w:cstheme="majorHAnsi"/>
          <w:lang w:val="ro-RO"/>
        </w:rPr>
        <w:t xml:space="preserve"> special</w:t>
      </w:r>
      <w:r w:rsidR="000078B9" w:rsidRPr="00B4594D">
        <w:rPr>
          <w:rFonts w:asciiTheme="majorHAnsi" w:hAnsiTheme="majorHAnsi" w:cstheme="majorHAnsi"/>
          <w:lang w:val="ro-RO"/>
        </w:rPr>
        <w:t xml:space="preserve"> </w:t>
      </w:r>
      <w:r w:rsidR="00FA2C7A">
        <w:rPr>
          <w:rFonts w:asciiTheme="majorHAnsi" w:hAnsiTheme="majorHAnsi" w:cstheme="majorHAnsi"/>
          <w:lang w:val="ro-RO"/>
        </w:rPr>
        <w:t>pe parte de comerț</w:t>
      </w:r>
      <w:r w:rsidR="000078B9" w:rsidRPr="00B4594D">
        <w:rPr>
          <w:rFonts w:asciiTheme="majorHAnsi" w:hAnsiTheme="majorHAnsi" w:cstheme="majorHAnsi"/>
          <w:lang w:val="ro-RO"/>
        </w:rPr>
        <w:t xml:space="preserve"> electronic</w:t>
      </w:r>
      <w:r w:rsidR="00A41236" w:rsidRPr="00B4594D">
        <w:rPr>
          <w:rFonts w:asciiTheme="majorHAnsi" w:hAnsiTheme="majorHAnsi" w:cstheme="majorHAnsi"/>
          <w:lang w:val="ro-RO"/>
        </w:rPr>
        <w:t>)</w:t>
      </w:r>
      <w:r w:rsidR="00A41236">
        <w:rPr>
          <w:rFonts w:asciiTheme="majorHAnsi" w:hAnsiTheme="majorHAnsi" w:cstheme="majorHAnsi"/>
          <w:lang w:val="ro-RO"/>
        </w:rPr>
        <w:t xml:space="preserve">, </w:t>
      </w:r>
      <w:r w:rsidR="009F7E72" w:rsidRPr="00B4594D">
        <w:rPr>
          <w:rFonts w:asciiTheme="majorHAnsi" w:hAnsiTheme="majorHAnsi" w:cstheme="majorHAnsi"/>
          <w:b/>
          <w:lang w:val="ro-RO"/>
        </w:rPr>
        <w:t>deficiențe în dotarea și utilizarea aparatelor de marcat electronice fiscale</w:t>
      </w:r>
      <w:r w:rsidR="00B826FC">
        <w:rPr>
          <w:rFonts w:asciiTheme="majorHAnsi" w:hAnsiTheme="majorHAnsi" w:cstheme="majorHAnsi"/>
          <w:b/>
          <w:lang w:val="ro-RO"/>
        </w:rPr>
        <w:t>,</w:t>
      </w:r>
      <w:r w:rsidR="00FA2C7A">
        <w:rPr>
          <w:rFonts w:asciiTheme="majorHAnsi" w:hAnsiTheme="majorHAnsi" w:cstheme="majorHAnsi"/>
          <w:lang w:val="ro-RO"/>
        </w:rPr>
        <w:t xml:space="preserve"> precum și </w:t>
      </w:r>
      <w:r w:rsidR="009F7E72" w:rsidRPr="00B4594D">
        <w:rPr>
          <w:rFonts w:asciiTheme="majorHAnsi" w:hAnsiTheme="majorHAnsi" w:cstheme="majorHAnsi"/>
          <w:b/>
          <w:lang w:val="ro-RO"/>
        </w:rPr>
        <w:t xml:space="preserve">impozitarea incorectă a </w:t>
      </w:r>
      <w:r w:rsidR="00FA2C7A" w:rsidRPr="00B4594D">
        <w:rPr>
          <w:rFonts w:asciiTheme="majorHAnsi" w:hAnsiTheme="majorHAnsi" w:cstheme="majorHAnsi"/>
          <w:b/>
          <w:lang w:val="ro-RO"/>
        </w:rPr>
        <w:t>tichetelo</w:t>
      </w:r>
      <w:r w:rsidR="00FA2C7A">
        <w:rPr>
          <w:rFonts w:asciiTheme="majorHAnsi" w:hAnsiTheme="majorHAnsi" w:cstheme="majorHAnsi"/>
          <w:b/>
          <w:lang w:val="ro-RO"/>
        </w:rPr>
        <w:t>r</w:t>
      </w:r>
      <w:r w:rsidR="009F7E72" w:rsidRPr="00B4594D">
        <w:rPr>
          <w:rFonts w:asciiTheme="majorHAnsi" w:hAnsiTheme="majorHAnsi" w:cstheme="majorHAnsi"/>
          <w:b/>
          <w:lang w:val="ro-RO"/>
        </w:rPr>
        <w:t xml:space="preserve"> cadou</w:t>
      </w:r>
      <w:r w:rsidR="009F7E72" w:rsidRPr="00B4594D">
        <w:rPr>
          <w:rFonts w:asciiTheme="majorHAnsi" w:hAnsiTheme="majorHAnsi" w:cstheme="majorHAnsi"/>
          <w:lang w:val="ro-RO"/>
        </w:rPr>
        <w:t xml:space="preserve">. </w:t>
      </w:r>
    </w:p>
    <w:p w14:paraId="53AD3C16" w14:textId="4A860E5C" w:rsidR="00581082" w:rsidRDefault="00683A92" w:rsidP="00D0433D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Concomitent</w:t>
      </w:r>
      <w:r w:rsidR="002F00EB" w:rsidRPr="00581082">
        <w:rPr>
          <w:rFonts w:asciiTheme="majorHAnsi" w:hAnsiTheme="majorHAnsi" w:cstheme="majorHAnsi"/>
          <w:lang w:val="ro-RO"/>
        </w:rPr>
        <w:t xml:space="preserve">, deficiențele identificate de Direcția generală control fiscal se referă </w:t>
      </w:r>
      <w:r w:rsidR="00581082">
        <w:rPr>
          <w:rFonts w:asciiTheme="majorHAnsi" w:hAnsiTheme="majorHAnsi" w:cstheme="majorHAnsi"/>
          <w:lang w:val="ro-RO"/>
        </w:rPr>
        <w:t xml:space="preserve">în principal </w:t>
      </w:r>
      <w:r w:rsidR="002F00EB" w:rsidRPr="00581082">
        <w:rPr>
          <w:rFonts w:asciiTheme="majorHAnsi" w:hAnsiTheme="majorHAnsi" w:cstheme="majorHAnsi"/>
          <w:lang w:val="ro-RO"/>
        </w:rPr>
        <w:t xml:space="preserve">la </w:t>
      </w:r>
      <w:r w:rsidR="00581082" w:rsidRPr="00B4594D">
        <w:rPr>
          <w:rFonts w:asciiTheme="majorHAnsi" w:hAnsiTheme="majorHAnsi" w:cstheme="majorHAnsi"/>
          <w:b/>
          <w:lang w:val="ro-RO"/>
        </w:rPr>
        <w:t>lipsa documentelor justificative pentru scutirea</w:t>
      </w:r>
      <w:r w:rsidR="002F00EB" w:rsidRPr="00B4594D">
        <w:rPr>
          <w:rFonts w:asciiTheme="majorHAnsi" w:hAnsiTheme="majorHAnsi" w:cstheme="majorHAnsi"/>
          <w:b/>
          <w:lang w:val="ro-RO"/>
        </w:rPr>
        <w:t xml:space="preserve"> de TVA</w:t>
      </w:r>
      <w:r w:rsidR="002F00EB" w:rsidRPr="00581082">
        <w:rPr>
          <w:rFonts w:asciiTheme="majorHAnsi" w:hAnsiTheme="majorHAnsi" w:cstheme="majorHAnsi"/>
          <w:lang w:val="ro-RO"/>
        </w:rPr>
        <w:t xml:space="preserve"> aferentă livrărilor intracomunitare de bunuri</w:t>
      </w:r>
      <w:r w:rsidR="0018370A">
        <w:rPr>
          <w:rFonts w:asciiTheme="majorHAnsi" w:hAnsiTheme="majorHAnsi" w:cstheme="majorHAnsi"/>
          <w:lang w:val="ro-RO"/>
        </w:rPr>
        <w:t xml:space="preserve">, </w:t>
      </w:r>
      <w:r w:rsidR="000D6FA3" w:rsidRPr="000D6FA3">
        <w:rPr>
          <w:rFonts w:asciiTheme="majorHAnsi" w:hAnsiTheme="majorHAnsi" w:cstheme="majorHAnsi"/>
          <w:b/>
          <w:lang w:val="ro-RO"/>
        </w:rPr>
        <w:t xml:space="preserve">deductibilitatea </w:t>
      </w:r>
      <w:r w:rsidR="000D6FA3">
        <w:rPr>
          <w:rFonts w:asciiTheme="majorHAnsi" w:hAnsiTheme="majorHAnsi" w:cstheme="majorHAnsi"/>
          <w:b/>
          <w:lang w:val="ro-RO"/>
        </w:rPr>
        <w:t>cheltuielilor</w:t>
      </w:r>
      <w:r>
        <w:rPr>
          <w:rFonts w:asciiTheme="majorHAnsi" w:hAnsiTheme="majorHAnsi" w:cstheme="majorHAnsi"/>
          <w:b/>
          <w:lang w:val="ro-RO"/>
        </w:rPr>
        <w:t xml:space="preserve"> cu serviciile</w:t>
      </w:r>
      <w:r w:rsidR="000D6FA3" w:rsidRPr="000D6FA3">
        <w:rPr>
          <w:rFonts w:asciiTheme="majorHAnsi" w:hAnsiTheme="majorHAnsi" w:cstheme="majorHAnsi"/>
          <w:b/>
          <w:lang w:val="ro-RO"/>
        </w:rPr>
        <w:t xml:space="preserve"> intra-grup</w:t>
      </w:r>
      <w:r w:rsidR="0018370A">
        <w:rPr>
          <w:rFonts w:asciiTheme="majorHAnsi" w:hAnsiTheme="majorHAnsi" w:cstheme="majorHAnsi"/>
          <w:lang w:val="ro-RO"/>
        </w:rPr>
        <w:t>,</w:t>
      </w:r>
      <w:r w:rsidR="00581082">
        <w:rPr>
          <w:rFonts w:asciiTheme="majorHAnsi" w:hAnsiTheme="majorHAnsi" w:cstheme="majorHAnsi"/>
          <w:lang w:val="ro-RO"/>
        </w:rPr>
        <w:t xml:space="preserve"> </w:t>
      </w:r>
      <w:r w:rsidR="00581082" w:rsidRPr="00B4594D">
        <w:rPr>
          <w:rFonts w:asciiTheme="majorHAnsi" w:hAnsiTheme="majorHAnsi" w:cstheme="majorHAnsi"/>
          <w:b/>
          <w:lang w:val="ro-RO"/>
        </w:rPr>
        <w:t>neîndeplinirea cerințelor legale p</w:t>
      </w:r>
      <w:r w:rsidR="00663476">
        <w:rPr>
          <w:rFonts w:asciiTheme="majorHAnsi" w:hAnsiTheme="majorHAnsi" w:cstheme="majorHAnsi"/>
          <w:b/>
          <w:lang w:val="ro-RO"/>
        </w:rPr>
        <w:t>rivind</w:t>
      </w:r>
      <w:r w:rsidR="00581082" w:rsidRPr="00B4594D">
        <w:rPr>
          <w:rFonts w:asciiTheme="majorHAnsi" w:hAnsiTheme="majorHAnsi" w:cstheme="majorHAnsi"/>
          <w:b/>
          <w:lang w:val="ro-RO"/>
        </w:rPr>
        <w:t xml:space="preserve"> </w:t>
      </w:r>
      <w:r w:rsidR="00581082" w:rsidRPr="00663476">
        <w:rPr>
          <w:rFonts w:asciiTheme="majorHAnsi" w:hAnsiTheme="majorHAnsi" w:cstheme="majorHAnsi"/>
          <w:b/>
          <w:lang w:val="ro-RO"/>
        </w:rPr>
        <w:t>reducerile comerciale acordate</w:t>
      </w:r>
      <w:r w:rsidR="00581082">
        <w:rPr>
          <w:rFonts w:asciiTheme="majorHAnsi" w:hAnsiTheme="majorHAnsi" w:cstheme="majorHAnsi"/>
          <w:lang w:val="ro-RO"/>
        </w:rPr>
        <w:t xml:space="preserve"> </w:t>
      </w:r>
      <w:r w:rsidR="00581082" w:rsidRPr="00581082">
        <w:rPr>
          <w:rFonts w:asciiTheme="majorHAnsi" w:hAnsiTheme="majorHAnsi" w:cstheme="majorHAnsi"/>
          <w:lang w:val="ro-RO"/>
        </w:rPr>
        <w:t>în funcție de volumul tranzacțiilor</w:t>
      </w:r>
      <w:r w:rsidR="0018370A" w:rsidRPr="002E1816">
        <w:rPr>
          <w:rFonts w:asciiTheme="majorHAnsi" w:hAnsiTheme="majorHAnsi" w:cstheme="majorHAnsi"/>
          <w:bCs/>
          <w:lang w:val="ro-RO"/>
        </w:rPr>
        <w:t>,</w:t>
      </w:r>
      <w:r w:rsidR="0018370A" w:rsidRPr="00B4594D">
        <w:rPr>
          <w:rFonts w:asciiTheme="majorHAnsi" w:hAnsiTheme="majorHAnsi" w:cstheme="majorHAnsi"/>
          <w:b/>
          <w:lang w:val="ro-RO"/>
        </w:rPr>
        <w:t xml:space="preserve"> </w:t>
      </w:r>
      <w:r w:rsidR="00581082" w:rsidRPr="00B4594D">
        <w:rPr>
          <w:rFonts w:asciiTheme="majorHAnsi" w:hAnsiTheme="majorHAnsi" w:cstheme="majorHAnsi"/>
          <w:b/>
          <w:lang w:val="ro-RO"/>
        </w:rPr>
        <w:t>neînregistrarea TVA colectat</w:t>
      </w:r>
      <w:r w:rsidR="00581082" w:rsidRPr="00B4594D">
        <w:rPr>
          <w:rFonts w:asciiTheme="majorHAnsi" w:hAnsiTheme="majorHAnsi" w:cstheme="majorHAnsi" w:hint="eastAsia"/>
          <w:b/>
          <w:lang w:val="ro-RO"/>
        </w:rPr>
        <w:t>ă</w:t>
      </w:r>
      <w:r w:rsidR="00581082" w:rsidRPr="00B4594D">
        <w:rPr>
          <w:rFonts w:asciiTheme="majorHAnsi" w:hAnsiTheme="majorHAnsi" w:cstheme="majorHAnsi"/>
          <w:b/>
          <w:lang w:val="ro-RO"/>
        </w:rPr>
        <w:t xml:space="preserve"> </w:t>
      </w:r>
      <w:r w:rsidR="00581082" w:rsidRPr="00581082">
        <w:rPr>
          <w:rFonts w:asciiTheme="majorHAnsi" w:hAnsiTheme="majorHAnsi" w:cstheme="majorHAnsi"/>
          <w:lang w:val="ro-RO"/>
        </w:rPr>
        <w:t>aferent</w:t>
      </w:r>
      <w:r w:rsidR="00581082" w:rsidRPr="00581082">
        <w:rPr>
          <w:rFonts w:asciiTheme="majorHAnsi" w:hAnsiTheme="majorHAnsi" w:cstheme="majorHAnsi" w:hint="eastAsia"/>
          <w:lang w:val="ro-RO"/>
        </w:rPr>
        <w:t>ă</w:t>
      </w:r>
      <w:r w:rsidR="00581082" w:rsidRPr="00581082">
        <w:rPr>
          <w:rFonts w:asciiTheme="majorHAnsi" w:hAnsiTheme="majorHAnsi" w:cstheme="majorHAnsi"/>
          <w:lang w:val="ro-RO"/>
        </w:rPr>
        <w:t xml:space="preserve"> veniturilor di</w:t>
      </w:r>
      <w:r w:rsidR="00663476">
        <w:rPr>
          <w:rFonts w:asciiTheme="majorHAnsi" w:hAnsiTheme="majorHAnsi" w:cstheme="majorHAnsi"/>
          <w:lang w:val="ro-RO"/>
        </w:rPr>
        <w:t>n transmisii video electronice</w:t>
      </w:r>
      <w:r w:rsidR="00970ED6">
        <w:rPr>
          <w:rFonts w:asciiTheme="majorHAnsi" w:hAnsiTheme="majorHAnsi" w:cstheme="majorHAnsi"/>
          <w:lang w:val="ro-RO"/>
        </w:rPr>
        <w:t>.</w:t>
      </w:r>
    </w:p>
    <w:p w14:paraId="335978B9" w14:textId="77777777" w:rsidR="00F71FE2" w:rsidRDefault="000C0677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În plus, campania de informare a ANAF se derulează și prin intermediul </w:t>
      </w:r>
      <w:r w:rsidR="000D6FA3">
        <w:rPr>
          <w:rFonts w:asciiTheme="majorHAnsi" w:hAnsiTheme="majorHAnsi" w:cstheme="majorHAnsi"/>
          <w:lang w:val="ro-RO"/>
        </w:rPr>
        <w:t>canalelor</w:t>
      </w:r>
      <w:r>
        <w:rPr>
          <w:rFonts w:asciiTheme="majorHAnsi" w:hAnsiTheme="majorHAnsi" w:cstheme="majorHAnsi"/>
          <w:lang w:val="ro-RO"/>
        </w:rPr>
        <w:t xml:space="preserve"> de comunicare </w:t>
      </w:r>
      <w:r w:rsidR="000D6FA3">
        <w:rPr>
          <w:rFonts w:asciiTheme="majorHAnsi" w:hAnsiTheme="majorHAnsi" w:cstheme="majorHAnsi"/>
          <w:lang w:val="ro-RO"/>
        </w:rPr>
        <w:t>electronică</w:t>
      </w:r>
      <w:r>
        <w:rPr>
          <w:rFonts w:asciiTheme="majorHAnsi" w:hAnsiTheme="majorHAnsi" w:cstheme="majorHAnsi"/>
          <w:lang w:val="ro-RO"/>
        </w:rPr>
        <w:t xml:space="preserve">, cum ar </w:t>
      </w:r>
      <w:r w:rsidRPr="000C0677">
        <w:rPr>
          <w:rFonts w:asciiTheme="majorHAnsi" w:hAnsiTheme="majorHAnsi" w:cstheme="majorHAnsi"/>
          <w:lang w:val="ro-RO"/>
        </w:rPr>
        <w:t xml:space="preserve">fi un </w:t>
      </w:r>
      <w:r w:rsidRPr="00B4594D">
        <w:rPr>
          <w:rFonts w:asciiTheme="majorHAnsi" w:hAnsiTheme="majorHAnsi" w:cstheme="majorHAnsi"/>
          <w:lang w:val="ro-RO"/>
        </w:rPr>
        <w:t>ca</w:t>
      </w:r>
      <w:r w:rsidR="00125664" w:rsidRPr="00B4594D">
        <w:rPr>
          <w:rFonts w:asciiTheme="majorHAnsi" w:hAnsiTheme="majorHAnsi" w:cstheme="majorHAnsi"/>
          <w:lang w:val="ro-RO"/>
        </w:rPr>
        <w:t xml:space="preserve">nal oficial de </w:t>
      </w:r>
      <w:proofErr w:type="spellStart"/>
      <w:r w:rsidR="00125664" w:rsidRPr="00B4594D">
        <w:rPr>
          <w:rFonts w:asciiTheme="majorHAnsi" w:hAnsiTheme="majorHAnsi" w:cstheme="majorHAnsi"/>
          <w:lang w:val="ro-RO"/>
        </w:rPr>
        <w:t>YouTube</w:t>
      </w:r>
      <w:proofErr w:type="spellEnd"/>
      <w:r w:rsidR="00125664" w:rsidRPr="00B4594D">
        <w:rPr>
          <w:rFonts w:asciiTheme="majorHAnsi" w:hAnsiTheme="majorHAnsi" w:cstheme="majorHAnsi"/>
          <w:lang w:val="ro-RO"/>
        </w:rPr>
        <w:t xml:space="preserve">, materialele video publicate </w:t>
      </w:r>
      <w:r w:rsidRPr="00B4594D">
        <w:rPr>
          <w:rFonts w:asciiTheme="majorHAnsi" w:hAnsiTheme="majorHAnsi" w:cstheme="majorHAnsi"/>
          <w:lang w:val="ro-RO"/>
        </w:rPr>
        <w:t>înregistrând peste</w:t>
      </w:r>
      <w:r w:rsidR="00125664" w:rsidRPr="00B4594D">
        <w:rPr>
          <w:rFonts w:asciiTheme="majorHAnsi" w:hAnsiTheme="majorHAnsi" w:cstheme="majorHAnsi"/>
          <w:lang w:val="ro-RO"/>
        </w:rPr>
        <w:t xml:space="preserve"> 4.800 de ore de vizionare, dar </w:t>
      </w:r>
      <w:r w:rsidRPr="00B4594D">
        <w:rPr>
          <w:rFonts w:asciiTheme="majorHAnsi" w:hAnsiTheme="majorHAnsi" w:cstheme="majorHAnsi"/>
          <w:lang w:val="ro-RO"/>
        </w:rPr>
        <w:t>ș</w:t>
      </w:r>
      <w:r w:rsidR="00125664" w:rsidRPr="00B4594D">
        <w:rPr>
          <w:rFonts w:asciiTheme="majorHAnsi" w:hAnsiTheme="majorHAnsi" w:cstheme="majorHAnsi"/>
          <w:lang w:val="ro-RO"/>
        </w:rPr>
        <w:t>i o pagin</w:t>
      </w:r>
      <w:r w:rsidRPr="00B4594D">
        <w:rPr>
          <w:rFonts w:asciiTheme="majorHAnsi" w:hAnsiTheme="majorHAnsi" w:cstheme="majorHAnsi"/>
          <w:lang w:val="ro-RO"/>
        </w:rPr>
        <w:t>ă</w:t>
      </w:r>
      <w:r w:rsidR="00125664" w:rsidRPr="00B4594D">
        <w:rPr>
          <w:rFonts w:asciiTheme="majorHAnsi" w:hAnsiTheme="majorHAnsi" w:cstheme="majorHAnsi"/>
          <w:lang w:val="ro-RO"/>
        </w:rPr>
        <w:t xml:space="preserve"> de Facebook cu peste 73.000 de urmăritori. De asemenea, până </w:t>
      </w:r>
      <w:r w:rsidRPr="00B4594D">
        <w:rPr>
          <w:rFonts w:asciiTheme="majorHAnsi" w:hAnsiTheme="majorHAnsi" w:cstheme="majorHAnsi"/>
          <w:lang w:val="ro-RO"/>
        </w:rPr>
        <w:t>în prezent,</w:t>
      </w:r>
      <w:r w:rsidR="00125664" w:rsidRPr="00B4594D">
        <w:rPr>
          <w:rFonts w:asciiTheme="majorHAnsi" w:hAnsiTheme="majorHAnsi" w:cstheme="majorHAnsi"/>
          <w:lang w:val="ro-RO"/>
        </w:rPr>
        <w:t xml:space="preserve"> au fost publicate pe site-ul instituției diferite ghiduri de îndrumare a contribuabililor</w:t>
      </w:r>
      <w:r w:rsidRPr="00B4594D">
        <w:rPr>
          <w:rFonts w:asciiTheme="majorHAnsi" w:hAnsiTheme="majorHAnsi" w:cstheme="majorHAnsi"/>
          <w:lang w:val="ro-RO"/>
        </w:rPr>
        <w:t xml:space="preserve">, pentru a crește gradul de conformare voluntară. </w:t>
      </w:r>
    </w:p>
    <w:p w14:paraId="631F57EE" w14:textId="13E1CD58" w:rsidR="002D2279" w:rsidRDefault="006402DF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În concluzie</w:t>
      </w:r>
      <w:r w:rsidR="00201BA4" w:rsidRPr="00587AC5">
        <w:rPr>
          <w:rFonts w:asciiTheme="majorHAnsi" w:hAnsiTheme="majorHAnsi" w:cstheme="majorHAnsi"/>
          <w:lang w:val="ro-RO"/>
        </w:rPr>
        <w:t>,</w:t>
      </w:r>
      <w:r w:rsidR="007D75CD">
        <w:rPr>
          <w:rFonts w:asciiTheme="majorHAnsi" w:hAnsiTheme="majorHAnsi" w:cstheme="majorHAnsi"/>
          <w:lang w:val="ro-RO"/>
        </w:rPr>
        <w:t xml:space="preserve"> </w:t>
      </w:r>
      <w:r w:rsidR="0018370A">
        <w:rPr>
          <w:rFonts w:asciiTheme="majorHAnsi" w:hAnsiTheme="majorHAnsi" w:cstheme="majorHAnsi"/>
          <w:lang w:val="ro-RO"/>
        </w:rPr>
        <w:t xml:space="preserve">pentru atingerea </w:t>
      </w:r>
      <w:r w:rsidR="007D75CD">
        <w:rPr>
          <w:rFonts w:asciiTheme="majorHAnsi" w:hAnsiTheme="majorHAnsi" w:cstheme="majorHAnsi"/>
          <w:lang w:val="ro-RO"/>
        </w:rPr>
        <w:t>obiectivel</w:t>
      </w:r>
      <w:r w:rsidR="0018370A">
        <w:rPr>
          <w:rFonts w:asciiTheme="majorHAnsi" w:hAnsiTheme="majorHAnsi" w:cstheme="majorHAnsi"/>
          <w:lang w:val="ro-RO"/>
        </w:rPr>
        <w:t>or</w:t>
      </w:r>
      <w:r w:rsidR="007D75CD">
        <w:rPr>
          <w:rFonts w:asciiTheme="majorHAnsi" w:hAnsiTheme="majorHAnsi" w:cstheme="majorHAnsi"/>
          <w:lang w:val="ro-RO"/>
        </w:rPr>
        <w:t xml:space="preserve"> strategice stabilite până la finalul anului 2024, autoritatea fiscală acționează, pe de o parte,</w:t>
      </w:r>
      <w:r w:rsidR="00201BA4">
        <w:rPr>
          <w:rFonts w:asciiTheme="majorHAnsi" w:hAnsiTheme="majorHAnsi" w:cstheme="majorHAnsi"/>
          <w:lang w:val="ro-RO"/>
        </w:rPr>
        <w:t xml:space="preserve"> </w:t>
      </w:r>
      <w:r w:rsidR="000D6FA3">
        <w:rPr>
          <w:rFonts w:asciiTheme="majorHAnsi" w:hAnsiTheme="majorHAnsi" w:cstheme="majorHAnsi"/>
          <w:lang w:val="ro-RO"/>
        </w:rPr>
        <w:t>prin campanii</w:t>
      </w:r>
      <w:r w:rsidR="000D6FA3" w:rsidRPr="000D6FA3">
        <w:rPr>
          <w:rFonts w:asciiTheme="majorHAnsi" w:hAnsiTheme="majorHAnsi" w:cstheme="majorHAnsi"/>
          <w:lang w:val="ro-RO"/>
        </w:rPr>
        <w:t xml:space="preserve"> de informare a c</w:t>
      </w:r>
      <w:r w:rsidR="000D6FA3">
        <w:rPr>
          <w:rFonts w:asciiTheme="majorHAnsi" w:hAnsiTheme="majorHAnsi" w:cstheme="majorHAnsi"/>
          <w:lang w:val="ro-RO"/>
        </w:rPr>
        <w:t>ontribuabililor cu scopul de a stimula</w:t>
      </w:r>
      <w:r w:rsidR="000D6FA3" w:rsidRPr="000D6FA3">
        <w:rPr>
          <w:rFonts w:asciiTheme="majorHAnsi" w:hAnsiTheme="majorHAnsi" w:cstheme="majorHAnsi"/>
          <w:lang w:val="ro-RO"/>
        </w:rPr>
        <w:t xml:space="preserve"> conformarea voluntar</w:t>
      </w:r>
      <w:r w:rsidR="000D6FA3" w:rsidRPr="000D6FA3">
        <w:rPr>
          <w:rFonts w:asciiTheme="majorHAnsi" w:hAnsiTheme="majorHAnsi" w:cstheme="majorHAnsi" w:hint="eastAsia"/>
          <w:lang w:val="ro-RO"/>
        </w:rPr>
        <w:t>ă</w:t>
      </w:r>
      <w:r w:rsidR="000D6FA3" w:rsidRPr="000D6FA3">
        <w:rPr>
          <w:rFonts w:asciiTheme="majorHAnsi" w:hAnsiTheme="majorHAnsi" w:cstheme="majorHAnsi"/>
          <w:lang w:val="ro-RO"/>
        </w:rPr>
        <w:t xml:space="preserve"> și</w:t>
      </w:r>
      <w:r w:rsidR="00C40535">
        <w:rPr>
          <w:rFonts w:asciiTheme="majorHAnsi" w:hAnsiTheme="majorHAnsi" w:cstheme="majorHAnsi"/>
          <w:lang w:val="ro-RO"/>
        </w:rPr>
        <w:t>,</w:t>
      </w:r>
      <w:r w:rsidR="000D6FA3" w:rsidRPr="000D6FA3">
        <w:rPr>
          <w:rFonts w:asciiTheme="majorHAnsi" w:hAnsiTheme="majorHAnsi" w:cstheme="majorHAnsi"/>
          <w:lang w:val="ro-RO"/>
        </w:rPr>
        <w:t xml:space="preserve"> </w:t>
      </w:r>
      <w:r w:rsidR="007D75CD">
        <w:rPr>
          <w:rFonts w:asciiTheme="majorHAnsi" w:hAnsiTheme="majorHAnsi" w:cstheme="majorHAnsi"/>
          <w:lang w:val="ro-RO"/>
        </w:rPr>
        <w:t>pe de altă parte</w:t>
      </w:r>
      <w:r w:rsidR="00C40535">
        <w:rPr>
          <w:rFonts w:asciiTheme="majorHAnsi" w:hAnsiTheme="majorHAnsi" w:cstheme="majorHAnsi"/>
          <w:lang w:val="ro-RO"/>
        </w:rPr>
        <w:t>,</w:t>
      </w:r>
      <w:r w:rsidR="007D75CD">
        <w:rPr>
          <w:rFonts w:asciiTheme="majorHAnsi" w:hAnsiTheme="majorHAnsi" w:cstheme="majorHAnsi"/>
          <w:lang w:val="ro-RO"/>
        </w:rPr>
        <w:t xml:space="preserve"> prin intensificarea activității</w:t>
      </w:r>
      <w:r w:rsidR="00201BA4">
        <w:rPr>
          <w:rFonts w:asciiTheme="majorHAnsi" w:hAnsiTheme="majorHAnsi" w:cstheme="majorHAnsi"/>
          <w:lang w:val="ro-RO"/>
        </w:rPr>
        <w:t xml:space="preserve"> de control</w:t>
      </w:r>
      <w:r w:rsidR="007D75CD">
        <w:rPr>
          <w:rFonts w:asciiTheme="majorHAnsi" w:hAnsiTheme="majorHAnsi" w:cstheme="majorHAnsi"/>
          <w:lang w:val="ro-RO"/>
        </w:rPr>
        <w:t xml:space="preserve"> fiscal</w:t>
      </w:r>
      <w:r w:rsidR="00201BA4">
        <w:rPr>
          <w:rFonts w:asciiTheme="majorHAnsi" w:hAnsiTheme="majorHAnsi" w:cstheme="majorHAnsi"/>
          <w:lang w:val="ro-RO"/>
        </w:rPr>
        <w:t xml:space="preserve"> pentru a reduce ev</w:t>
      </w:r>
      <w:r w:rsidR="005F346D">
        <w:rPr>
          <w:rFonts w:asciiTheme="majorHAnsi" w:hAnsiTheme="majorHAnsi" w:cstheme="majorHAnsi"/>
          <w:lang w:val="ro-RO"/>
        </w:rPr>
        <w:t>aziunea fiscală și, implicit, pentru a majora veniturile la bugetul de stat.</w:t>
      </w:r>
    </w:p>
    <w:p w14:paraId="110F48AA" w14:textId="103239DD" w:rsidR="008F1995" w:rsidRDefault="00C40535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În acelaș</w:t>
      </w:r>
      <w:r w:rsidR="008F1995">
        <w:rPr>
          <w:rFonts w:asciiTheme="majorHAnsi" w:hAnsiTheme="majorHAnsi" w:cstheme="majorHAnsi"/>
          <w:lang w:val="ro-RO"/>
        </w:rPr>
        <w:t xml:space="preserve">i timp, părțile implicate se </w:t>
      </w:r>
      <w:r w:rsidR="00F42227">
        <w:rPr>
          <w:rFonts w:asciiTheme="majorHAnsi" w:hAnsiTheme="majorHAnsi" w:cstheme="majorHAnsi"/>
          <w:lang w:val="ro-RO"/>
        </w:rPr>
        <w:t>aște</w:t>
      </w:r>
      <w:r w:rsidR="008F1995">
        <w:rPr>
          <w:rFonts w:asciiTheme="majorHAnsi" w:hAnsiTheme="majorHAnsi" w:cstheme="majorHAnsi"/>
          <w:lang w:val="ro-RO"/>
        </w:rPr>
        <w:t>a</w:t>
      </w:r>
      <w:r w:rsidR="00F42227">
        <w:rPr>
          <w:rFonts w:asciiTheme="majorHAnsi" w:hAnsiTheme="majorHAnsi" w:cstheme="majorHAnsi"/>
          <w:lang w:val="ro-RO"/>
        </w:rPr>
        <w:t>pt</w:t>
      </w:r>
      <w:r w:rsidR="008F1995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</w:t>
      </w:r>
      <w:r w:rsidR="00F42227">
        <w:rPr>
          <w:rFonts w:asciiTheme="majorHAnsi" w:hAnsiTheme="majorHAnsi" w:cstheme="majorHAnsi"/>
          <w:lang w:val="ro-RO"/>
        </w:rPr>
        <w:t>ca</w:t>
      </w:r>
      <w:r>
        <w:rPr>
          <w:rFonts w:asciiTheme="majorHAnsi" w:hAnsiTheme="majorHAnsi" w:cstheme="majorHAnsi"/>
          <w:lang w:val="ro-RO"/>
        </w:rPr>
        <w:t>,</w:t>
      </w:r>
      <w:r w:rsidR="007D75CD" w:rsidRPr="00125664">
        <w:rPr>
          <w:rFonts w:asciiTheme="majorHAnsi" w:hAnsiTheme="majorHAnsi" w:cstheme="majorHAnsi"/>
          <w:lang w:val="ro-RO"/>
        </w:rPr>
        <w:t xml:space="preserve"> odată cu</w:t>
      </w:r>
      <w:r>
        <w:rPr>
          <w:rFonts w:asciiTheme="majorHAnsi" w:hAnsiTheme="majorHAnsi" w:cstheme="majorHAnsi"/>
          <w:lang w:val="ro-RO"/>
        </w:rPr>
        <w:t xml:space="preserve"> implementarea completă </w:t>
      </w:r>
      <w:r w:rsidR="007D75CD" w:rsidRPr="00125664">
        <w:rPr>
          <w:rFonts w:asciiTheme="majorHAnsi" w:hAnsiTheme="majorHAnsi" w:cstheme="majorHAnsi"/>
          <w:lang w:val="ro-RO"/>
        </w:rPr>
        <w:t xml:space="preserve">a </w:t>
      </w:r>
      <w:r>
        <w:rPr>
          <w:rFonts w:asciiTheme="majorHAnsi" w:hAnsiTheme="majorHAnsi" w:cstheme="majorHAnsi"/>
          <w:lang w:val="ro-RO"/>
        </w:rPr>
        <w:t>soluțiilor digitale de raportare,</w:t>
      </w:r>
      <w:r w:rsidR="007D75CD">
        <w:rPr>
          <w:rFonts w:asciiTheme="majorHAnsi" w:hAnsiTheme="majorHAnsi" w:cstheme="majorHAnsi"/>
          <w:lang w:val="ro-RO"/>
        </w:rPr>
        <w:t xml:space="preserve"> </w:t>
      </w:r>
      <w:r w:rsidR="008F1995">
        <w:rPr>
          <w:rFonts w:asciiTheme="majorHAnsi" w:hAnsiTheme="majorHAnsi" w:cstheme="majorHAnsi"/>
          <w:lang w:val="ro-RO"/>
        </w:rPr>
        <w:t xml:space="preserve">tot mai multe </w:t>
      </w:r>
      <w:r w:rsidR="007D75CD">
        <w:rPr>
          <w:rFonts w:asciiTheme="majorHAnsi" w:hAnsiTheme="majorHAnsi" w:cstheme="majorHAnsi"/>
          <w:lang w:val="ro-RO"/>
        </w:rPr>
        <w:t>controale</w:t>
      </w:r>
      <w:r w:rsidR="008F1995">
        <w:rPr>
          <w:rFonts w:asciiTheme="majorHAnsi" w:hAnsiTheme="majorHAnsi" w:cstheme="majorHAnsi"/>
          <w:lang w:val="ro-RO"/>
        </w:rPr>
        <w:t xml:space="preserve"> să se deruleze</w:t>
      </w:r>
      <w:r w:rsidR="003641B2">
        <w:rPr>
          <w:rFonts w:asciiTheme="majorHAnsi" w:hAnsiTheme="majorHAnsi" w:cstheme="majorHAnsi"/>
          <w:lang w:val="ro-RO"/>
        </w:rPr>
        <w:t xml:space="preserve"> la distanță</w:t>
      </w:r>
      <w:r w:rsidR="00587AC5">
        <w:rPr>
          <w:rFonts w:asciiTheme="majorHAnsi" w:hAnsiTheme="majorHAnsi" w:cstheme="majorHAnsi"/>
          <w:lang w:val="ro-RO"/>
        </w:rPr>
        <w:t>, f</w:t>
      </w:r>
      <w:r w:rsidR="0051326B">
        <w:rPr>
          <w:rFonts w:asciiTheme="majorHAnsi" w:hAnsiTheme="majorHAnsi" w:cstheme="majorHAnsi"/>
          <w:lang w:val="ro-RO"/>
        </w:rPr>
        <w:t>inalitatea acestor demersuri urmând a se concretiza în eficientizarea activității de control atât pentru contribuabil</w:t>
      </w:r>
      <w:r w:rsidR="00587AC5">
        <w:rPr>
          <w:rFonts w:asciiTheme="majorHAnsi" w:hAnsiTheme="majorHAnsi" w:cstheme="majorHAnsi"/>
          <w:lang w:val="ro-RO"/>
        </w:rPr>
        <w:t>i</w:t>
      </w:r>
      <w:r w:rsidR="006402DF">
        <w:rPr>
          <w:rFonts w:asciiTheme="majorHAnsi" w:hAnsiTheme="majorHAnsi" w:cstheme="majorHAnsi"/>
          <w:lang w:val="ro-RO"/>
        </w:rPr>
        <w:t>,</w:t>
      </w:r>
      <w:r w:rsidR="0051326B">
        <w:rPr>
          <w:rFonts w:asciiTheme="majorHAnsi" w:hAnsiTheme="majorHAnsi" w:cstheme="majorHAnsi"/>
          <w:lang w:val="ro-RO"/>
        </w:rPr>
        <w:t xml:space="preserve"> cât și pentru autoritățile fiscale. </w:t>
      </w:r>
      <w:r w:rsidR="00F42227">
        <w:rPr>
          <w:rFonts w:asciiTheme="majorHAnsi" w:hAnsiTheme="majorHAnsi" w:cstheme="majorHAnsi"/>
          <w:lang w:val="ro-RO"/>
        </w:rPr>
        <w:t xml:space="preserve">Rămâne de văzut </w:t>
      </w:r>
      <w:r w:rsidR="008F1995">
        <w:rPr>
          <w:rFonts w:asciiTheme="majorHAnsi" w:hAnsiTheme="majorHAnsi" w:cstheme="majorHAnsi"/>
          <w:lang w:val="ro-RO"/>
        </w:rPr>
        <w:t xml:space="preserve">care este </w:t>
      </w:r>
      <w:r w:rsidR="00F42227">
        <w:rPr>
          <w:rFonts w:asciiTheme="majorHAnsi" w:hAnsiTheme="majorHAnsi" w:cstheme="majorHAnsi"/>
          <w:lang w:val="ro-RO"/>
        </w:rPr>
        <w:t xml:space="preserve">orizontul de timp în care </w:t>
      </w:r>
      <w:r w:rsidR="008F1995">
        <w:rPr>
          <w:rFonts w:asciiTheme="majorHAnsi" w:hAnsiTheme="majorHAnsi" w:cstheme="majorHAnsi"/>
          <w:lang w:val="ro-RO"/>
        </w:rPr>
        <w:t xml:space="preserve">această abordare va deveni predominantă. </w:t>
      </w:r>
    </w:p>
    <w:p w14:paraId="12634ABF" w14:textId="77777777" w:rsidR="000C0677" w:rsidRDefault="000C0677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06374294" w14:textId="77777777" w:rsidR="005F346D" w:rsidRDefault="005F346D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1101DC4B" w14:textId="77777777" w:rsidR="005F346D" w:rsidRPr="00125664" w:rsidRDefault="005F346D" w:rsidP="00D0433D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sectPr w:rsidR="005F346D" w:rsidRPr="00125664" w:rsidSect="007C7B0C">
      <w:headerReference w:type="default" r:id="rId7"/>
      <w:headerReference w:type="first" r:id="rId8"/>
      <w:footerReference w:type="first" r:id="rId9"/>
      <w:pgSz w:w="11901" w:h="16840" w:code="9"/>
      <w:pgMar w:top="1440" w:right="1134" w:bottom="454" w:left="1418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E9DB" w14:textId="77777777" w:rsidR="00066385" w:rsidRDefault="00066385" w:rsidP="0089130B">
      <w:pPr>
        <w:spacing w:line="240" w:lineRule="auto"/>
      </w:pPr>
      <w:r>
        <w:separator/>
      </w:r>
    </w:p>
  </w:endnote>
  <w:endnote w:type="continuationSeparator" w:id="0">
    <w:p w14:paraId="22C0E663" w14:textId="77777777" w:rsidR="00066385" w:rsidRDefault="00066385" w:rsidP="00891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AB38" w14:textId="77777777" w:rsidR="001615F5" w:rsidRPr="001615F5" w:rsidRDefault="00066385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5F8E" w14:textId="77777777" w:rsidR="00066385" w:rsidRDefault="00066385" w:rsidP="0089130B">
      <w:pPr>
        <w:spacing w:line="240" w:lineRule="auto"/>
      </w:pPr>
      <w:r>
        <w:separator/>
      </w:r>
    </w:p>
  </w:footnote>
  <w:footnote w:type="continuationSeparator" w:id="0">
    <w:p w14:paraId="64024401" w14:textId="77777777" w:rsidR="00066385" w:rsidRDefault="00066385" w:rsidP="00891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60AE" w14:textId="77777777" w:rsidR="003A0D61" w:rsidRDefault="001C5322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FF4DE35" wp14:editId="3FFD50CD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9A5" w14:textId="77777777" w:rsidR="006A0423" w:rsidRDefault="0006638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10023EA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4118F21" wp14:editId="60ACC9D7">
          <wp:simplePos x="0" y="0"/>
          <wp:positionH relativeFrom="column">
            <wp:posOffset>3868420</wp:posOffset>
          </wp:positionH>
          <wp:positionV relativeFrom="paragraph">
            <wp:posOffset>12700</wp:posOffset>
          </wp:positionV>
          <wp:extent cx="2221230" cy="1663700"/>
          <wp:effectExtent l="0" t="0" r="762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6E7ABB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FC829D3" wp14:editId="1CF97300">
          <wp:simplePos x="0" y="0"/>
          <wp:positionH relativeFrom="column">
            <wp:posOffset>-287020</wp:posOffset>
          </wp:positionH>
          <wp:positionV relativeFrom="paragraph">
            <wp:posOffset>230505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75704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</w:p>
  <w:p w14:paraId="2181F5DE" w14:textId="77777777" w:rsidR="00AF6CE1" w:rsidRDefault="0006638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11C20F15" w14:textId="77777777" w:rsidR="00BD4912" w:rsidRDefault="0006638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CC94C67" w14:textId="77777777" w:rsidR="00BD4912" w:rsidRDefault="0006638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3184F8F7" w14:textId="77777777" w:rsidR="00BD4912" w:rsidRDefault="0006638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54FE4A2" w14:textId="77777777" w:rsidR="005443B3" w:rsidRPr="001615F5" w:rsidRDefault="001C5322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28BD7755" wp14:editId="0797B16D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E6941" w14:textId="77777777" w:rsidR="006679A3" w:rsidRPr="00E57B68" w:rsidRDefault="00066385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C34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7ewIAAP4E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" o:allowincell="f" stroked="f">
              <v:textbox inset="0,0,0,0">
                <w:txbxContent>
                  <w:p w:rsidR="006679A3" w:rsidRPr="00E57B68" w:rsidRDefault="004C2318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A3F"/>
    <w:multiLevelType w:val="hybridMultilevel"/>
    <w:tmpl w:val="25C2FF6A"/>
    <w:lvl w:ilvl="0" w:tplc="EB60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2178C"/>
    <w:multiLevelType w:val="hybridMultilevel"/>
    <w:tmpl w:val="FA16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46CD"/>
    <w:multiLevelType w:val="hybridMultilevel"/>
    <w:tmpl w:val="D0AE6308"/>
    <w:lvl w:ilvl="0" w:tplc="EB60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31738">
    <w:abstractNumId w:val="2"/>
  </w:num>
  <w:num w:numId="2" w16cid:durableId="859004331">
    <w:abstractNumId w:val="0"/>
  </w:num>
  <w:num w:numId="3" w16cid:durableId="38391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65"/>
    <w:rsid w:val="000078B9"/>
    <w:rsid w:val="00024692"/>
    <w:rsid w:val="00042F0D"/>
    <w:rsid w:val="0004575D"/>
    <w:rsid w:val="00066385"/>
    <w:rsid w:val="00082BC1"/>
    <w:rsid w:val="000A166C"/>
    <w:rsid w:val="000C0371"/>
    <w:rsid w:val="000C0677"/>
    <w:rsid w:val="000D312D"/>
    <w:rsid w:val="000D6FA3"/>
    <w:rsid w:val="000E1D26"/>
    <w:rsid w:val="000E216E"/>
    <w:rsid w:val="000E3327"/>
    <w:rsid w:val="000F1E89"/>
    <w:rsid w:val="000F2111"/>
    <w:rsid w:val="0010120B"/>
    <w:rsid w:val="001014A5"/>
    <w:rsid w:val="00106AC2"/>
    <w:rsid w:val="00123817"/>
    <w:rsid w:val="00125664"/>
    <w:rsid w:val="0013571E"/>
    <w:rsid w:val="0014117C"/>
    <w:rsid w:val="00145682"/>
    <w:rsid w:val="001465B1"/>
    <w:rsid w:val="00147003"/>
    <w:rsid w:val="00152A50"/>
    <w:rsid w:val="00153833"/>
    <w:rsid w:val="00154571"/>
    <w:rsid w:val="001636AD"/>
    <w:rsid w:val="00164C4B"/>
    <w:rsid w:val="00164D87"/>
    <w:rsid w:val="00167D33"/>
    <w:rsid w:val="00172614"/>
    <w:rsid w:val="001809A7"/>
    <w:rsid w:val="0018370A"/>
    <w:rsid w:val="001B1377"/>
    <w:rsid w:val="001B1FB3"/>
    <w:rsid w:val="001B6820"/>
    <w:rsid w:val="001C2C4D"/>
    <w:rsid w:val="001C5322"/>
    <w:rsid w:val="001E5A41"/>
    <w:rsid w:val="001F1D22"/>
    <w:rsid w:val="00200B62"/>
    <w:rsid w:val="00201BA4"/>
    <w:rsid w:val="00215097"/>
    <w:rsid w:val="00280F5C"/>
    <w:rsid w:val="002974AE"/>
    <w:rsid w:val="002B26C4"/>
    <w:rsid w:val="002B695C"/>
    <w:rsid w:val="002D2279"/>
    <w:rsid w:val="002E1816"/>
    <w:rsid w:val="002F00EB"/>
    <w:rsid w:val="003126E0"/>
    <w:rsid w:val="003176F2"/>
    <w:rsid w:val="003318D5"/>
    <w:rsid w:val="00345E0F"/>
    <w:rsid w:val="00347249"/>
    <w:rsid w:val="00362616"/>
    <w:rsid w:val="003641B2"/>
    <w:rsid w:val="003662CD"/>
    <w:rsid w:val="003874D5"/>
    <w:rsid w:val="00390365"/>
    <w:rsid w:val="00390E23"/>
    <w:rsid w:val="003974AC"/>
    <w:rsid w:val="003A7487"/>
    <w:rsid w:val="003C6370"/>
    <w:rsid w:val="00406DB7"/>
    <w:rsid w:val="00411782"/>
    <w:rsid w:val="00424DD5"/>
    <w:rsid w:val="004311CF"/>
    <w:rsid w:val="00436249"/>
    <w:rsid w:val="00480728"/>
    <w:rsid w:val="004A3D70"/>
    <w:rsid w:val="004A69A2"/>
    <w:rsid w:val="004C2318"/>
    <w:rsid w:val="004E13A9"/>
    <w:rsid w:val="005062FA"/>
    <w:rsid w:val="0051326B"/>
    <w:rsid w:val="00536BA1"/>
    <w:rsid w:val="0055664C"/>
    <w:rsid w:val="00562031"/>
    <w:rsid w:val="00566241"/>
    <w:rsid w:val="00581082"/>
    <w:rsid w:val="00586373"/>
    <w:rsid w:val="00587AC5"/>
    <w:rsid w:val="005A1C5C"/>
    <w:rsid w:val="005A3E9D"/>
    <w:rsid w:val="005B6F65"/>
    <w:rsid w:val="005C307E"/>
    <w:rsid w:val="005C3B11"/>
    <w:rsid w:val="005C6A92"/>
    <w:rsid w:val="005C6F99"/>
    <w:rsid w:val="005F346D"/>
    <w:rsid w:val="00606D41"/>
    <w:rsid w:val="0061168F"/>
    <w:rsid w:val="006205FF"/>
    <w:rsid w:val="00623551"/>
    <w:rsid w:val="00637EA8"/>
    <w:rsid w:val="006402DF"/>
    <w:rsid w:val="006538DB"/>
    <w:rsid w:val="00653E78"/>
    <w:rsid w:val="00660462"/>
    <w:rsid w:val="00663476"/>
    <w:rsid w:val="0067589C"/>
    <w:rsid w:val="0067795A"/>
    <w:rsid w:val="00683743"/>
    <w:rsid w:val="00683A92"/>
    <w:rsid w:val="00683FA7"/>
    <w:rsid w:val="006C4BBE"/>
    <w:rsid w:val="006C71D1"/>
    <w:rsid w:val="006D0CF2"/>
    <w:rsid w:val="006E36BC"/>
    <w:rsid w:val="006E5DF3"/>
    <w:rsid w:val="006F6AA2"/>
    <w:rsid w:val="00701DC7"/>
    <w:rsid w:val="00703CFB"/>
    <w:rsid w:val="007102CA"/>
    <w:rsid w:val="00744B63"/>
    <w:rsid w:val="00746187"/>
    <w:rsid w:val="0077024E"/>
    <w:rsid w:val="00787DFC"/>
    <w:rsid w:val="007A5BF3"/>
    <w:rsid w:val="007C0E44"/>
    <w:rsid w:val="007D485E"/>
    <w:rsid w:val="007D75CD"/>
    <w:rsid w:val="007E1BEF"/>
    <w:rsid w:val="00804265"/>
    <w:rsid w:val="008212AA"/>
    <w:rsid w:val="00822A06"/>
    <w:rsid w:val="00826B39"/>
    <w:rsid w:val="00841045"/>
    <w:rsid w:val="00843514"/>
    <w:rsid w:val="0086493E"/>
    <w:rsid w:val="0087289A"/>
    <w:rsid w:val="00872C6F"/>
    <w:rsid w:val="0089130B"/>
    <w:rsid w:val="008A2C13"/>
    <w:rsid w:val="008D4033"/>
    <w:rsid w:val="008D5C33"/>
    <w:rsid w:val="008F1995"/>
    <w:rsid w:val="00900855"/>
    <w:rsid w:val="009101BC"/>
    <w:rsid w:val="00935C9F"/>
    <w:rsid w:val="0094175E"/>
    <w:rsid w:val="009512CB"/>
    <w:rsid w:val="00955CEA"/>
    <w:rsid w:val="00961C65"/>
    <w:rsid w:val="00966788"/>
    <w:rsid w:val="0096701E"/>
    <w:rsid w:val="00970ED6"/>
    <w:rsid w:val="009725F2"/>
    <w:rsid w:val="00996909"/>
    <w:rsid w:val="009A7059"/>
    <w:rsid w:val="009A7A94"/>
    <w:rsid w:val="009F7E72"/>
    <w:rsid w:val="00A05E9C"/>
    <w:rsid w:val="00A14076"/>
    <w:rsid w:val="00A3347A"/>
    <w:rsid w:val="00A352A8"/>
    <w:rsid w:val="00A41236"/>
    <w:rsid w:val="00A80A2A"/>
    <w:rsid w:val="00A84D2F"/>
    <w:rsid w:val="00A858EF"/>
    <w:rsid w:val="00A93B09"/>
    <w:rsid w:val="00AB11EF"/>
    <w:rsid w:val="00AB4333"/>
    <w:rsid w:val="00AB483A"/>
    <w:rsid w:val="00AB4F86"/>
    <w:rsid w:val="00AD7359"/>
    <w:rsid w:val="00B143DE"/>
    <w:rsid w:val="00B23DE3"/>
    <w:rsid w:val="00B37125"/>
    <w:rsid w:val="00B40E03"/>
    <w:rsid w:val="00B4594D"/>
    <w:rsid w:val="00B64857"/>
    <w:rsid w:val="00B8152B"/>
    <w:rsid w:val="00B826FC"/>
    <w:rsid w:val="00B835F8"/>
    <w:rsid w:val="00B873DF"/>
    <w:rsid w:val="00B95FB6"/>
    <w:rsid w:val="00BC0932"/>
    <w:rsid w:val="00BD207A"/>
    <w:rsid w:val="00C06F89"/>
    <w:rsid w:val="00C40535"/>
    <w:rsid w:val="00C5004F"/>
    <w:rsid w:val="00C5756E"/>
    <w:rsid w:val="00C60C04"/>
    <w:rsid w:val="00C674D9"/>
    <w:rsid w:val="00C84855"/>
    <w:rsid w:val="00CB45A0"/>
    <w:rsid w:val="00CB5293"/>
    <w:rsid w:val="00CC1D23"/>
    <w:rsid w:val="00CD70A8"/>
    <w:rsid w:val="00CE08EA"/>
    <w:rsid w:val="00CE7E62"/>
    <w:rsid w:val="00CF5AD0"/>
    <w:rsid w:val="00D0433D"/>
    <w:rsid w:val="00D10018"/>
    <w:rsid w:val="00D107DA"/>
    <w:rsid w:val="00D57330"/>
    <w:rsid w:val="00D7667B"/>
    <w:rsid w:val="00D95675"/>
    <w:rsid w:val="00DA047C"/>
    <w:rsid w:val="00DA68F2"/>
    <w:rsid w:val="00DB1AD8"/>
    <w:rsid w:val="00DB1B80"/>
    <w:rsid w:val="00DB58F1"/>
    <w:rsid w:val="00DC0072"/>
    <w:rsid w:val="00DC449A"/>
    <w:rsid w:val="00DF350F"/>
    <w:rsid w:val="00E026CE"/>
    <w:rsid w:val="00E24789"/>
    <w:rsid w:val="00E25FC8"/>
    <w:rsid w:val="00E45000"/>
    <w:rsid w:val="00E72373"/>
    <w:rsid w:val="00E85E0B"/>
    <w:rsid w:val="00ED3550"/>
    <w:rsid w:val="00EE6750"/>
    <w:rsid w:val="00EF0146"/>
    <w:rsid w:val="00F13928"/>
    <w:rsid w:val="00F42227"/>
    <w:rsid w:val="00F4774F"/>
    <w:rsid w:val="00F55065"/>
    <w:rsid w:val="00F55580"/>
    <w:rsid w:val="00F61840"/>
    <w:rsid w:val="00F642F5"/>
    <w:rsid w:val="00F67EB5"/>
    <w:rsid w:val="00F71FE2"/>
    <w:rsid w:val="00F84B22"/>
    <w:rsid w:val="00FA2C7A"/>
    <w:rsid w:val="00FA2E3C"/>
    <w:rsid w:val="00FA3A1C"/>
    <w:rsid w:val="00FB066A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197AC"/>
  <w15:chartTrackingRefBased/>
  <w15:docId w15:val="{D2C4BA1D-A30B-4DF7-9C77-F651CB1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64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A3E9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A3E9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3E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3E9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5A3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D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D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DE"/>
    <w:rPr>
      <w:rFonts w:ascii="Segoe UI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semiHidden/>
    <w:rsid w:val="0012566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125664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12566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5664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12566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styleId="Revision">
    <w:name w:val="Revision"/>
    <w:hidden/>
    <w:uiPriority w:val="99"/>
    <w:semiHidden/>
    <w:rsid w:val="003126E0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Anghel, Oana</dc:creator>
  <cp:keywords/>
  <dc:description/>
  <cp:lastModifiedBy>Anghel, Oana</cp:lastModifiedBy>
  <cp:revision>3</cp:revision>
  <dcterms:created xsi:type="dcterms:W3CDTF">2022-09-13T08:21:00Z</dcterms:created>
  <dcterms:modified xsi:type="dcterms:W3CDTF">2022-09-13T08:24:00Z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2022-08-29T14:48:07Z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dd57ffc2-3875-42db-9bda-3f5fb87778a6</vt:lpwstr>
  </property>
  <property fmtid="{D5CDD505-2E9C-101B-9397-08002B2CF9AE}" pid="8" name="MSIP_Label_ea60d57e-af5b-4752-ac57-3e4f28ca11dc_ContentBits">
    <vt:lpwstr>0</vt:lpwstr>
  </property>
</Properties>
</file>