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F4B81" w14:textId="77777777" w:rsidR="00AB7DC5" w:rsidRPr="00A03D94" w:rsidRDefault="00AB7DC5" w:rsidP="00AB7DC5">
      <w:pPr>
        <w:rPr>
          <w:rStyle w:val="y2iqfc"/>
          <w:rFonts w:asciiTheme="majorHAnsi" w:hAnsiTheme="majorHAnsi" w:cstheme="majorHAnsi"/>
          <w:color w:val="202124"/>
          <w:sz w:val="20"/>
          <w:szCs w:val="20"/>
          <w:lang w:val="ro-RO"/>
        </w:rPr>
      </w:pPr>
    </w:p>
    <w:p w14:paraId="1A9057D3" w14:textId="6ABF11FD" w:rsidR="00AB7DC5" w:rsidRPr="00036C15" w:rsidRDefault="00036C15" w:rsidP="00036C15">
      <w:pPr>
        <w:jc w:val="center"/>
        <w:rPr>
          <w:rStyle w:val="y2iqfc"/>
          <w:rFonts w:asciiTheme="majorHAnsi" w:hAnsiTheme="majorHAnsi" w:cstheme="majorHAnsi"/>
          <w:b/>
          <w:color w:val="202124"/>
          <w:sz w:val="24"/>
          <w:szCs w:val="24"/>
          <w:lang w:val="ro-RO"/>
        </w:rPr>
      </w:pPr>
      <w:r>
        <w:rPr>
          <w:rStyle w:val="y2iqfc"/>
          <w:rFonts w:asciiTheme="majorHAnsi" w:hAnsiTheme="majorHAnsi" w:cstheme="majorHAnsi"/>
          <w:b/>
          <w:color w:val="202124"/>
          <w:sz w:val="24"/>
          <w:szCs w:val="24"/>
          <w:lang w:val="ro-RO"/>
        </w:rPr>
        <w:t xml:space="preserve">Avem planuri mari de viitor. </w:t>
      </w:r>
      <w:r w:rsidRPr="00036C15">
        <w:rPr>
          <w:rStyle w:val="y2iqfc"/>
          <w:rFonts w:asciiTheme="majorHAnsi" w:hAnsiTheme="majorHAnsi" w:cstheme="majorHAnsi"/>
          <w:b/>
          <w:color w:val="202124"/>
          <w:sz w:val="24"/>
          <w:szCs w:val="24"/>
          <w:lang w:val="ro-RO"/>
        </w:rPr>
        <w:t>Cine le va implementa?</w:t>
      </w:r>
    </w:p>
    <w:p w14:paraId="2E8609D4" w14:textId="77777777" w:rsidR="00AB7DC5" w:rsidRPr="00A03D94" w:rsidRDefault="00AB7DC5" w:rsidP="00AB7DC5">
      <w:pPr>
        <w:rPr>
          <w:rStyle w:val="y2iqfc"/>
          <w:rFonts w:asciiTheme="majorHAnsi" w:hAnsiTheme="majorHAnsi" w:cstheme="majorHAnsi"/>
          <w:color w:val="202124"/>
          <w:sz w:val="20"/>
          <w:szCs w:val="20"/>
          <w:lang w:val="ro-RO"/>
        </w:rPr>
      </w:pPr>
    </w:p>
    <w:p w14:paraId="6733CB20" w14:textId="77777777" w:rsidR="00AB7DC5" w:rsidRPr="004A3974" w:rsidRDefault="00AB7DC5" w:rsidP="004A3974">
      <w:pPr>
        <w:spacing w:after="120" w:line="264" w:lineRule="auto"/>
        <w:jc w:val="both"/>
        <w:rPr>
          <w:rStyle w:val="y2iqfc"/>
          <w:rFonts w:asciiTheme="majorHAnsi" w:hAnsiTheme="majorHAnsi" w:cstheme="majorHAnsi"/>
          <w:i/>
          <w:color w:val="202124"/>
          <w:sz w:val="20"/>
          <w:szCs w:val="20"/>
          <w:lang w:val="ro-RO"/>
        </w:rPr>
      </w:pPr>
      <w:r w:rsidRPr="004A3974">
        <w:rPr>
          <w:rStyle w:val="y2iqfc"/>
          <w:rFonts w:asciiTheme="majorHAnsi" w:hAnsiTheme="majorHAnsi" w:cstheme="majorHAnsi"/>
          <w:i/>
          <w:color w:val="202124"/>
          <w:sz w:val="20"/>
          <w:szCs w:val="20"/>
          <w:lang w:val="ro-RO"/>
        </w:rPr>
        <w:t xml:space="preserve">Material de opinie de Monica Țariuc, Director Global </w:t>
      </w:r>
      <w:proofErr w:type="spellStart"/>
      <w:r w:rsidRPr="004A3974">
        <w:rPr>
          <w:rStyle w:val="y2iqfc"/>
          <w:rFonts w:asciiTheme="majorHAnsi" w:hAnsiTheme="majorHAnsi" w:cstheme="majorHAnsi"/>
          <w:i/>
          <w:color w:val="202124"/>
          <w:sz w:val="20"/>
          <w:szCs w:val="20"/>
          <w:lang w:val="ro-RO"/>
        </w:rPr>
        <w:t>Employer</w:t>
      </w:r>
      <w:proofErr w:type="spellEnd"/>
      <w:r w:rsidRPr="004A3974">
        <w:rPr>
          <w:rStyle w:val="y2iqfc"/>
          <w:rFonts w:asciiTheme="majorHAnsi" w:hAnsiTheme="majorHAnsi" w:cstheme="majorHAnsi"/>
          <w:i/>
          <w:color w:val="202124"/>
          <w:sz w:val="20"/>
          <w:szCs w:val="20"/>
          <w:lang w:val="ro-RO"/>
        </w:rPr>
        <w:t xml:space="preserve"> Services, Deloitte România</w:t>
      </w:r>
    </w:p>
    <w:p w14:paraId="6994DE0C" w14:textId="77777777" w:rsidR="00A23FAD" w:rsidRPr="004A3974" w:rsidRDefault="00A23FAD" w:rsidP="004A3974">
      <w:pPr>
        <w:spacing w:after="120" w:line="264" w:lineRule="auto"/>
        <w:jc w:val="both"/>
        <w:rPr>
          <w:rStyle w:val="y2iqfc"/>
          <w:rFonts w:asciiTheme="majorHAnsi" w:hAnsiTheme="majorHAnsi" w:cstheme="majorHAnsi"/>
          <w:color w:val="202124"/>
          <w:sz w:val="20"/>
          <w:szCs w:val="20"/>
          <w:lang w:val="ro-RO"/>
        </w:rPr>
      </w:pPr>
    </w:p>
    <w:p w14:paraId="490484E8" w14:textId="49D19561" w:rsidR="00AB7DC5" w:rsidRPr="004A3974" w:rsidRDefault="00A23FAD" w:rsidP="004A3974">
      <w:pPr>
        <w:spacing w:after="120" w:line="264" w:lineRule="auto"/>
        <w:jc w:val="both"/>
        <w:rPr>
          <w:rStyle w:val="y2iqfc"/>
          <w:rFonts w:asciiTheme="majorHAnsi" w:hAnsiTheme="majorHAnsi" w:cstheme="majorHAnsi"/>
          <w:color w:val="202124"/>
          <w:sz w:val="20"/>
          <w:szCs w:val="20"/>
          <w:lang w:val="ro-RO"/>
        </w:rPr>
      </w:pPr>
      <w:r w:rsidRPr="004A3974">
        <w:rPr>
          <w:rStyle w:val="y2iqfc"/>
          <w:rFonts w:asciiTheme="majorHAnsi" w:hAnsiTheme="majorHAnsi" w:cstheme="majorHAnsi"/>
          <w:color w:val="202124"/>
          <w:sz w:val="20"/>
          <w:szCs w:val="20"/>
          <w:lang w:val="ro-RO"/>
        </w:rPr>
        <w:t xml:space="preserve">Redresarea economică </w:t>
      </w:r>
      <w:r w:rsidR="00AB7DC5" w:rsidRPr="004A3974">
        <w:rPr>
          <w:rStyle w:val="y2iqfc"/>
          <w:rFonts w:asciiTheme="majorHAnsi" w:hAnsiTheme="majorHAnsi" w:cstheme="majorHAnsi"/>
          <w:color w:val="202124"/>
          <w:sz w:val="20"/>
          <w:szCs w:val="20"/>
          <w:lang w:val="ro-RO"/>
        </w:rPr>
        <w:t xml:space="preserve">post-pandemie captează atenția decidenților politici din întreaga lume în această perioadă. Se anunță planuri costisitoare și se avansează ținte ambițioase de atins peste 20, 30, 50 de ani, dar nu pare a se acorda o importanță suficientă celor care, mai devreme sau mai târziu, vor fi chemați să preia implementarea acestor planuri, să ducă la îndeplinire angajamentele și, nu în ultimul rând, să gestioneze adaptarea societății la evoluțiile viitoare. Studiul </w:t>
      </w:r>
      <w:hyperlink r:id="rId6" w:history="1">
        <w:r w:rsidR="00AB7DC5" w:rsidRPr="004A3974">
          <w:rPr>
            <w:rStyle w:val="Hyperlink"/>
            <w:rFonts w:asciiTheme="majorHAnsi" w:hAnsiTheme="majorHAnsi" w:cstheme="majorHAnsi"/>
            <w:b/>
            <w:sz w:val="20"/>
            <w:szCs w:val="20"/>
            <w:lang w:val="ro-RO"/>
          </w:rPr>
          <w:t xml:space="preserve">Youth </w:t>
        </w:r>
        <w:proofErr w:type="spellStart"/>
        <w:r w:rsidR="00AB7DC5" w:rsidRPr="004A3974">
          <w:rPr>
            <w:rStyle w:val="Hyperlink"/>
            <w:rFonts w:asciiTheme="majorHAnsi" w:hAnsiTheme="majorHAnsi" w:cstheme="majorHAnsi"/>
            <w:b/>
            <w:sz w:val="20"/>
            <w:szCs w:val="20"/>
            <w:lang w:val="ro-RO"/>
          </w:rPr>
          <w:t>Progress</w:t>
        </w:r>
        <w:proofErr w:type="spellEnd"/>
        <w:r w:rsidR="00AB7DC5" w:rsidRPr="004A3974">
          <w:rPr>
            <w:rStyle w:val="Hyperlink"/>
            <w:rFonts w:asciiTheme="majorHAnsi" w:hAnsiTheme="majorHAnsi" w:cstheme="majorHAnsi"/>
            <w:b/>
            <w:sz w:val="20"/>
            <w:szCs w:val="20"/>
            <w:lang w:val="ro-RO"/>
          </w:rPr>
          <w:t xml:space="preserve"> Report 2021</w:t>
        </w:r>
      </w:hyperlink>
      <w:r w:rsidR="00AB7DC5" w:rsidRPr="004A3974">
        <w:rPr>
          <w:rStyle w:val="y2iqfc"/>
          <w:rFonts w:asciiTheme="majorHAnsi" w:hAnsiTheme="majorHAnsi" w:cstheme="majorHAnsi"/>
          <w:color w:val="202124"/>
          <w:sz w:val="20"/>
          <w:szCs w:val="20"/>
          <w:lang w:val="ro-RO"/>
        </w:rPr>
        <w:t xml:space="preserve"> readuce în </w:t>
      </w:r>
      <w:bookmarkStart w:id="0" w:name="_GoBack"/>
      <w:bookmarkEnd w:id="0"/>
      <w:r w:rsidR="00AB7DC5" w:rsidRPr="004A3974">
        <w:rPr>
          <w:rStyle w:val="y2iqfc"/>
          <w:rFonts w:asciiTheme="majorHAnsi" w:hAnsiTheme="majorHAnsi" w:cstheme="majorHAnsi"/>
          <w:color w:val="202124"/>
          <w:sz w:val="20"/>
          <w:szCs w:val="20"/>
          <w:lang w:val="ro-RO"/>
        </w:rPr>
        <w:t xml:space="preserve">atenția factorilor de decizie o vulnerabilitate cu rădăcini adânci în societatea globală – accesul tinerilor la piața muncii, la oportunități reale de învățare și de dezvoltare personală. O vulnerabilitate care, în loc să se atenueze, s-a agravat în perioada pandemiei de COVID-19. </w:t>
      </w:r>
    </w:p>
    <w:p w14:paraId="4D6BA2E7" w14:textId="06243AFB" w:rsidR="00AB7DC5" w:rsidRPr="004A3974" w:rsidRDefault="00AB7DC5" w:rsidP="004A3974">
      <w:pPr>
        <w:spacing w:after="120" w:line="264" w:lineRule="auto"/>
        <w:jc w:val="both"/>
        <w:rPr>
          <w:rStyle w:val="y2iqfc"/>
          <w:rFonts w:asciiTheme="majorHAnsi" w:hAnsiTheme="majorHAnsi" w:cstheme="majorHAnsi"/>
          <w:color w:val="202124"/>
          <w:sz w:val="20"/>
          <w:szCs w:val="20"/>
          <w:lang w:val="ro-RO"/>
        </w:rPr>
      </w:pPr>
      <w:r w:rsidRPr="004A3974">
        <w:rPr>
          <w:rStyle w:val="y2iqfc"/>
          <w:rFonts w:asciiTheme="majorHAnsi" w:hAnsiTheme="majorHAnsi" w:cstheme="majorHAnsi"/>
          <w:color w:val="202124"/>
          <w:sz w:val="20"/>
          <w:szCs w:val="20"/>
          <w:lang w:val="ro-RO"/>
        </w:rPr>
        <w:t xml:space="preserve">Realizatorii studiului, care analizează datele disponibile pe ultimii zece ani, remarcă faptul că tinerii continuă să fie afectați în mod disproporționat de șomaj, cel puțin de la criza financiară din 2008 încoace, de calitatea tot mai slabă a ofertelor de muncă și de accesul limitat la instruire. Pandemia a contribuit la adâncirea acestor probleme - șomajul în rândul tinerilor a crescut de la 13% în 2019 la 16,5% în 2020, de peste două ori mai repede decât în cazul adulților (de la 5,5% în 2019 la 7% în 2020). Și aceasta nu este singura problemă. Studiul constată că din cei 429 de milioane de tineri care muncesc în întreaga lume, aproximativ 55 de milioane (13%) suferă </w:t>
      </w:r>
      <w:r w:rsidR="00D55977" w:rsidRPr="004A3974">
        <w:rPr>
          <w:rStyle w:val="y2iqfc"/>
          <w:rFonts w:asciiTheme="majorHAnsi" w:hAnsiTheme="majorHAnsi" w:cstheme="majorHAnsi"/>
          <w:color w:val="202124"/>
          <w:sz w:val="20"/>
          <w:szCs w:val="20"/>
          <w:lang w:val="ro-RO"/>
        </w:rPr>
        <w:t xml:space="preserve">de </w:t>
      </w:r>
      <w:r w:rsidRPr="004A3974">
        <w:rPr>
          <w:rStyle w:val="y2iqfc"/>
          <w:rFonts w:asciiTheme="majorHAnsi" w:hAnsiTheme="majorHAnsi" w:cstheme="majorHAnsi"/>
          <w:color w:val="202124"/>
          <w:sz w:val="20"/>
          <w:szCs w:val="20"/>
          <w:lang w:val="ro-RO"/>
        </w:rPr>
        <w:t xml:space="preserve">sărăcie extremă, în timp ce 71 de milioane (17%) trăiesc în sărăcie moderată. Mai mult, faptul că trei din patru tineri lucrători din întreaga lume munceau în economia informală în 2016 arată amploarea </w:t>
      </w:r>
      <w:r w:rsidR="00414C93" w:rsidRPr="004A3974">
        <w:rPr>
          <w:rStyle w:val="y2iqfc"/>
          <w:rFonts w:asciiTheme="majorHAnsi" w:hAnsiTheme="majorHAnsi" w:cstheme="majorHAnsi"/>
          <w:color w:val="202124"/>
          <w:sz w:val="20"/>
          <w:szCs w:val="20"/>
          <w:lang w:val="ro-RO"/>
        </w:rPr>
        <w:t>fenomenului</w:t>
      </w:r>
      <w:r w:rsidRPr="004A3974">
        <w:rPr>
          <w:rStyle w:val="y2iqfc"/>
          <w:rFonts w:asciiTheme="majorHAnsi" w:hAnsiTheme="majorHAnsi" w:cstheme="majorHAnsi"/>
          <w:color w:val="202124"/>
          <w:sz w:val="20"/>
          <w:szCs w:val="20"/>
          <w:lang w:val="ro-RO"/>
        </w:rPr>
        <w:t xml:space="preserve">. </w:t>
      </w:r>
    </w:p>
    <w:p w14:paraId="355563F7" w14:textId="19CAF486" w:rsidR="00AB7DC5" w:rsidRPr="004A3974" w:rsidRDefault="00AB7DC5" w:rsidP="004A3974">
      <w:pPr>
        <w:spacing w:after="120" w:line="264" w:lineRule="auto"/>
        <w:jc w:val="both"/>
        <w:rPr>
          <w:rStyle w:val="y2iqfc"/>
          <w:rFonts w:asciiTheme="majorHAnsi" w:hAnsiTheme="majorHAnsi" w:cstheme="majorHAnsi"/>
          <w:color w:val="202124"/>
          <w:sz w:val="20"/>
          <w:szCs w:val="20"/>
          <w:lang w:val="ro-RO"/>
        </w:rPr>
      </w:pPr>
      <w:r w:rsidRPr="004A3974">
        <w:rPr>
          <w:rStyle w:val="y2iqfc"/>
          <w:rFonts w:asciiTheme="majorHAnsi" w:hAnsiTheme="majorHAnsi" w:cstheme="majorHAnsi"/>
          <w:color w:val="202124"/>
          <w:sz w:val="20"/>
          <w:szCs w:val="20"/>
          <w:lang w:val="ro-RO"/>
        </w:rPr>
        <w:lastRenderedPageBreak/>
        <w:t>În acest context, indicele de progres pentru tineri (</w:t>
      </w:r>
      <w:r w:rsidRPr="004A3974">
        <w:rPr>
          <w:rStyle w:val="y2iqfc"/>
          <w:rFonts w:asciiTheme="majorHAnsi" w:hAnsiTheme="majorHAnsi" w:cstheme="majorHAnsi"/>
          <w:i/>
          <w:color w:val="202124"/>
          <w:sz w:val="20"/>
          <w:szCs w:val="20"/>
          <w:lang w:val="ro-RO"/>
        </w:rPr>
        <w:t xml:space="preserve">Youth </w:t>
      </w:r>
      <w:proofErr w:type="spellStart"/>
      <w:r w:rsidRPr="004A3974">
        <w:rPr>
          <w:rStyle w:val="y2iqfc"/>
          <w:rFonts w:asciiTheme="majorHAnsi" w:hAnsiTheme="majorHAnsi" w:cstheme="majorHAnsi"/>
          <w:i/>
          <w:color w:val="202124"/>
          <w:sz w:val="20"/>
          <w:szCs w:val="20"/>
          <w:lang w:val="ro-RO"/>
        </w:rPr>
        <w:t>Progress</w:t>
      </w:r>
      <w:proofErr w:type="spellEnd"/>
      <w:r w:rsidRPr="004A3974">
        <w:rPr>
          <w:rStyle w:val="y2iqfc"/>
          <w:rFonts w:asciiTheme="majorHAnsi" w:hAnsiTheme="majorHAnsi" w:cstheme="majorHAnsi"/>
          <w:i/>
          <w:color w:val="202124"/>
          <w:sz w:val="20"/>
          <w:szCs w:val="20"/>
          <w:lang w:val="ro-RO"/>
        </w:rPr>
        <w:t xml:space="preserve"> Index</w:t>
      </w:r>
      <w:r w:rsidRPr="004A3974">
        <w:rPr>
          <w:rStyle w:val="y2iqfc"/>
          <w:rFonts w:asciiTheme="majorHAnsi" w:hAnsiTheme="majorHAnsi" w:cstheme="majorHAnsi"/>
          <w:color w:val="202124"/>
          <w:sz w:val="20"/>
          <w:szCs w:val="20"/>
          <w:lang w:val="ro-RO"/>
        </w:rPr>
        <w:t xml:space="preserve"> – Y</w:t>
      </w:r>
      <w:r w:rsidR="001C17FD" w:rsidRPr="004A3974">
        <w:rPr>
          <w:rStyle w:val="y2iqfc"/>
          <w:rFonts w:asciiTheme="majorHAnsi" w:hAnsiTheme="majorHAnsi" w:cstheme="majorHAnsi"/>
          <w:color w:val="202124"/>
          <w:sz w:val="20"/>
          <w:szCs w:val="20"/>
          <w:lang w:val="ro-RO"/>
        </w:rPr>
        <w:t>P</w:t>
      </w:r>
      <w:r w:rsidRPr="004A3974">
        <w:rPr>
          <w:rStyle w:val="y2iqfc"/>
          <w:rFonts w:asciiTheme="majorHAnsi" w:hAnsiTheme="majorHAnsi" w:cstheme="majorHAnsi"/>
          <w:color w:val="202124"/>
          <w:sz w:val="20"/>
          <w:szCs w:val="20"/>
          <w:lang w:val="ro-RO"/>
        </w:rPr>
        <w:t>I), calculat pe baza unu</w:t>
      </w:r>
      <w:r w:rsidR="00414C93" w:rsidRPr="004A3974">
        <w:rPr>
          <w:rStyle w:val="y2iqfc"/>
          <w:rFonts w:asciiTheme="majorHAnsi" w:hAnsiTheme="majorHAnsi" w:cstheme="majorHAnsi"/>
          <w:color w:val="202124"/>
          <w:sz w:val="20"/>
          <w:szCs w:val="20"/>
          <w:lang w:val="ro-RO"/>
        </w:rPr>
        <w:t>i</w:t>
      </w:r>
      <w:r w:rsidRPr="004A3974">
        <w:rPr>
          <w:rStyle w:val="y2iqfc"/>
          <w:rFonts w:asciiTheme="majorHAnsi" w:hAnsiTheme="majorHAnsi" w:cstheme="majorHAnsi"/>
          <w:color w:val="202124"/>
          <w:sz w:val="20"/>
          <w:szCs w:val="20"/>
          <w:lang w:val="ro-RO"/>
        </w:rPr>
        <w:t xml:space="preserve"> set de 58 de indicatori sociali și de mediu, </w:t>
      </w:r>
      <w:r w:rsidR="00D55977" w:rsidRPr="004A3974">
        <w:rPr>
          <w:rStyle w:val="y2iqfc"/>
          <w:rFonts w:asciiTheme="majorHAnsi" w:hAnsiTheme="majorHAnsi" w:cstheme="majorHAnsi"/>
          <w:color w:val="202124"/>
          <w:sz w:val="20"/>
          <w:szCs w:val="20"/>
          <w:lang w:val="ro-RO"/>
        </w:rPr>
        <w:t xml:space="preserve">determină </w:t>
      </w:r>
      <w:r w:rsidRPr="004A3974">
        <w:rPr>
          <w:rStyle w:val="y2iqfc"/>
          <w:rFonts w:asciiTheme="majorHAnsi" w:hAnsiTheme="majorHAnsi" w:cstheme="majorHAnsi"/>
          <w:color w:val="202124"/>
          <w:sz w:val="20"/>
          <w:szCs w:val="20"/>
          <w:lang w:val="ro-RO"/>
        </w:rPr>
        <w:t>nivelul calității vieții pentru tinerii din țările analizate, astfel că reprezintă un instrument extrem de util pentru factorii de decizie, responsabili cu elaborarea politi</w:t>
      </w:r>
      <w:r w:rsidR="00414C93" w:rsidRPr="004A3974">
        <w:rPr>
          <w:rStyle w:val="y2iqfc"/>
          <w:rFonts w:asciiTheme="majorHAnsi" w:hAnsiTheme="majorHAnsi" w:cstheme="majorHAnsi"/>
          <w:color w:val="202124"/>
          <w:sz w:val="20"/>
          <w:szCs w:val="20"/>
          <w:lang w:val="ro-RO"/>
        </w:rPr>
        <w:t>cilor cu impact asupra acestei generații</w:t>
      </w:r>
      <w:r w:rsidRPr="004A3974">
        <w:rPr>
          <w:rStyle w:val="y2iqfc"/>
          <w:rFonts w:asciiTheme="majorHAnsi" w:hAnsiTheme="majorHAnsi" w:cstheme="majorHAnsi"/>
          <w:color w:val="202124"/>
          <w:sz w:val="20"/>
          <w:szCs w:val="20"/>
          <w:lang w:val="ro-RO"/>
        </w:rPr>
        <w:t xml:space="preserve">. </w:t>
      </w:r>
    </w:p>
    <w:p w14:paraId="0DBAF067" w14:textId="77777777" w:rsidR="00D55977" w:rsidRPr="004A3974" w:rsidRDefault="00D55977" w:rsidP="004A3974">
      <w:pPr>
        <w:spacing w:after="120" w:line="264" w:lineRule="auto"/>
        <w:jc w:val="both"/>
        <w:rPr>
          <w:rStyle w:val="y2iqfc"/>
          <w:rFonts w:asciiTheme="majorHAnsi" w:hAnsiTheme="majorHAnsi" w:cstheme="majorHAnsi"/>
          <w:color w:val="202124"/>
          <w:sz w:val="20"/>
          <w:szCs w:val="20"/>
          <w:lang w:val="ro-RO"/>
        </w:rPr>
      </w:pPr>
    </w:p>
    <w:p w14:paraId="051E2875" w14:textId="27BD1E70" w:rsidR="00036C15" w:rsidRPr="004A3974" w:rsidRDefault="00036C15" w:rsidP="004A3974">
      <w:pPr>
        <w:spacing w:after="120" w:line="264" w:lineRule="auto"/>
        <w:jc w:val="both"/>
        <w:rPr>
          <w:rStyle w:val="y2iqfc"/>
          <w:rFonts w:asciiTheme="majorHAnsi" w:eastAsia="Times New Roman" w:hAnsiTheme="majorHAnsi" w:cstheme="majorHAnsi"/>
          <w:b/>
          <w:color w:val="202124"/>
          <w:sz w:val="20"/>
          <w:szCs w:val="20"/>
          <w:lang w:val="ro-RO"/>
        </w:rPr>
      </w:pPr>
      <w:r w:rsidRPr="004A3974">
        <w:rPr>
          <w:rStyle w:val="y2iqfc"/>
          <w:rFonts w:asciiTheme="majorHAnsi" w:hAnsiTheme="majorHAnsi" w:cstheme="majorHAnsi"/>
          <w:b/>
          <w:color w:val="202124"/>
          <w:sz w:val="20"/>
          <w:szCs w:val="20"/>
          <w:lang w:val="ro-RO"/>
        </w:rPr>
        <w:t>În ce condiții trăiește un tânăr tipic al zilelor noastre?</w:t>
      </w:r>
    </w:p>
    <w:p w14:paraId="2BD603BC" w14:textId="790E63EB" w:rsidR="00036C15" w:rsidRPr="004A3974" w:rsidRDefault="00AB7DC5" w:rsidP="004A3974">
      <w:pPr>
        <w:spacing w:after="120" w:line="264" w:lineRule="auto"/>
        <w:jc w:val="both"/>
        <w:rPr>
          <w:rStyle w:val="y2iqfc"/>
          <w:rFonts w:asciiTheme="majorHAnsi" w:hAnsiTheme="majorHAnsi" w:cstheme="majorHAnsi"/>
          <w:color w:val="202124"/>
          <w:sz w:val="20"/>
          <w:szCs w:val="20"/>
          <w:lang w:val="ro-RO"/>
        </w:rPr>
      </w:pPr>
      <w:r w:rsidRPr="004A3974">
        <w:rPr>
          <w:rStyle w:val="y2iqfc"/>
          <w:rFonts w:asciiTheme="majorHAnsi" w:hAnsiTheme="majorHAnsi" w:cstheme="majorHAnsi"/>
          <w:color w:val="202124"/>
          <w:sz w:val="20"/>
          <w:szCs w:val="20"/>
          <w:lang w:val="ro-RO"/>
        </w:rPr>
        <w:t>Studiul acoperă integral 150 de țări, inclusiv România, și încă 18 parțial. În 2021, cel mai ridicat scor este obținut de Norvegia - 95,8 puncte din 100 posibile</w:t>
      </w:r>
      <w:r w:rsidR="00177B50" w:rsidRPr="004A3974">
        <w:rPr>
          <w:rStyle w:val="y2iqfc"/>
          <w:rFonts w:asciiTheme="majorHAnsi" w:hAnsiTheme="majorHAnsi" w:cstheme="majorHAnsi"/>
          <w:color w:val="202124"/>
          <w:sz w:val="20"/>
          <w:szCs w:val="20"/>
          <w:lang w:val="ro-RO"/>
        </w:rPr>
        <w:t xml:space="preserve"> -</w:t>
      </w:r>
      <w:r w:rsidRPr="004A3974">
        <w:rPr>
          <w:rStyle w:val="y2iqfc"/>
          <w:rFonts w:asciiTheme="majorHAnsi" w:hAnsiTheme="majorHAnsi" w:cstheme="majorHAnsi"/>
          <w:color w:val="202124"/>
          <w:sz w:val="20"/>
          <w:szCs w:val="20"/>
          <w:lang w:val="ro-RO"/>
        </w:rPr>
        <w:t>, iar la polul opus se află Sudan</w:t>
      </w:r>
      <w:r w:rsidR="00D55977" w:rsidRPr="004A3974">
        <w:rPr>
          <w:rStyle w:val="y2iqfc"/>
          <w:rFonts w:asciiTheme="majorHAnsi" w:hAnsiTheme="majorHAnsi" w:cstheme="majorHAnsi"/>
          <w:color w:val="202124"/>
          <w:sz w:val="20"/>
          <w:szCs w:val="20"/>
          <w:lang w:val="ro-RO"/>
        </w:rPr>
        <w:t>,</w:t>
      </w:r>
      <w:r w:rsidRPr="004A3974">
        <w:rPr>
          <w:rStyle w:val="y2iqfc"/>
          <w:rFonts w:asciiTheme="majorHAnsi" w:hAnsiTheme="majorHAnsi" w:cstheme="majorHAnsi"/>
          <w:color w:val="202124"/>
          <w:sz w:val="20"/>
          <w:szCs w:val="20"/>
          <w:lang w:val="ro-RO"/>
        </w:rPr>
        <w:t xml:space="preserve"> cu puțin peste 20 de puncte. </w:t>
      </w:r>
    </w:p>
    <w:p w14:paraId="3335DD16" w14:textId="54106569" w:rsidR="00BE6F7C" w:rsidRPr="004A3974" w:rsidRDefault="00BE6F7C" w:rsidP="004A3974">
      <w:pPr>
        <w:spacing w:after="120" w:line="264" w:lineRule="auto"/>
        <w:jc w:val="both"/>
        <w:rPr>
          <w:rStyle w:val="y2iqfc"/>
          <w:rFonts w:asciiTheme="majorHAnsi" w:hAnsiTheme="majorHAnsi" w:cstheme="majorHAnsi"/>
          <w:sz w:val="20"/>
          <w:szCs w:val="20"/>
          <w:lang w:val="ro-RO"/>
        </w:rPr>
      </w:pPr>
      <w:r w:rsidRPr="004A3974">
        <w:rPr>
          <w:rStyle w:val="y2iqfc"/>
          <w:rFonts w:asciiTheme="majorHAnsi" w:hAnsiTheme="majorHAnsi" w:cstheme="majorHAnsi"/>
          <w:b/>
          <w:color w:val="202124"/>
          <w:sz w:val="20"/>
          <w:szCs w:val="20"/>
          <w:lang w:val="ro-RO"/>
        </w:rPr>
        <w:t>România, pe locul 45 din cele 150 de țări analizate</w:t>
      </w:r>
      <w:r w:rsidRPr="004A3974">
        <w:rPr>
          <w:rStyle w:val="y2iqfc"/>
          <w:rFonts w:asciiTheme="majorHAnsi" w:hAnsiTheme="majorHAnsi" w:cstheme="majorHAnsi"/>
          <w:color w:val="202124"/>
          <w:sz w:val="20"/>
          <w:szCs w:val="20"/>
          <w:lang w:val="ro-RO"/>
        </w:rPr>
        <w:t xml:space="preserve">, cu un scor general de 73,67, este peste media globală, dar sensibil sub cea europeană (85,81). Țara noastră este menționată cu câteva aspecte pozitive, dar la multe capitole se află încă în partea de jos a clasamentului european. Spre exemplu, este plasată alături de </w:t>
      </w:r>
      <w:r w:rsidRPr="004A3974">
        <w:rPr>
          <w:rFonts w:asciiTheme="majorHAnsi" w:hAnsiTheme="majorHAnsi" w:cstheme="majorHAnsi"/>
          <w:sz w:val="20"/>
          <w:szCs w:val="20"/>
          <w:lang w:val="ro-RO"/>
        </w:rPr>
        <w:t>Croația și Olanda, printre țările care au posibilitatea să ofere tinerilor locuințe de o calitate mai bună, având în vedere că dețin mijloacele economice necesare.</w:t>
      </w:r>
      <w:r w:rsidRPr="004A3974">
        <w:rPr>
          <w:rStyle w:val="y2iqfc"/>
          <w:rFonts w:asciiTheme="majorHAnsi" w:hAnsiTheme="majorHAnsi" w:cstheme="majorHAnsi"/>
          <w:color w:val="202124"/>
          <w:sz w:val="20"/>
          <w:szCs w:val="20"/>
          <w:lang w:val="ro-RO"/>
        </w:rPr>
        <w:t xml:space="preserve"> Pe de altă parte, este în plutonul codaș la indicatori precum </w:t>
      </w:r>
      <w:r w:rsidRPr="004A3974">
        <w:rPr>
          <w:rFonts w:asciiTheme="majorHAnsi" w:hAnsiTheme="majorHAnsi" w:cstheme="majorHAnsi"/>
          <w:sz w:val="20"/>
          <w:szCs w:val="20"/>
          <w:lang w:val="ro-RO"/>
        </w:rPr>
        <w:t xml:space="preserve">furnizarea apei potabile și a canalizării, accesul la cunoștințe de bază și educație sau în privința incluziunii. </w:t>
      </w:r>
    </w:p>
    <w:p w14:paraId="29C27BA1" w14:textId="6028BA90" w:rsidR="00AB7DC5" w:rsidRPr="004A3974" w:rsidRDefault="00AB7DC5" w:rsidP="004A3974">
      <w:pPr>
        <w:spacing w:after="120" w:line="264" w:lineRule="auto"/>
        <w:jc w:val="both"/>
        <w:rPr>
          <w:rStyle w:val="y2iqfc"/>
          <w:rFonts w:asciiTheme="majorHAnsi" w:hAnsiTheme="majorHAnsi" w:cstheme="majorHAnsi"/>
          <w:color w:val="202124"/>
          <w:sz w:val="20"/>
          <w:szCs w:val="20"/>
          <w:lang w:val="ro-RO"/>
        </w:rPr>
      </w:pPr>
      <w:r w:rsidRPr="004A3974">
        <w:rPr>
          <w:rStyle w:val="y2iqfc"/>
          <w:rFonts w:asciiTheme="majorHAnsi" w:hAnsiTheme="majorHAnsi" w:cstheme="majorHAnsi"/>
          <w:color w:val="202124"/>
          <w:sz w:val="20"/>
          <w:szCs w:val="20"/>
          <w:lang w:val="ro-RO"/>
        </w:rPr>
        <w:t xml:space="preserve">Per total, din studiu reiese că, dacă lumea ar fi o țară, ar avea un </w:t>
      </w:r>
      <w:r w:rsidR="00D55977" w:rsidRPr="004A3974">
        <w:rPr>
          <w:rStyle w:val="y2iqfc"/>
          <w:rFonts w:asciiTheme="majorHAnsi" w:hAnsiTheme="majorHAnsi" w:cstheme="majorHAnsi"/>
          <w:color w:val="202124"/>
          <w:sz w:val="20"/>
          <w:szCs w:val="20"/>
          <w:lang w:val="ro-RO"/>
        </w:rPr>
        <w:t xml:space="preserve">indice de progres pentru tineri </w:t>
      </w:r>
      <w:r w:rsidRPr="004A3974">
        <w:rPr>
          <w:rStyle w:val="y2iqfc"/>
          <w:rFonts w:asciiTheme="majorHAnsi" w:hAnsiTheme="majorHAnsi" w:cstheme="majorHAnsi"/>
          <w:color w:val="202124"/>
          <w:sz w:val="20"/>
          <w:szCs w:val="20"/>
          <w:lang w:val="ro-RO"/>
        </w:rPr>
        <w:t xml:space="preserve">de 65,78, iar tânărul tipic al </w:t>
      </w:r>
      <w:r w:rsidRPr="004A3974">
        <w:rPr>
          <w:rFonts w:asciiTheme="majorHAnsi" w:hAnsiTheme="majorHAnsi" w:cstheme="majorHAnsi"/>
          <w:sz w:val="20"/>
          <w:szCs w:val="20"/>
          <w:lang w:val="ro-RO"/>
        </w:rPr>
        <w:t xml:space="preserve">zilelor noastre locuiește </w:t>
      </w:r>
      <w:r w:rsidRPr="004A3974">
        <w:rPr>
          <w:rStyle w:val="y2iqfc"/>
          <w:rFonts w:asciiTheme="majorHAnsi" w:hAnsiTheme="majorHAnsi" w:cstheme="majorHAnsi"/>
          <w:color w:val="202124"/>
          <w:sz w:val="20"/>
          <w:szCs w:val="20"/>
          <w:lang w:val="ro-RO"/>
        </w:rPr>
        <w:t xml:space="preserve">într-un oraș mare, în care poluarea aerului prezintă un risc ridicat pentru sănătate (scorul global pentru calitatea mediului este 38,67). </w:t>
      </w:r>
      <w:r w:rsidR="00D55977" w:rsidRPr="004A3974">
        <w:rPr>
          <w:rStyle w:val="y2iqfc"/>
          <w:rFonts w:asciiTheme="majorHAnsi" w:hAnsiTheme="majorHAnsi" w:cstheme="majorHAnsi"/>
          <w:color w:val="202124"/>
          <w:sz w:val="20"/>
          <w:szCs w:val="20"/>
          <w:lang w:val="ro-RO"/>
        </w:rPr>
        <w:t xml:space="preserve">Acest tânăr tipic </w:t>
      </w:r>
      <w:r w:rsidRPr="004A3974">
        <w:rPr>
          <w:rStyle w:val="y2iqfc"/>
          <w:rFonts w:asciiTheme="majorHAnsi" w:hAnsiTheme="majorHAnsi" w:cstheme="majorHAnsi"/>
          <w:color w:val="202124"/>
          <w:sz w:val="20"/>
          <w:szCs w:val="20"/>
          <w:lang w:val="ro-RO"/>
        </w:rPr>
        <w:t xml:space="preserve">se confruntă cu discriminarea legată de vârstă (scorul mediu de incluziune este 54,7), dar și cu discriminări multiple bazate pe alte aspecte ale identității (gen, </w:t>
      </w:r>
      <w:r w:rsidR="00414C93" w:rsidRPr="004A3974">
        <w:rPr>
          <w:rStyle w:val="y2iqfc"/>
          <w:rFonts w:asciiTheme="majorHAnsi" w:hAnsiTheme="majorHAnsi" w:cstheme="majorHAnsi"/>
          <w:color w:val="202124"/>
          <w:sz w:val="20"/>
          <w:szCs w:val="20"/>
          <w:lang w:val="ro-RO"/>
        </w:rPr>
        <w:t>etnie sau orientare sexuală</w:t>
      </w:r>
      <w:r w:rsidRPr="004A3974">
        <w:rPr>
          <w:rStyle w:val="y2iqfc"/>
          <w:rFonts w:asciiTheme="majorHAnsi" w:hAnsiTheme="majorHAnsi" w:cstheme="majorHAnsi"/>
          <w:color w:val="202124"/>
          <w:sz w:val="20"/>
          <w:szCs w:val="20"/>
          <w:lang w:val="ro-RO"/>
        </w:rPr>
        <w:t xml:space="preserve">). Are o reprezentativitate redusă în politică și, în general, are dificultăți în accesarea drepturilor personale (55,23), iar libertățile personale îi sunt restrânse (59,67). </w:t>
      </w:r>
      <w:r w:rsidR="00414C93" w:rsidRPr="004A3974">
        <w:rPr>
          <w:rStyle w:val="y2iqfc"/>
          <w:rFonts w:asciiTheme="majorHAnsi" w:hAnsiTheme="majorHAnsi" w:cstheme="majorHAnsi"/>
          <w:color w:val="202124"/>
          <w:sz w:val="20"/>
          <w:szCs w:val="20"/>
          <w:lang w:val="ro-RO"/>
        </w:rPr>
        <w:t>Pe de altă parte, î</w:t>
      </w:r>
      <w:r w:rsidRPr="004A3974">
        <w:rPr>
          <w:rStyle w:val="y2iqfc"/>
          <w:rFonts w:asciiTheme="majorHAnsi" w:hAnsiTheme="majorHAnsi" w:cstheme="majorHAnsi"/>
          <w:color w:val="202124"/>
          <w:sz w:val="20"/>
          <w:szCs w:val="20"/>
          <w:lang w:val="ro-RO"/>
        </w:rPr>
        <w:t xml:space="preserve">n ultimii zece ani, accesul tinerilor la informație și comunicații s-a îmbunătățit semnificativ (o creștere </w:t>
      </w:r>
      <w:r w:rsidR="00D55977" w:rsidRPr="004A3974">
        <w:rPr>
          <w:rStyle w:val="y2iqfc"/>
          <w:rFonts w:asciiTheme="majorHAnsi" w:hAnsiTheme="majorHAnsi" w:cstheme="majorHAnsi"/>
          <w:color w:val="202124"/>
          <w:sz w:val="20"/>
          <w:szCs w:val="20"/>
          <w:lang w:val="ro-RO"/>
        </w:rPr>
        <w:t xml:space="preserve">a scorului </w:t>
      </w:r>
      <w:r w:rsidRPr="004A3974">
        <w:rPr>
          <w:rStyle w:val="y2iqfc"/>
          <w:rFonts w:asciiTheme="majorHAnsi" w:hAnsiTheme="majorHAnsi" w:cstheme="majorHAnsi"/>
          <w:color w:val="202124"/>
          <w:sz w:val="20"/>
          <w:szCs w:val="20"/>
          <w:lang w:val="ro-RO"/>
        </w:rPr>
        <w:t>cu 22,75 de puncte)</w:t>
      </w:r>
      <w:r w:rsidR="00932ABA" w:rsidRPr="004A3974">
        <w:rPr>
          <w:rStyle w:val="y2iqfc"/>
          <w:rFonts w:asciiTheme="majorHAnsi" w:hAnsiTheme="majorHAnsi" w:cstheme="majorHAnsi"/>
          <w:color w:val="202124"/>
          <w:sz w:val="20"/>
          <w:szCs w:val="20"/>
          <w:lang w:val="ro-RO"/>
        </w:rPr>
        <w:t>,</w:t>
      </w:r>
      <w:r w:rsidRPr="004A3974">
        <w:rPr>
          <w:rStyle w:val="y2iqfc"/>
          <w:rFonts w:asciiTheme="majorHAnsi" w:hAnsiTheme="majorHAnsi" w:cstheme="majorHAnsi"/>
          <w:color w:val="202124"/>
          <w:sz w:val="20"/>
          <w:szCs w:val="20"/>
          <w:lang w:val="ro-RO"/>
        </w:rPr>
        <w:t xml:space="preserve"> dar s-a redus cel la drepturile personale (-4,25).</w:t>
      </w:r>
    </w:p>
    <w:p w14:paraId="250D85AA" w14:textId="39DE9F35" w:rsidR="00AB7DC5" w:rsidRPr="004A3974" w:rsidRDefault="00AB7DC5" w:rsidP="004A3974">
      <w:pPr>
        <w:spacing w:after="120" w:line="264" w:lineRule="auto"/>
        <w:jc w:val="both"/>
        <w:rPr>
          <w:rStyle w:val="y2iqfc"/>
          <w:rFonts w:asciiTheme="majorHAnsi" w:hAnsiTheme="majorHAnsi" w:cstheme="majorHAnsi"/>
          <w:color w:val="202124"/>
          <w:sz w:val="20"/>
          <w:szCs w:val="20"/>
          <w:lang w:val="ro-RO"/>
        </w:rPr>
      </w:pPr>
      <w:r w:rsidRPr="004A3974">
        <w:rPr>
          <w:rStyle w:val="y2iqfc"/>
          <w:rFonts w:asciiTheme="majorHAnsi" w:hAnsiTheme="majorHAnsi" w:cstheme="majorHAnsi"/>
          <w:color w:val="202124"/>
          <w:sz w:val="20"/>
          <w:szCs w:val="20"/>
          <w:lang w:val="ro-RO"/>
        </w:rPr>
        <w:lastRenderedPageBreak/>
        <w:t xml:space="preserve">Dincolo de cifre, </w:t>
      </w:r>
      <w:r w:rsidR="00932ABA" w:rsidRPr="004A3974">
        <w:rPr>
          <w:rStyle w:val="y2iqfc"/>
          <w:rFonts w:asciiTheme="majorHAnsi" w:hAnsiTheme="majorHAnsi" w:cstheme="majorHAnsi"/>
          <w:color w:val="202124"/>
          <w:sz w:val="20"/>
          <w:szCs w:val="20"/>
          <w:lang w:val="ro-RO"/>
        </w:rPr>
        <w:t>indicele de progres pentru tineri</w:t>
      </w:r>
      <w:r w:rsidRPr="004A3974">
        <w:rPr>
          <w:rStyle w:val="y2iqfc"/>
          <w:rFonts w:asciiTheme="majorHAnsi" w:hAnsiTheme="majorHAnsi" w:cstheme="majorHAnsi"/>
          <w:color w:val="202124"/>
          <w:sz w:val="20"/>
          <w:szCs w:val="20"/>
          <w:lang w:val="ro-RO"/>
        </w:rPr>
        <w:t xml:space="preserve"> oferă </w:t>
      </w:r>
      <w:r w:rsidR="00932ABA" w:rsidRPr="004A3974">
        <w:rPr>
          <w:rStyle w:val="y2iqfc"/>
          <w:rFonts w:asciiTheme="majorHAnsi" w:hAnsiTheme="majorHAnsi" w:cstheme="majorHAnsi"/>
          <w:color w:val="202124"/>
          <w:sz w:val="20"/>
          <w:szCs w:val="20"/>
          <w:lang w:val="ro-RO"/>
        </w:rPr>
        <w:t xml:space="preserve">direcții </w:t>
      </w:r>
      <w:r w:rsidRPr="004A3974">
        <w:rPr>
          <w:rStyle w:val="y2iqfc"/>
          <w:rFonts w:asciiTheme="majorHAnsi" w:hAnsiTheme="majorHAnsi" w:cstheme="majorHAnsi"/>
          <w:color w:val="202124"/>
          <w:sz w:val="20"/>
          <w:szCs w:val="20"/>
          <w:lang w:val="ro-RO"/>
        </w:rPr>
        <w:t xml:space="preserve">clare cu privire la provocările viitoare pe care tendințe precum digitalizarea și schimbările climatice, precum și alte șocuri neașteptate le pot aduce economiilor și pieței forței de muncă din întreaga lume. Așadar, intervențiile politice specifice tinerilor, </w:t>
      </w:r>
      <w:r w:rsidR="00932ABA" w:rsidRPr="004A3974">
        <w:rPr>
          <w:rStyle w:val="y2iqfc"/>
          <w:rFonts w:asciiTheme="majorHAnsi" w:hAnsiTheme="majorHAnsi" w:cstheme="majorHAnsi"/>
          <w:color w:val="202124"/>
          <w:sz w:val="20"/>
          <w:szCs w:val="20"/>
          <w:lang w:val="ro-RO"/>
        </w:rPr>
        <w:t xml:space="preserve">bazate pe idei precum incluziunea </w:t>
      </w:r>
      <w:r w:rsidRPr="004A3974">
        <w:rPr>
          <w:rStyle w:val="y2iqfc"/>
          <w:rFonts w:asciiTheme="majorHAnsi" w:hAnsiTheme="majorHAnsi" w:cstheme="majorHAnsi"/>
          <w:color w:val="202124"/>
          <w:sz w:val="20"/>
          <w:szCs w:val="20"/>
          <w:lang w:val="ro-RO"/>
        </w:rPr>
        <w:t xml:space="preserve">și orientate spre viitor, sunt cruciale pentru viitorul nostru, al tuturor. </w:t>
      </w:r>
    </w:p>
    <w:p w14:paraId="31F0A1B5" w14:textId="77777777" w:rsidR="00932ABA" w:rsidRPr="004A3974" w:rsidRDefault="00932ABA" w:rsidP="004A3974">
      <w:pPr>
        <w:spacing w:after="120" w:line="264" w:lineRule="auto"/>
        <w:jc w:val="both"/>
        <w:rPr>
          <w:rStyle w:val="y2iqfc"/>
          <w:rFonts w:asciiTheme="majorHAnsi" w:hAnsiTheme="majorHAnsi" w:cstheme="majorHAnsi"/>
          <w:b/>
          <w:color w:val="202124"/>
          <w:sz w:val="20"/>
          <w:szCs w:val="20"/>
          <w:lang w:val="ro-RO"/>
        </w:rPr>
      </w:pPr>
    </w:p>
    <w:p w14:paraId="12CD8AC0" w14:textId="1C097595" w:rsidR="00AB7DC5" w:rsidRPr="004A3974" w:rsidRDefault="00AB7DC5" w:rsidP="004A3974">
      <w:pPr>
        <w:spacing w:after="120" w:line="264" w:lineRule="auto"/>
        <w:jc w:val="both"/>
        <w:rPr>
          <w:rStyle w:val="y2iqfc"/>
          <w:rFonts w:asciiTheme="majorHAnsi" w:hAnsiTheme="majorHAnsi" w:cstheme="majorHAnsi"/>
          <w:b/>
          <w:color w:val="202124"/>
          <w:sz w:val="20"/>
          <w:szCs w:val="20"/>
          <w:lang w:val="ro-RO"/>
        </w:rPr>
      </w:pPr>
      <w:r w:rsidRPr="004A3974">
        <w:rPr>
          <w:rStyle w:val="y2iqfc"/>
          <w:rFonts w:asciiTheme="majorHAnsi" w:hAnsiTheme="majorHAnsi" w:cstheme="majorHAnsi"/>
          <w:b/>
          <w:color w:val="202124"/>
          <w:sz w:val="20"/>
          <w:szCs w:val="20"/>
          <w:lang w:val="ro-RO"/>
        </w:rPr>
        <w:t>PIB-ul nu este singurul factor determinant pentru progresul tinerilor</w:t>
      </w:r>
    </w:p>
    <w:p w14:paraId="72509FDE" w14:textId="2C8E8D58" w:rsidR="00AB7DC5" w:rsidRPr="004A3974" w:rsidRDefault="00AB7DC5" w:rsidP="004A3974">
      <w:pPr>
        <w:spacing w:after="120" w:line="264" w:lineRule="auto"/>
        <w:jc w:val="both"/>
        <w:rPr>
          <w:rFonts w:asciiTheme="majorHAnsi" w:hAnsiTheme="majorHAnsi" w:cstheme="majorHAnsi"/>
          <w:sz w:val="20"/>
          <w:szCs w:val="20"/>
          <w:lang w:val="ro-RO"/>
        </w:rPr>
      </w:pPr>
      <w:r w:rsidRPr="004A3974">
        <w:rPr>
          <w:rStyle w:val="y2iqfc"/>
          <w:rFonts w:asciiTheme="majorHAnsi" w:hAnsiTheme="majorHAnsi" w:cstheme="majorHAnsi"/>
          <w:color w:val="202124"/>
          <w:sz w:val="20"/>
          <w:szCs w:val="20"/>
          <w:lang w:val="ro-RO"/>
        </w:rPr>
        <w:t>D</w:t>
      </w:r>
      <w:r w:rsidRPr="004A3974">
        <w:rPr>
          <w:rFonts w:asciiTheme="majorHAnsi" w:eastAsia="Times New Roman" w:hAnsiTheme="majorHAnsi" w:cstheme="majorHAnsi"/>
          <w:color w:val="202124"/>
          <w:sz w:val="20"/>
          <w:szCs w:val="20"/>
          <w:lang w:val="ro-RO"/>
        </w:rPr>
        <w:t xml:space="preserve">iferențele mari de scor dintre țările cu niveluri similare ale PIB arată că deciziile politice au un impact uriaș. </w:t>
      </w:r>
      <w:r w:rsidRPr="004A3974">
        <w:rPr>
          <w:rFonts w:asciiTheme="majorHAnsi" w:hAnsiTheme="majorHAnsi" w:cstheme="majorHAnsi"/>
          <w:sz w:val="20"/>
          <w:szCs w:val="20"/>
          <w:lang w:val="ro-RO"/>
        </w:rPr>
        <w:t>Spre exemplu, Noua Zeelandă (91,7) are un scor similar cu Singapore (88,81), dar un PIB/cap de locuitor la jumătate. Pe de altă parte, Noua Zeelandă are un scor mult mai bun decât Bahrain (67,21), dar un nivel similar al PIB. Din astfel de comparații se pot obține informații valoroase care pot sta la baza ide</w:t>
      </w:r>
      <w:r w:rsidR="00036C15" w:rsidRPr="004A3974">
        <w:rPr>
          <w:rFonts w:asciiTheme="majorHAnsi" w:hAnsiTheme="majorHAnsi" w:cstheme="majorHAnsi"/>
          <w:sz w:val="20"/>
          <w:szCs w:val="20"/>
          <w:lang w:val="ro-RO"/>
        </w:rPr>
        <w:t>ntificării celor mai bune practic</w:t>
      </w:r>
      <w:r w:rsidRPr="004A3974">
        <w:rPr>
          <w:rFonts w:asciiTheme="majorHAnsi" w:hAnsiTheme="majorHAnsi" w:cstheme="majorHAnsi"/>
          <w:sz w:val="20"/>
          <w:szCs w:val="20"/>
          <w:lang w:val="ro-RO"/>
        </w:rPr>
        <w:t>i în domeniu și</w:t>
      </w:r>
      <w:r w:rsidR="00E66A0B" w:rsidRPr="004A3974">
        <w:rPr>
          <w:rFonts w:asciiTheme="majorHAnsi" w:hAnsiTheme="majorHAnsi" w:cstheme="majorHAnsi"/>
          <w:sz w:val="20"/>
          <w:szCs w:val="20"/>
          <w:lang w:val="ro-RO"/>
        </w:rPr>
        <w:t xml:space="preserve"> a</w:t>
      </w:r>
      <w:r w:rsidRPr="004A3974">
        <w:rPr>
          <w:rFonts w:asciiTheme="majorHAnsi" w:hAnsiTheme="majorHAnsi" w:cstheme="majorHAnsi"/>
          <w:sz w:val="20"/>
          <w:szCs w:val="20"/>
          <w:lang w:val="ro-RO"/>
        </w:rPr>
        <w:t xml:space="preserve"> elaborării unor politici eficiente. </w:t>
      </w:r>
    </w:p>
    <w:p w14:paraId="1A1209BA" w14:textId="1446EE0D" w:rsidR="00AB7DC5" w:rsidRPr="004A3974" w:rsidRDefault="00AB7DC5" w:rsidP="004A3974">
      <w:pPr>
        <w:spacing w:after="120" w:line="264" w:lineRule="auto"/>
        <w:jc w:val="both"/>
        <w:rPr>
          <w:rStyle w:val="y2iqfc"/>
          <w:rFonts w:asciiTheme="majorHAnsi" w:hAnsiTheme="majorHAnsi" w:cstheme="majorHAnsi"/>
          <w:color w:val="202124"/>
          <w:sz w:val="20"/>
          <w:szCs w:val="20"/>
          <w:lang w:val="ro-RO"/>
        </w:rPr>
      </w:pPr>
      <w:r w:rsidRPr="004A3974">
        <w:rPr>
          <w:rFonts w:asciiTheme="majorHAnsi" w:hAnsiTheme="majorHAnsi" w:cstheme="majorHAnsi"/>
          <w:sz w:val="20"/>
          <w:szCs w:val="20"/>
          <w:lang w:val="ro-RO"/>
        </w:rPr>
        <w:t>În Uniunea Europeană, tinerii beneficiază de condiții de viață mai b</w:t>
      </w:r>
      <w:r w:rsidR="00414C93" w:rsidRPr="004A3974">
        <w:rPr>
          <w:rFonts w:asciiTheme="majorHAnsi" w:hAnsiTheme="majorHAnsi" w:cstheme="majorHAnsi"/>
          <w:sz w:val="20"/>
          <w:szCs w:val="20"/>
          <w:lang w:val="ro-RO"/>
        </w:rPr>
        <w:t>u</w:t>
      </w:r>
      <w:r w:rsidRPr="004A3974">
        <w:rPr>
          <w:rFonts w:asciiTheme="majorHAnsi" w:hAnsiTheme="majorHAnsi" w:cstheme="majorHAnsi"/>
          <w:sz w:val="20"/>
          <w:szCs w:val="20"/>
          <w:lang w:val="ro-RO"/>
        </w:rPr>
        <w:t xml:space="preserve">ne decât media globală, toate cele 27 de state membre fiind clasate </w:t>
      </w:r>
      <w:r w:rsidR="00E66A0B" w:rsidRPr="004A3974">
        <w:rPr>
          <w:rFonts w:asciiTheme="majorHAnsi" w:hAnsiTheme="majorHAnsi" w:cstheme="majorHAnsi"/>
          <w:sz w:val="20"/>
          <w:szCs w:val="20"/>
          <w:lang w:val="ro-RO"/>
        </w:rPr>
        <w:t xml:space="preserve">în prima treime </w:t>
      </w:r>
      <w:r w:rsidRPr="004A3974">
        <w:rPr>
          <w:rFonts w:asciiTheme="majorHAnsi" w:hAnsiTheme="majorHAnsi" w:cstheme="majorHAnsi"/>
          <w:sz w:val="20"/>
          <w:szCs w:val="20"/>
          <w:lang w:val="ro-RO"/>
        </w:rPr>
        <w:t>la nivel global. Dar, cu toate acestea, d</w:t>
      </w:r>
      <w:r w:rsidRPr="004A3974">
        <w:rPr>
          <w:rStyle w:val="y2iqfc"/>
          <w:rFonts w:asciiTheme="majorHAnsi" w:hAnsiTheme="majorHAnsi" w:cstheme="majorHAnsi"/>
          <w:color w:val="202124"/>
          <w:sz w:val="20"/>
          <w:szCs w:val="20"/>
          <w:lang w:val="ro-RO"/>
        </w:rPr>
        <w:t>oi din trei tineri sub 24 de ani, participanți la un sondaj citat în cadrul studiului, vor ca țara lor să se concentreze pe îmbunătățirea rezultatelor sociale.</w:t>
      </w:r>
    </w:p>
    <w:p w14:paraId="282A75E7" w14:textId="1F45070A" w:rsidR="00AB7DC5" w:rsidRPr="004A3974" w:rsidRDefault="001C17FD" w:rsidP="004A3974">
      <w:pPr>
        <w:spacing w:after="120" w:line="264" w:lineRule="auto"/>
        <w:jc w:val="both"/>
        <w:rPr>
          <w:rStyle w:val="y2iqfc"/>
          <w:rFonts w:asciiTheme="majorHAnsi" w:hAnsiTheme="majorHAnsi" w:cstheme="majorHAnsi"/>
          <w:color w:val="202124"/>
          <w:sz w:val="20"/>
          <w:szCs w:val="20"/>
          <w:lang w:val="ro-RO"/>
        </w:rPr>
      </w:pPr>
      <w:r w:rsidRPr="004A3974">
        <w:rPr>
          <w:rFonts w:asciiTheme="majorHAnsi" w:hAnsiTheme="majorHAnsi" w:cstheme="majorHAnsi"/>
          <w:sz w:val="20"/>
          <w:szCs w:val="20"/>
          <w:lang w:val="ro-RO"/>
        </w:rPr>
        <w:t>P</w:t>
      </w:r>
      <w:r w:rsidR="00AB7DC5" w:rsidRPr="004A3974">
        <w:rPr>
          <w:rFonts w:asciiTheme="majorHAnsi" w:hAnsiTheme="majorHAnsi" w:cstheme="majorHAnsi"/>
          <w:sz w:val="20"/>
          <w:szCs w:val="20"/>
          <w:lang w:val="ro-RO"/>
        </w:rPr>
        <w:t xml:space="preserve">roblema este expusă în cele mai mici detalii, astfel că mai este nevoie doar de </w:t>
      </w:r>
      <w:r w:rsidR="00414C93" w:rsidRPr="004A3974">
        <w:rPr>
          <w:rFonts w:asciiTheme="majorHAnsi" w:hAnsiTheme="majorHAnsi" w:cstheme="majorHAnsi"/>
          <w:sz w:val="20"/>
          <w:szCs w:val="20"/>
          <w:lang w:val="ro-RO"/>
        </w:rPr>
        <w:t>conș</w:t>
      </w:r>
      <w:r w:rsidR="00AB7DC5" w:rsidRPr="004A3974">
        <w:rPr>
          <w:rFonts w:asciiTheme="majorHAnsi" w:hAnsiTheme="majorHAnsi" w:cstheme="majorHAnsi"/>
          <w:sz w:val="20"/>
          <w:szCs w:val="20"/>
          <w:lang w:val="ro-RO"/>
        </w:rPr>
        <w:t>tientizare, la nivel</w:t>
      </w:r>
      <w:r w:rsidR="00BE6F7C" w:rsidRPr="004A3974">
        <w:rPr>
          <w:rFonts w:asciiTheme="majorHAnsi" w:hAnsiTheme="majorHAnsi" w:cstheme="majorHAnsi"/>
          <w:sz w:val="20"/>
          <w:szCs w:val="20"/>
          <w:lang w:val="ro-RO"/>
        </w:rPr>
        <w:t xml:space="preserve">ul factorilor de decizie, </w:t>
      </w:r>
      <w:r w:rsidR="00AB7DC5" w:rsidRPr="004A3974">
        <w:rPr>
          <w:rFonts w:asciiTheme="majorHAnsi" w:hAnsiTheme="majorHAnsi" w:cstheme="majorHAnsi"/>
          <w:sz w:val="20"/>
          <w:szCs w:val="20"/>
          <w:lang w:val="ro-RO"/>
        </w:rPr>
        <w:t xml:space="preserve">cu privire la necesitatea abordării vulnerabilităților cu care se confruntă în prezent cei de care </w:t>
      </w:r>
      <w:r w:rsidR="00AB7DC5" w:rsidRPr="004A3974">
        <w:rPr>
          <w:rStyle w:val="y2iqfc"/>
          <w:rFonts w:asciiTheme="majorHAnsi" w:hAnsiTheme="majorHAnsi" w:cstheme="majorHAnsi"/>
          <w:color w:val="202124"/>
          <w:sz w:val="20"/>
          <w:szCs w:val="20"/>
          <w:lang w:val="ro-RO"/>
        </w:rPr>
        <w:t xml:space="preserve">depinde viitorul tuturor economiilor lumii și </w:t>
      </w:r>
      <w:r w:rsidR="006F398A" w:rsidRPr="004A3974">
        <w:rPr>
          <w:rStyle w:val="y2iqfc"/>
          <w:rFonts w:asciiTheme="majorHAnsi" w:hAnsiTheme="majorHAnsi" w:cstheme="majorHAnsi"/>
          <w:color w:val="202124"/>
          <w:sz w:val="20"/>
          <w:szCs w:val="20"/>
          <w:lang w:val="ro-RO"/>
        </w:rPr>
        <w:t xml:space="preserve">la </w:t>
      </w:r>
      <w:r w:rsidR="00AB7DC5" w:rsidRPr="004A3974">
        <w:rPr>
          <w:rStyle w:val="y2iqfc"/>
          <w:rFonts w:asciiTheme="majorHAnsi" w:hAnsiTheme="majorHAnsi" w:cstheme="majorHAnsi"/>
          <w:color w:val="202124"/>
          <w:sz w:val="20"/>
          <w:szCs w:val="20"/>
          <w:lang w:val="ro-RO"/>
        </w:rPr>
        <w:t>capacitatea sistemelor sociale de a susține plata pensiilor celor care, acum, sunt responsabili cu găsirea celor mai potrivite soluții pentru a-i ajuta pe tineri să se integreze în câmpul muncii și să beneficieze de</w:t>
      </w:r>
      <w:r w:rsidR="00414C93" w:rsidRPr="004A3974">
        <w:rPr>
          <w:rStyle w:val="y2iqfc"/>
          <w:rFonts w:asciiTheme="majorHAnsi" w:hAnsiTheme="majorHAnsi" w:cstheme="majorHAnsi"/>
          <w:color w:val="202124"/>
          <w:sz w:val="20"/>
          <w:szCs w:val="20"/>
          <w:lang w:val="ro-RO"/>
        </w:rPr>
        <w:t xml:space="preserve"> condiții de viață prielnice pentru a-și atinge potențialul. </w:t>
      </w:r>
    </w:p>
    <w:p w14:paraId="6794E47A" w14:textId="4922F315" w:rsidR="006F398A" w:rsidRPr="004A3974" w:rsidRDefault="006F398A" w:rsidP="004A3974">
      <w:pPr>
        <w:spacing w:after="120" w:line="264" w:lineRule="auto"/>
        <w:jc w:val="both"/>
        <w:rPr>
          <w:rStyle w:val="y2iqfc"/>
          <w:rFonts w:asciiTheme="majorHAnsi" w:hAnsiTheme="majorHAnsi" w:cstheme="majorHAnsi"/>
          <w:color w:val="202124"/>
          <w:sz w:val="20"/>
          <w:szCs w:val="20"/>
          <w:lang w:val="ro-RO"/>
        </w:rPr>
      </w:pPr>
      <w:r w:rsidRPr="004A3974">
        <w:rPr>
          <w:rStyle w:val="y2iqfc"/>
          <w:rFonts w:asciiTheme="majorHAnsi" w:hAnsiTheme="majorHAnsi" w:cstheme="majorHAnsi"/>
          <w:color w:val="202124"/>
          <w:sz w:val="20"/>
          <w:szCs w:val="20"/>
          <w:lang w:val="ro-RO"/>
        </w:rPr>
        <w:t>Tinerii nu sunt speranța pentru un viitor mai bun</w:t>
      </w:r>
      <w:r w:rsidR="00E66A0B" w:rsidRPr="004A3974">
        <w:rPr>
          <w:rStyle w:val="y2iqfc"/>
          <w:rFonts w:asciiTheme="majorHAnsi" w:hAnsiTheme="majorHAnsi" w:cstheme="majorHAnsi"/>
          <w:color w:val="202124"/>
          <w:sz w:val="20"/>
          <w:szCs w:val="20"/>
          <w:lang w:val="ro-RO"/>
        </w:rPr>
        <w:t>,</w:t>
      </w:r>
      <w:r w:rsidRPr="004A3974">
        <w:rPr>
          <w:rStyle w:val="y2iqfc"/>
          <w:rFonts w:asciiTheme="majorHAnsi" w:hAnsiTheme="majorHAnsi" w:cstheme="majorHAnsi"/>
          <w:color w:val="202124"/>
          <w:sz w:val="20"/>
          <w:szCs w:val="20"/>
          <w:lang w:val="ro-RO"/>
        </w:rPr>
        <w:t xml:space="preserve"> ci sunt</w:t>
      </w:r>
      <w:r w:rsidR="00E66A0B" w:rsidRPr="004A3974">
        <w:rPr>
          <w:rStyle w:val="y2iqfc"/>
          <w:rFonts w:asciiTheme="majorHAnsi" w:hAnsiTheme="majorHAnsi" w:cstheme="majorHAnsi"/>
          <w:color w:val="202124"/>
          <w:sz w:val="20"/>
          <w:szCs w:val="20"/>
          <w:lang w:val="ro-RO"/>
        </w:rPr>
        <w:t xml:space="preserve"> </w:t>
      </w:r>
      <w:r w:rsidRPr="004A3974">
        <w:rPr>
          <w:rStyle w:val="y2iqfc"/>
          <w:rFonts w:asciiTheme="majorHAnsi" w:hAnsiTheme="majorHAnsi" w:cstheme="majorHAnsi"/>
          <w:color w:val="202124"/>
          <w:sz w:val="20"/>
          <w:szCs w:val="20"/>
          <w:lang w:val="ro-RO"/>
        </w:rPr>
        <w:t>și au fost mereu</w:t>
      </w:r>
      <w:r w:rsidR="00E66A0B" w:rsidRPr="004A3974">
        <w:rPr>
          <w:rStyle w:val="y2iqfc"/>
          <w:rFonts w:asciiTheme="majorHAnsi" w:hAnsiTheme="majorHAnsi" w:cstheme="majorHAnsi"/>
          <w:color w:val="202124"/>
          <w:sz w:val="20"/>
          <w:szCs w:val="20"/>
          <w:lang w:val="ro-RO"/>
        </w:rPr>
        <w:t xml:space="preserve"> </w:t>
      </w:r>
      <w:r w:rsidRPr="004A3974">
        <w:rPr>
          <w:rStyle w:val="y2iqfc"/>
          <w:rFonts w:asciiTheme="majorHAnsi" w:hAnsiTheme="majorHAnsi" w:cstheme="majorHAnsi"/>
          <w:color w:val="202124"/>
          <w:sz w:val="20"/>
          <w:szCs w:val="20"/>
          <w:lang w:val="ro-RO"/>
        </w:rPr>
        <w:t xml:space="preserve">singura soluție. </w:t>
      </w:r>
    </w:p>
    <w:p w14:paraId="36F6A0C8" w14:textId="77777777" w:rsidR="003F72F7" w:rsidRPr="004A3974" w:rsidRDefault="003F72F7" w:rsidP="004A3974">
      <w:pPr>
        <w:spacing w:after="120" w:line="264" w:lineRule="auto"/>
        <w:jc w:val="both"/>
        <w:rPr>
          <w:rStyle w:val="y2iqfc"/>
          <w:rFonts w:asciiTheme="majorHAnsi" w:hAnsiTheme="majorHAnsi" w:cstheme="majorHAnsi"/>
          <w:color w:val="202124"/>
          <w:sz w:val="20"/>
          <w:szCs w:val="20"/>
          <w:lang w:val="ro-RO"/>
        </w:rPr>
      </w:pPr>
    </w:p>
    <w:p w14:paraId="4B39E328" w14:textId="77777777" w:rsidR="00A03D94" w:rsidRPr="004A3974" w:rsidRDefault="00A03D94" w:rsidP="004A3974">
      <w:pPr>
        <w:spacing w:after="120" w:line="264" w:lineRule="auto"/>
        <w:jc w:val="both"/>
        <w:rPr>
          <w:rStyle w:val="y2iqfc"/>
          <w:rFonts w:asciiTheme="majorHAnsi" w:hAnsiTheme="majorHAnsi" w:cstheme="majorHAnsi"/>
          <w:color w:val="202124"/>
          <w:sz w:val="20"/>
          <w:szCs w:val="20"/>
          <w:lang w:val="ro-RO"/>
        </w:rPr>
      </w:pPr>
    </w:p>
    <w:p w14:paraId="085B6D1B" w14:textId="77777777" w:rsidR="00414C93" w:rsidRPr="004A3974" w:rsidRDefault="00414C93" w:rsidP="004A3974">
      <w:pPr>
        <w:spacing w:after="120" w:line="264" w:lineRule="auto"/>
        <w:jc w:val="both"/>
        <w:rPr>
          <w:rFonts w:asciiTheme="majorHAnsi" w:hAnsiTheme="majorHAnsi" w:cstheme="majorHAnsi"/>
          <w:sz w:val="20"/>
          <w:szCs w:val="20"/>
        </w:rPr>
      </w:pPr>
    </w:p>
    <w:p w14:paraId="7FF9E8DE" w14:textId="77777777" w:rsidR="00AB7DC5" w:rsidRPr="004A3974" w:rsidRDefault="00AB7DC5" w:rsidP="004A3974">
      <w:pPr>
        <w:spacing w:after="120" w:line="264" w:lineRule="auto"/>
        <w:jc w:val="both"/>
        <w:rPr>
          <w:rFonts w:asciiTheme="majorHAnsi" w:hAnsiTheme="majorHAnsi" w:cstheme="majorHAnsi"/>
          <w:sz w:val="20"/>
          <w:szCs w:val="20"/>
        </w:rPr>
      </w:pPr>
    </w:p>
    <w:p w14:paraId="108EBC71" w14:textId="77777777" w:rsidR="001D18CF" w:rsidRPr="004A3974" w:rsidRDefault="001D18CF" w:rsidP="004A3974">
      <w:pPr>
        <w:spacing w:after="120" w:line="264" w:lineRule="auto"/>
        <w:jc w:val="both"/>
        <w:rPr>
          <w:rFonts w:asciiTheme="majorHAnsi" w:hAnsiTheme="majorHAnsi" w:cstheme="majorHAnsi"/>
          <w:sz w:val="20"/>
          <w:szCs w:val="20"/>
        </w:rPr>
      </w:pPr>
    </w:p>
    <w:sectPr w:rsidR="001D18CF" w:rsidRPr="004A3974" w:rsidSect="007D0E79">
      <w:headerReference w:type="default" r:id="rId7"/>
      <w:headerReference w:type="first" r:id="rId8"/>
      <w:footerReference w:type="first" r:id="rId9"/>
      <w:pgSz w:w="11901" w:h="16840" w:code="9"/>
      <w:pgMar w:top="1440" w:right="1134" w:bottom="810" w:left="1418" w:header="0" w:footer="144"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1184" w16cex:dateUtc="2021-08-30T05:12:00Z"/>
  <w16cex:commentExtensible w16cex:durableId="24D7124C" w16cex:dateUtc="2021-08-30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79791" w16cid:durableId="24D71012"/>
  <w16cid:commentId w16cid:paraId="627E02CE" w16cid:durableId="24D71184"/>
  <w16cid:commentId w16cid:paraId="28EB4CF3" w16cid:durableId="24D712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E660" w14:textId="77777777" w:rsidR="00A45A73" w:rsidRDefault="00A45A73" w:rsidP="00AD4175">
      <w:pPr>
        <w:spacing w:after="0" w:line="240" w:lineRule="auto"/>
      </w:pPr>
      <w:r>
        <w:separator/>
      </w:r>
    </w:p>
  </w:endnote>
  <w:endnote w:type="continuationSeparator" w:id="0">
    <w:p w14:paraId="026E6944" w14:textId="77777777" w:rsidR="00A45A73" w:rsidRDefault="00A45A73" w:rsidP="00AD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A901" w14:textId="77777777" w:rsidR="001615F5" w:rsidRPr="001615F5" w:rsidRDefault="004A3974"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F1D84" w14:textId="77777777" w:rsidR="00A45A73" w:rsidRDefault="00A45A73" w:rsidP="00AD4175">
      <w:pPr>
        <w:spacing w:after="0" w:line="240" w:lineRule="auto"/>
      </w:pPr>
      <w:r>
        <w:separator/>
      </w:r>
    </w:p>
  </w:footnote>
  <w:footnote w:type="continuationSeparator" w:id="0">
    <w:p w14:paraId="4F6DC2D6" w14:textId="77777777" w:rsidR="00A45A73" w:rsidRDefault="00A45A73" w:rsidP="00AD4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ECC9" w14:textId="77777777" w:rsidR="003A0D61" w:rsidRDefault="00B22269" w:rsidP="005443B3">
    <w:pPr>
      <w:pStyle w:val="Legalentity"/>
      <w:spacing w:after="140" w:line="240" w:lineRule="auto"/>
      <w:rPr>
        <w:sz w:val="18"/>
      </w:rPr>
    </w:pPr>
    <w:r>
      <w:rPr>
        <w:noProof/>
        <w:lang w:val="ro-RO" w:eastAsia="ro-RO"/>
      </w:rPr>
      <w:drawing>
        <wp:anchor distT="0" distB="0" distL="114300" distR="114300" simplePos="0" relativeHeight="251659264" behindDoc="0" locked="0" layoutInCell="1" allowOverlap="1" wp14:anchorId="47696233" wp14:editId="30E90D34">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54F8" w14:textId="77777777" w:rsidR="006A0423" w:rsidRDefault="00B22269" w:rsidP="003023E6">
    <w:pPr>
      <w:pStyle w:val="Legalentity"/>
      <w:spacing w:after="140" w:line="240" w:lineRule="auto"/>
      <w:rPr>
        <w:rFonts w:ascii="FrutigerNextPro-Light" w:hAnsi="FrutigerNextPro-Light"/>
        <w:color w:val="002776"/>
      </w:rPr>
    </w:pPr>
    <w:r>
      <w:rPr>
        <w:noProof/>
        <w:lang w:val="ro-RO" w:eastAsia="ro-RO"/>
      </w:rPr>
      <w:drawing>
        <wp:anchor distT="0" distB="0" distL="114300" distR="114300" simplePos="0" relativeHeight="251661312" behindDoc="1" locked="0" layoutInCell="1" allowOverlap="1" wp14:anchorId="77AC5316" wp14:editId="28FC72F9">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F65D7" w14:textId="77777777" w:rsidR="006A0423" w:rsidRDefault="004A3974" w:rsidP="003023E6">
    <w:pPr>
      <w:pStyle w:val="Legalentity"/>
      <w:spacing w:after="140" w:line="240" w:lineRule="auto"/>
      <w:rPr>
        <w:rFonts w:ascii="FrutigerNextPro-Light" w:hAnsi="FrutigerNextPro-Light"/>
        <w:color w:val="002776"/>
      </w:rPr>
    </w:pPr>
  </w:p>
  <w:p w14:paraId="2412C857" w14:textId="77777777" w:rsidR="006A0423" w:rsidRDefault="004A3974" w:rsidP="003023E6">
    <w:pPr>
      <w:pStyle w:val="Legalentity"/>
      <w:spacing w:after="140" w:line="240" w:lineRule="auto"/>
      <w:rPr>
        <w:rFonts w:ascii="FrutigerNextPro-Light" w:hAnsi="FrutigerNextPro-Light"/>
        <w:color w:val="002776"/>
      </w:rPr>
    </w:pPr>
  </w:p>
  <w:p w14:paraId="7F9C8645" w14:textId="77777777" w:rsidR="005443B3" w:rsidRPr="001615F5" w:rsidRDefault="00B22269">
    <w:pPr>
      <w:pStyle w:val="Header"/>
      <w:rPr>
        <w:sz w:val="11"/>
        <w:szCs w:val="11"/>
      </w:rPr>
    </w:pPr>
    <w:r>
      <w:rPr>
        <w:noProof/>
        <w:lang w:val="ro-RO" w:eastAsia="ro-RO"/>
      </w:rPr>
      <mc:AlternateContent>
        <mc:Choice Requires="wps">
          <w:drawing>
            <wp:anchor distT="0" distB="0" distL="114300" distR="114300" simplePos="0" relativeHeight="251660288" behindDoc="1" locked="1" layoutInCell="0" allowOverlap="1" wp14:anchorId="77D37739" wp14:editId="0691AB77">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E6685" w14:textId="77777777" w:rsidR="006679A3" w:rsidRPr="00E57B68" w:rsidRDefault="004A3974"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D37739"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" o:allowincell="f" stroked="f">
              <v:textbox inset="0,0,0,0">
                <w:txbxContent>
                  <w:p w14:paraId="6E2E6685" w14:textId="77777777" w:rsidR="006679A3" w:rsidRPr="00E57B68" w:rsidRDefault="00563696"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75"/>
    <w:rsid w:val="00036C15"/>
    <w:rsid w:val="00036D9B"/>
    <w:rsid w:val="00097EE6"/>
    <w:rsid w:val="000C6CB4"/>
    <w:rsid w:val="00177B50"/>
    <w:rsid w:val="001842BE"/>
    <w:rsid w:val="001848DD"/>
    <w:rsid w:val="001B3722"/>
    <w:rsid w:val="001C17FD"/>
    <w:rsid w:val="001D18CF"/>
    <w:rsid w:val="002A0564"/>
    <w:rsid w:val="002B66DD"/>
    <w:rsid w:val="00310E44"/>
    <w:rsid w:val="003A0FBA"/>
    <w:rsid w:val="003F72F7"/>
    <w:rsid w:val="00414C93"/>
    <w:rsid w:val="004358F5"/>
    <w:rsid w:val="004A3974"/>
    <w:rsid w:val="004C60F3"/>
    <w:rsid w:val="004D48F9"/>
    <w:rsid w:val="00563101"/>
    <w:rsid w:val="00563696"/>
    <w:rsid w:val="00595C63"/>
    <w:rsid w:val="005D4A1D"/>
    <w:rsid w:val="006D1F4E"/>
    <w:rsid w:val="006F398A"/>
    <w:rsid w:val="00932ABA"/>
    <w:rsid w:val="00A03D94"/>
    <w:rsid w:val="00A23FAD"/>
    <w:rsid w:val="00A45A73"/>
    <w:rsid w:val="00AB7DC5"/>
    <w:rsid w:val="00AD4175"/>
    <w:rsid w:val="00B22269"/>
    <w:rsid w:val="00BA05CB"/>
    <w:rsid w:val="00BE6F7C"/>
    <w:rsid w:val="00C13889"/>
    <w:rsid w:val="00D20B94"/>
    <w:rsid w:val="00D31615"/>
    <w:rsid w:val="00D55977"/>
    <w:rsid w:val="00DF17BC"/>
    <w:rsid w:val="00E47487"/>
    <w:rsid w:val="00E66A0B"/>
    <w:rsid w:val="00EA5F5F"/>
    <w:rsid w:val="00F4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723CF"/>
  <w15:chartTrackingRefBased/>
  <w15:docId w15:val="{79122191-37F9-47D2-88D8-D74D992E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AD4175"/>
  </w:style>
  <w:style w:type="character" w:styleId="CommentReference">
    <w:name w:val="annotation reference"/>
    <w:basedOn w:val="DefaultParagraphFont"/>
    <w:uiPriority w:val="99"/>
    <w:semiHidden/>
    <w:unhideWhenUsed/>
    <w:rsid w:val="002A0564"/>
    <w:rPr>
      <w:sz w:val="16"/>
      <w:szCs w:val="16"/>
    </w:rPr>
  </w:style>
  <w:style w:type="paragraph" w:styleId="CommentText">
    <w:name w:val="annotation text"/>
    <w:basedOn w:val="Normal"/>
    <w:link w:val="CommentTextChar"/>
    <w:uiPriority w:val="99"/>
    <w:semiHidden/>
    <w:unhideWhenUsed/>
    <w:rsid w:val="002A0564"/>
    <w:pPr>
      <w:spacing w:line="240" w:lineRule="auto"/>
    </w:pPr>
    <w:rPr>
      <w:sz w:val="20"/>
      <w:szCs w:val="20"/>
    </w:rPr>
  </w:style>
  <w:style w:type="character" w:customStyle="1" w:styleId="CommentTextChar">
    <w:name w:val="Comment Text Char"/>
    <w:basedOn w:val="DefaultParagraphFont"/>
    <w:link w:val="CommentText"/>
    <w:uiPriority w:val="99"/>
    <w:semiHidden/>
    <w:rsid w:val="002A0564"/>
    <w:rPr>
      <w:sz w:val="20"/>
      <w:szCs w:val="20"/>
    </w:rPr>
  </w:style>
  <w:style w:type="paragraph" w:styleId="CommentSubject">
    <w:name w:val="annotation subject"/>
    <w:basedOn w:val="CommentText"/>
    <w:next w:val="CommentText"/>
    <w:link w:val="CommentSubjectChar"/>
    <w:uiPriority w:val="99"/>
    <w:semiHidden/>
    <w:unhideWhenUsed/>
    <w:rsid w:val="002A0564"/>
    <w:rPr>
      <w:b/>
      <w:bCs/>
    </w:rPr>
  </w:style>
  <w:style w:type="character" w:customStyle="1" w:styleId="CommentSubjectChar">
    <w:name w:val="Comment Subject Char"/>
    <w:basedOn w:val="CommentTextChar"/>
    <w:link w:val="CommentSubject"/>
    <w:uiPriority w:val="99"/>
    <w:semiHidden/>
    <w:rsid w:val="002A0564"/>
    <w:rPr>
      <w:b/>
      <w:bCs/>
      <w:sz w:val="20"/>
      <w:szCs w:val="20"/>
    </w:rPr>
  </w:style>
  <w:style w:type="paragraph" w:styleId="BalloonText">
    <w:name w:val="Balloon Text"/>
    <w:basedOn w:val="Normal"/>
    <w:link w:val="BalloonTextChar"/>
    <w:uiPriority w:val="99"/>
    <w:semiHidden/>
    <w:unhideWhenUsed/>
    <w:rsid w:val="002A0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64"/>
    <w:rPr>
      <w:rFonts w:ascii="Segoe UI" w:hAnsi="Segoe UI" w:cs="Segoe UI"/>
      <w:sz w:val="18"/>
      <w:szCs w:val="18"/>
    </w:rPr>
  </w:style>
  <w:style w:type="paragraph" w:styleId="HTMLPreformatted">
    <w:name w:val="HTML Preformatted"/>
    <w:basedOn w:val="Normal"/>
    <w:link w:val="HTMLPreformattedChar"/>
    <w:uiPriority w:val="99"/>
    <w:semiHidden/>
    <w:unhideWhenUsed/>
    <w:rsid w:val="00D3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1615"/>
    <w:rPr>
      <w:rFonts w:ascii="Courier New" w:eastAsia="Times New Roman" w:hAnsi="Courier New" w:cs="Courier New"/>
      <w:sz w:val="20"/>
      <w:szCs w:val="20"/>
    </w:rPr>
  </w:style>
  <w:style w:type="paragraph" w:styleId="Footer">
    <w:name w:val="footer"/>
    <w:basedOn w:val="Normal"/>
    <w:link w:val="FooterChar"/>
    <w:semiHidden/>
    <w:rsid w:val="00AB7DC5"/>
    <w:pPr>
      <w:tabs>
        <w:tab w:val="left" w:pos="1985"/>
        <w:tab w:val="left" w:pos="3119"/>
        <w:tab w:val="left" w:pos="4253"/>
      </w:tabs>
      <w:spacing w:after="0" w:line="160" w:lineRule="exact"/>
    </w:pPr>
    <w:rPr>
      <w:rFonts w:ascii="Helvetica 45 Light" w:eastAsia="Times" w:hAnsi="Helvetica 45 Light" w:cs="Times New Roman"/>
      <w:sz w:val="12"/>
      <w:szCs w:val="20"/>
      <w:lang w:val="en-GB" w:eastAsia="en-GB"/>
    </w:rPr>
  </w:style>
  <w:style w:type="character" w:customStyle="1" w:styleId="FooterChar">
    <w:name w:val="Footer Char"/>
    <w:basedOn w:val="DefaultParagraphFont"/>
    <w:link w:val="Footer"/>
    <w:semiHidden/>
    <w:rsid w:val="00AB7D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AB7DC5"/>
    <w:pPr>
      <w:tabs>
        <w:tab w:val="center" w:pos="4320"/>
        <w:tab w:val="right" w:pos="8640"/>
      </w:tabs>
      <w:spacing w:after="0" w:line="280" w:lineRule="exact"/>
    </w:pPr>
    <w:rPr>
      <w:rFonts w:ascii="Helvetica 45 Light" w:eastAsia="Times" w:hAnsi="Helvetica 45 Light" w:cs="Times New Roman"/>
      <w:sz w:val="20"/>
      <w:szCs w:val="20"/>
      <w:lang w:val="en-GB" w:eastAsia="en-GB"/>
    </w:rPr>
  </w:style>
  <w:style w:type="character" w:customStyle="1" w:styleId="HeaderChar">
    <w:name w:val="Header Char"/>
    <w:basedOn w:val="DefaultParagraphFont"/>
    <w:link w:val="Header"/>
    <w:semiHidden/>
    <w:rsid w:val="00AB7DC5"/>
    <w:rPr>
      <w:rFonts w:ascii="Helvetica 45 Light" w:eastAsia="Times" w:hAnsi="Helvetica 45 Light" w:cs="Times New Roman"/>
      <w:sz w:val="20"/>
      <w:szCs w:val="20"/>
      <w:lang w:val="en-GB" w:eastAsia="en-GB"/>
    </w:rPr>
  </w:style>
  <w:style w:type="paragraph" w:customStyle="1" w:styleId="Legalentity">
    <w:name w:val="Legal entity"/>
    <w:basedOn w:val="Normal"/>
    <w:rsid w:val="00AB7DC5"/>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 w:type="paragraph" w:styleId="Revision">
    <w:name w:val="Revision"/>
    <w:hidden/>
    <w:uiPriority w:val="99"/>
    <w:semiHidden/>
    <w:rsid w:val="001C17FD"/>
    <w:pPr>
      <w:spacing w:after="0" w:line="240" w:lineRule="auto"/>
    </w:pPr>
  </w:style>
  <w:style w:type="character" w:styleId="Hyperlink">
    <w:name w:val="Hyperlink"/>
    <w:basedOn w:val="DefaultParagraphFont"/>
    <w:uiPriority w:val="99"/>
    <w:unhideWhenUsed/>
    <w:rsid w:val="00BE6F7C"/>
    <w:rPr>
      <w:color w:val="0563C1" w:themeColor="hyperlink"/>
      <w:u w:val="single"/>
    </w:rPr>
  </w:style>
  <w:style w:type="character" w:styleId="FollowedHyperlink">
    <w:name w:val="FollowedHyperlink"/>
    <w:basedOn w:val="DefaultParagraphFont"/>
    <w:uiPriority w:val="99"/>
    <w:semiHidden/>
    <w:unhideWhenUsed/>
    <w:rsid w:val="00C13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985">
      <w:bodyDiv w:val="1"/>
      <w:marLeft w:val="0"/>
      <w:marRight w:val="0"/>
      <w:marTop w:val="0"/>
      <w:marBottom w:val="0"/>
      <w:divBdr>
        <w:top w:val="none" w:sz="0" w:space="0" w:color="auto"/>
        <w:left w:val="none" w:sz="0" w:space="0" w:color="auto"/>
        <w:bottom w:val="none" w:sz="0" w:space="0" w:color="auto"/>
        <w:right w:val="none" w:sz="0" w:space="0" w:color="auto"/>
      </w:divBdr>
    </w:div>
    <w:div w:id="5791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hprogressindex.org/wp-content/uploads/2021/06/YPI-report-10062021.pdf" TargetMode="External"/><Relationship Id="rId11" Type="http://schemas.openxmlformats.org/officeDocument/2006/relationships/theme" Target="theme/theme1.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2</cp:revision>
  <dcterms:created xsi:type="dcterms:W3CDTF">2021-09-09T06:54:00Z</dcterms:created>
  <dcterms:modified xsi:type="dcterms:W3CDTF">2021-09-09T06:54:00Z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2021-08-19T16:25:59Z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2fa61483-0916-4784-9a48-234e5389b8ed</vt:lpwstr>
  </property>
  <property fmtid="{D5CDD505-2E9C-101B-9397-08002B2CF9AE}" pid="8" name="MSIP_Label_ea60d57e-af5b-4752-ac57-3e4f28ca11dc_ContentBits">
    <vt:lpwstr>0</vt:lpwstr>
  </property>
</Properties>
</file>