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B6FA" w14:textId="77777777" w:rsidR="00C36038" w:rsidRPr="006A1CEA" w:rsidRDefault="00C36038" w:rsidP="00C36038">
      <w:pPr>
        <w:jc w:val="center"/>
        <w:rPr>
          <w:rFonts w:asciiTheme="majorHAnsi" w:hAnsiTheme="majorHAnsi" w:cstheme="majorHAnsi"/>
          <w:b/>
          <w:bCs/>
          <w:sz w:val="24"/>
          <w:szCs w:val="24"/>
          <w:lang w:val="ro-RO"/>
        </w:rPr>
      </w:pPr>
      <w:r>
        <w:rPr>
          <w:rFonts w:asciiTheme="majorHAnsi" w:hAnsiTheme="majorHAnsi" w:cstheme="majorHAnsi"/>
          <w:b/>
          <w:bCs/>
          <w:sz w:val="24"/>
          <w:szCs w:val="24"/>
          <w:lang w:val="ro-RO"/>
        </w:rPr>
        <w:t>Clarificarea legislației fiscale, esențială pentru viitorul activităților</w:t>
      </w:r>
      <w:r w:rsidRPr="006A1CEA">
        <w:rPr>
          <w:rFonts w:asciiTheme="majorHAnsi" w:hAnsiTheme="majorHAnsi" w:cstheme="majorHAnsi"/>
          <w:b/>
          <w:bCs/>
          <w:sz w:val="24"/>
          <w:szCs w:val="24"/>
          <w:lang w:val="ro-RO"/>
        </w:rPr>
        <w:t xml:space="preserve"> de cercetare-dezvoltare în România</w:t>
      </w:r>
    </w:p>
    <w:p w14:paraId="69E8903A" w14:textId="77777777" w:rsidR="00C36038" w:rsidRPr="006A1CEA" w:rsidRDefault="00C36038" w:rsidP="00C36038">
      <w:pPr>
        <w:jc w:val="both"/>
        <w:rPr>
          <w:rFonts w:asciiTheme="majorHAnsi" w:hAnsiTheme="majorHAnsi" w:cstheme="majorHAnsi"/>
          <w:bCs/>
          <w:lang w:val="ro-RO"/>
        </w:rPr>
      </w:pPr>
    </w:p>
    <w:p w14:paraId="19F1E122" w14:textId="77777777" w:rsidR="00C36038" w:rsidRPr="006A1CEA" w:rsidRDefault="00C36038" w:rsidP="00C36038">
      <w:pPr>
        <w:jc w:val="both"/>
        <w:rPr>
          <w:rFonts w:asciiTheme="majorHAnsi" w:hAnsiTheme="majorHAnsi" w:cstheme="majorHAnsi"/>
          <w:bCs/>
          <w:i/>
          <w:lang w:val="ro-RO"/>
        </w:rPr>
      </w:pPr>
      <w:r w:rsidRPr="006A1CEA">
        <w:rPr>
          <w:rFonts w:asciiTheme="majorHAnsi" w:hAnsiTheme="majorHAnsi" w:cstheme="majorHAnsi"/>
          <w:bCs/>
          <w:i/>
          <w:lang w:val="ro-RO"/>
        </w:rPr>
        <w:t>Material de opinie de Ana Petrescu-Mujdei, Senior Manager, Mihaela Iacob, Senior Manager, Taxe Directe, și Monica Țariuc, Director, Servicii Dedicate Angajatorilor Globali, Deloitte România</w:t>
      </w:r>
    </w:p>
    <w:p w14:paraId="6F568394" w14:textId="77777777" w:rsidR="00C36038" w:rsidRPr="006A1CEA" w:rsidRDefault="00C36038" w:rsidP="00C36038">
      <w:pPr>
        <w:jc w:val="both"/>
        <w:rPr>
          <w:rFonts w:asciiTheme="majorHAnsi" w:hAnsiTheme="majorHAnsi" w:cstheme="majorHAnsi"/>
          <w:bCs/>
          <w:lang w:val="ro-RO"/>
        </w:rPr>
      </w:pPr>
    </w:p>
    <w:p w14:paraId="36B58AFB" w14:textId="46092E86" w:rsidR="00C36038" w:rsidRPr="00C36038" w:rsidRDefault="00C36038" w:rsidP="00C36038">
      <w:pPr>
        <w:jc w:val="both"/>
        <w:rPr>
          <w:rFonts w:asciiTheme="majorHAnsi" w:hAnsiTheme="majorHAnsi" w:cstheme="majorHAnsi"/>
          <w:bCs/>
          <w:lang w:val="ro-RO"/>
        </w:rPr>
      </w:pPr>
      <w:r w:rsidRPr="006A1CEA">
        <w:rPr>
          <w:rFonts w:asciiTheme="majorHAnsi" w:hAnsiTheme="majorHAnsi" w:cstheme="majorHAnsi"/>
          <w:bCs/>
          <w:lang w:val="ro-RO"/>
        </w:rPr>
        <w:t>Activitățile de cercetare-dezvoltare a</w:t>
      </w:r>
      <w:r w:rsidR="00420333">
        <w:rPr>
          <w:rFonts w:asciiTheme="majorHAnsi" w:hAnsiTheme="majorHAnsi" w:cstheme="majorHAnsi"/>
          <w:bCs/>
          <w:lang w:val="ro-RO"/>
        </w:rPr>
        <w:t>u</w:t>
      </w:r>
      <w:r w:rsidRPr="006A1CEA">
        <w:rPr>
          <w:rFonts w:asciiTheme="majorHAnsi" w:hAnsiTheme="majorHAnsi" w:cstheme="majorHAnsi"/>
          <w:bCs/>
          <w:lang w:val="ro-RO"/>
        </w:rPr>
        <w:t xml:space="preserve"> avansat într-un ritm lent în România, cel puțin în ultimul deceniu, dar acesta ar putea fi accelerat în anii următori, având în vedere beneficiile dezvoltării unor proiecte de acest gen pentru economie și pentru întreaga societate – produse cu valoare adăugată mai mare, aport suplimentar la creșterea economică, locuri de muncă mai bine plătite și, implicit, o motivație suplimentară pentru specialiști să rămână în țară. Alocările bugetare pentru acest domeniu sunt limitate și, din acest considerent, este nevoie de o implicare mai amplă a mediului privat în astfel de activități, iar această perspectivă devine posibilă odată cu clarificarea legislației fiscale aplicabilă investițiilor în cercetare-dezvoltare. </w:t>
      </w:r>
    </w:p>
    <w:p w14:paraId="6DA1998B" w14:textId="6F8514C3" w:rsidR="00C36038" w:rsidRPr="006A1CEA" w:rsidRDefault="00C36038" w:rsidP="00C36038">
      <w:pPr>
        <w:jc w:val="both"/>
        <w:rPr>
          <w:rFonts w:asciiTheme="majorHAnsi" w:eastAsiaTheme="majorEastAsia" w:hAnsiTheme="majorHAnsi" w:cstheme="majorHAnsi"/>
          <w:kern w:val="28"/>
          <w:lang w:val="ro-RO"/>
        </w:rPr>
      </w:pPr>
      <w:r w:rsidRPr="00C36038">
        <w:rPr>
          <w:rFonts w:asciiTheme="majorHAnsi" w:hAnsiTheme="majorHAnsi" w:cstheme="majorHAnsi"/>
          <w:bCs/>
          <w:lang w:val="ro-RO"/>
        </w:rPr>
        <w:t xml:space="preserve">Potrivit </w:t>
      </w:r>
      <w:proofErr w:type="spellStart"/>
      <w:r w:rsidRPr="00C36038">
        <w:rPr>
          <w:rFonts w:asciiTheme="majorHAnsi" w:hAnsiTheme="majorHAnsi" w:cstheme="majorHAnsi"/>
          <w:bCs/>
          <w:lang w:val="ro-RO"/>
        </w:rPr>
        <w:t>Eurostat</w:t>
      </w:r>
      <w:proofErr w:type="spellEnd"/>
      <w:r w:rsidRPr="00C36038">
        <w:rPr>
          <w:rFonts w:asciiTheme="majorHAnsi" w:hAnsiTheme="majorHAnsi" w:cstheme="majorHAnsi"/>
          <w:bCs/>
          <w:lang w:val="ro-RO"/>
        </w:rPr>
        <w:t>,</w:t>
      </w:r>
      <w:r w:rsidRPr="006A1CEA">
        <w:rPr>
          <w:rFonts w:asciiTheme="majorHAnsi" w:hAnsiTheme="majorHAnsi" w:cstheme="majorHAnsi"/>
          <w:bCs/>
          <w:lang w:val="ro-RO"/>
        </w:rPr>
        <w:t xml:space="preserve"> în ultimii </w:t>
      </w:r>
      <w:r w:rsidR="004E73C1">
        <w:rPr>
          <w:rFonts w:asciiTheme="majorHAnsi" w:hAnsiTheme="majorHAnsi" w:cstheme="majorHAnsi"/>
          <w:bCs/>
          <w:lang w:val="ro-RO"/>
        </w:rPr>
        <w:t>zece</w:t>
      </w:r>
      <w:r w:rsidR="004E73C1" w:rsidRPr="006A1CEA">
        <w:rPr>
          <w:rFonts w:asciiTheme="majorHAnsi" w:hAnsiTheme="majorHAnsi" w:cstheme="majorHAnsi"/>
          <w:bCs/>
          <w:lang w:val="ro-RO"/>
        </w:rPr>
        <w:t xml:space="preserve"> </w:t>
      </w:r>
      <w:r w:rsidRPr="006A1CEA">
        <w:rPr>
          <w:rFonts w:asciiTheme="majorHAnsi" w:hAnsiTheme="majorHAnsi" w:cstheme="majorHAnsi"/>
          <w:bCs/>
          <w:lang w:val="ro-RO"/>
        </w:rPr>
        <w:t xml:space="preserve">ani, </w:t>
      </w:r>
      <w:r w:rsidRPr="00390A7A">
        <w:rPr>
          <w:rFonts w:asciiTheme="majorHAnsi" w:hAnsiTheme="majorHAnsi" w:cstheme="majorHAnsi"/>
          <w:b/>
          <w:bCs/>
          <w:color w:val="282828"/>
          <w:shd w:val="clear" w:color="auto" w:fill="FFFFFF"/>
          <w:lang w:val="ro-RO"/>
        </w:rPr>
        <w:t>alocările bugetare pentru cercetare-dezvoltare</w:t>
      </w:r>
      <w:r w:rsidRPr="006A1CEA">
        <w:rPr>
          <w:rFonts w:asciiTheme="majorHAnsi" w:hAnsiTheme="majorHAnsi" w:cstheme="majorHAnsi"/>
          <w:color w:val="282828"/>
          <w:shd w:val="clear" w:color="auto" w:fill="FFFFFF"/>
          <w:lang w:val="ro-RO"/>
        </w:rPr>
        <w:t xml:space="preserve"> în Uniunea Europeană au urcat cu 35%, la aproape 110 miliarde de euro, în timp ce </w:t>
      </w:r>
      <w:r w:rsidRPr="00390A7A">
        <w:rPr>
          <w:rFonts w:asciiTheme="majorHAnsi" w:hAnsiTheme="majorHAnsi" w:cstheme="majorHAnsi"/>
          <w:b/>
          <w:bCs/>
          <w:color w:val="282828"/>
          <w:shd w:val="clear" w:color="auto" w:fill="FFFFFF"/>
          <w:lang w:val="ro-RO"/>
        </w:rPr>
        <w:t>în România</w:t>
      </w:r>
      <w:r w:rsidRPr="006A1CEA">
        <w:rPr>
          <w:rFonts w:asciiTheme="majorHAnsi" w:hAnsiTheme="majorHAnsi" w:cstheme="majorHAnsi"/>
          <w:color w:val="282828"/>
          <w:shd w:val="clear" w:color="auto" w:fill="FFFFFF"/>
          <w:lang w:val="ro-RO"/>
        </w:rPr>
        <w:t xml:space="preserve"> avansul a fost de doar 3,4%, de la 353 de milioane de euro în 2011, până la </w:t>
      </w:r>
      <w:r w:rsidRPr="00390A7A">
        <w:rPr>
          <w:rFonts w:asciiTheme="majorHAnsi" w:hAnsiTheme="majorHAnsi" w:cstheme="majorHAnsi"/>
          <w:b/>
          <w:bCs/>
          <w:color w:val="282828"/>
          <w:shd w:val="clear" w:color="auto" w:fill="FFFFFF"/>
          <w:lang w:val="ro-RO"/>
        </w:rPr>
        <w:t>364 de milioane de euro în 2021</w:t>
      </w:r>
      <w:r w:rsidRPr="006A1CEA">
        <w:rPr>
          <w:rFonts w:asciiTheme="majorHAnsi" w:hAnsiTheme="majorHAnsi" w:cstheme="majorHAnsi"/>
          <w:color w:val="282828"/>
          <w:shd w:val="clear" w:color="auto" w:fill="FFFFFF"/>
          <w:lang w:val="ro-RO"/>
        </w:rPr>
        <w:t>.</w:t>
      </w:r>
      <w:r w:rsidRPr="006A1CEA">
        <w:rPr>
          <w:rFonts w:asciiTheme="majorHAnsi" w:hAnsiTheme="majorHAnsi" w:cstheme="majorHAnsi"/>
          <w:color w:val="282828"/>
          <w:lang w:val="ro-RO"/>
        </w:rPr>
        <w:t xml:space="preserve"> </w:t>
      </w:r>
      <w:r w:rsidRPr="006A1CEA">
        <w:rPr>
          <w:rFonts w:asciiTheme="majorHAnsi" w:hAnsiTheme="majorHAnsi" w:cstheme="majorHAnsi"/>
          <w:color w:val="282828"/>
          <w:shd w:val="clear" w:color="auto" w:fill="FFFFFF"/>
          <w:lang w:val="ro-RO"/>
        </w:rPr>
        <w:t xml:space="preserve">Ca procent din PIB, în UE alocările au crescut ușor, în perioada menționată, de la 0,72% până la 0,75% din PIB, dar în România au scăzut cu 0,12 puncte procentuale, la 0,15% din PIB în 2021. Cu acest procent, </w:t>
      </w:r>
      <w:r w:rsidRPr="00390A7A">
        <w:rPr>
          <w:rFonts w:asciiTheme="majorHAnsi" w:hAnsiTheme="majorHAnsi" w:cstheme="majorHAnsi"/>
          <w:b/>
          <w:bCs/>
          <w:color w:val="282828"/>
          <w:shd w:val="clear" w:color="auto" w:fill="FFFFFF"/>
          <w:lang w:val="ro-RO"/>
        </w:rPr>
        <w:t xml:space="preserve">România </w:t>
      </w:r>
      <w:r w:rsidRPr="00390A7A">
        <w:rPr>
          <w:rFonts w:asciiTheme="majorHAnsi" w:eastAsiaTheme="majorEastAsia" w:hAnsiTheme="majorHAnsi" w:cstheme="majorHAnsi"/>
          <w:b/>
          <w:bCs/>
          <w:kern w:val="28"/>
          <w:lang w:val="ro-RO"/>
        </w:rPr>
        <w:t>rămâne pe ultimul loc în UE la acest capitol</w:t>
      </w:r>
      <w:r w:rsidRPr="006A1CEA">
        <w:rPr>
          <w:rFonts w:asciiTheme="majorHAnsi" w:eastAsiaTheme="majorEastAsia" w:hAnsiTheme="majorHAnsi" w:cstheme="majorHAnsi"/>
          <w:kern w:val="28"/>
          <w:lang w:val="ro-RO"/>
        </w:rPr>
        <w:t xml:space="preserve">. </w:t>
      </w:r>
    </w:p>
    <w:p w14:paraId="051605E6" w14:textId="76FF790E" w:rsidR="00C36038" w:rsidRPr="006A1CEA" w:rsidRDefault="00C36038" w:rsidP="00C36038">
      <w:pPr>
        <w:jc w:val="both"/>
        <w:rPr>
          <w:rFonts w:asciiTheme="majorHAnsi" w:eastAsiaTheme="majorEastAsia" w:hAnsiTheme="majorHAnsi" w:cstheme="majorHAnsi"/>
          <w:kern w:val="28"/>
          <w:lang w:val="ro-RO"/>
        </w:rPr>
      </w:pPr>
      <w:r w:rsidRPr="006A1CEA">
        <w:rPr>
          <w:rFonts w:asciiTheme="majorHAnsi" w:eastAsiaTheme="majorEastAsia" w:hAnsiTheme="majorHAnsi" w:cstheme="majorHAnsi"/>
          <w:kern w:val="28"/>
          <w:lang w:val="ro-RO"/>
        </w:rPr>
        <w:t xml:space="preserve">Un alt indicator care trebuie luat în calcul în acest context este cel referitor la migrarea forței de muncă, în special a celei calificate. Un raport al Băncii Mondiale care analizează migrația în Europa în ultimele patru decenii indică faptul că aproape 40% din emigranții din România sunt absolvenți de studii superioare. </w:t>
      </w:r>
    </w:p>
    <w:p w14:paraId="7642D3F0" w14:textId="77777777" w:rsidR="00C36038" w:rsidRDefault="00C36038" w:rsidP="00C36038">
      <w:pPr>
        <w:jc w:val="both"/>
        <w:rPr>
          <w:rFonts w:asciiTheme="majorHAnsi" w:eastAsiaTheme="majorEastAsia" w:hAnsiTheme="majorHAnsi" w:cstheme="majorHAnsi"/>
          <w:kern w:val="28"/>
          <w:lang w:val="ro-RO"/>
        </w:rPr>
      </w:pPr>
      <w:r w:rsidRPr="006A1CEA">
        <w:rPr>
          <w:rFonts w:asciiTheme="majorHAnsi" w:eastAsiaTheme="majorEastAsia" w:hAnsiTheme="majorHAnsi" w:cstheme="majorHAnsi"/>
          <w:kern w:val="28"/>
          <w:lang w:val="ro-RO"/>
        </w:rPr>
        <w:t xml:space="preserve">Așadar, prin creșterea alocărilor bugetare pentru investiții în cercetare-dezvoltare s-ar putea obține atât creșterea competitivității economiei românești în regiune, cât și limitarea exodului de forță de muncă înalt calificată. </w:t>
      </w:r>
    </w:p>
    <w:p w14:paraId="7CC995FF" w14:textId="77777777" w:rsidR="00C36038" w:rsidRPr="004B5A39" w:rsidRDefault="00C36038" w:rsidP="00C36038">
      <w:pPr>
        <w:jc w:val="both"/>
        <w:rPr>
          <w:rFonts w:asciiTheme="majorHAnsi" w:eastAsiaTheme="majorEastAsia" w:hAnsiTheme="majorHAnsi" w:cstheme="majorHAnsi"/>
          <w:b/>
          <w:kern w:val="28"/>
          <w:lang w:val="ro-RO"/>
        </w:rPr>
      </w:pPr>
    </w:p>
    <w:p w14:paraId="5C8C428F" w14:textId="77777777" w:rsidR="00C36038" w:rsidRPr="006A1CEA" w:rsidRDefault="00C36038" w:rsidP="00C36038">
      <w:pPr>
        <w:jc w:val="both"/>
        <w:rPr>
          <w:rFonts w:asciiTheme="majorHAnsi" w:hAnsiTheme="majorHAnsi" w:cstheme="majorHAnsi"/>
          <w:color w:val="333333"/>
          <w:shd w:val="clear" w:color="auto" w:fill="FFFFFF"/>
          <w:lang w:val="ro-RO"/>
        </w:rPr>
      </w:pPr>
      <w:r w:rsidRPr="004B5A39">
        <w:rPr>
          <w:rFonts w:asciiTheme="majorHAnsi" w:eastAsiaTheme="majorEastAsia" w:hAnsiTheme="majorHAnsi" w:cstheme="majorHAnsi"/>
          <w:b/>
          <w:kern w:val="28"/>
          <w:lang w:val="ro-RO"/>
        </w:rPr>
        <w:t>Facilitățile fiscale existente, insuficient accesate</w:t>
      </w:r>
    </w:p>
    <w:p w14:paraId="032DA69C" w14:textId="41D3F5F0" w:rsidR="00C36038" w:rsidRPr="006A1CEA" w:rsidRDefault="00C36038" w:rsidP="00C36038">
      <w:pPr>
        <w:jc w:val="both"/>
        <w:rPr>
          <w:rFonts w:asciiTheme="majorHAnsi" w:eastAsiaTheme="majorEastAsia" w:hAnsiTheme="majorHAnsi" w:cstheme="majorHAnsi"/>
          <w:kern w:val="28"/>
          <w:lang w:val="ro-RO"/>
        </w:rPr>
      </w:pPr>
      <w:r w:rsidRPr="006A1CEA">
        <w:rPr>
          <w:rFonts w:asciiTheme="majorHAnsi" w:hAnsiTheme="majorHAnsi" w:cstheme="majorHAnsi"/>
          <w:color w:val="333333"/>
          <w:shd w:val="clear" w:color="auto" w:fill="FFFFFF"/>
          <w:lang w:val="ro-RO"/>
        </w:rPr>
        <w:t>M</w:t>
      </w:r>
      <w:r w:rsidRPr="006A1CEA">
        <w:rPr>
          <w:rFonts w:asciiTheme="majorHAnsi" w:eastAsiaTheme="majorEastAsia" w:hAnsiTheme="majorHAnsi" w:cstheme="majorHAnsi"/>
          <w:kern w:val="28"/>
          <w:lang w:val="ro-RO"/>
        </w:rPr>
        <w:t>inistrul Cercetării, Inovării și Digitalizării, a declarat, recent, în cadrul un</w:t>
      </w:r>
      <w:r>
        <w:rPr>
          <w:rFonts w:asciiTheme="majorHAnsi" w:eastAsiaTheme="majorEastAsia" w:hAnsiTheme="majorHAnsi" w:cstheme="majorHAnsi"/>
          <w:kern w:val="28"/>
          <w:lang w:val="ro-RO"/>
        </w:rPr>
        <w:t>u</w:t>
      </w:r>
      <w:r w:rsidRPr="006A1CEA">
        <w:rPr>
          <w:rFonts w:asciiTheme="majorHAnsi" w:eastAsiaTheme="majorEastAsia" w:hAnsiTheme="majorHAnsi" w:cstheme="majorHAnsi"/>
          <w:kern w:val="28"/>
          <w:lang w:val="ro-RO"/>
        </w:rPr>
        <w:t xml:space="preserve">i </w:t>
      </w:r>
      <w:hyperlink r:id="rId7" w:history="1">
        <w:r w:rsidRPr="004A4687">
          <w:rPr>
            <w:rStyle w:val="Hyperlink"/>
            <w:rFonts w:asciiTheme="majorHAnsi" w:eastAsiaTheme="majorEastAsia" w:hAnsiTheme="majorHAnsi" w:cstheme="majorHAnsi"/>
            <w:kern w:val="28"/>
            <w:lang w:val="ro-RO"/>
          </w:rPr>
          <w:t>eveniment Deloitte</w:t>
        </w:r>
      </w:hyperlink>
      <w:r w:rsidRPr="006A1CEA">
        <w:rPr>
          <w:rFonts w:asciiTheme="majorHAnsi" w:eastAsiaTheme="majorEastAsia" w:hAnsiTheme="majorHAnsi" w:cstheme="majorHAnsi"/>
          <w:kern w:val="28"/>
          <w:lang w:val="ro-RO"/>
        </w:rPr>
        <w:t xml:space="preserve">, că mediul privat are, în prezent, o contribuție mai mare la dezvoltarea acestui domeniu decât fondurile publice și că are în plan măsuri care să stimuleze creșterea investițiilor private în cercetare-dezvoltare. Printre acestea se numără și clarificarea regimului fiscal aplicabil societăților care desfășoară activități de cercetare-dezvoltare. </w:t>
      </w:r>
    </w:p>
    <w:p w14:paraId="5D7CE9A2" w14:textId="77777777" w:rsidR="00C36038" w:rsidRPr="006A1CEA" w:rsidRDefault="00C36038" w:rsidP="00C36038">
      <w:pPr>
        <w:jc w:val="both"/>
        <w:rPr>
          <w:rFonts w:asciiTheme="majorHAnsi" w:eastAsia="Times New Roman" w:hAnsiTheme="majorHAnsi" w:cstheme="majorHAnsi"/>
          <w:lang w:val="ro-RO"/>
        </w:rPr>
      </w:pPr>
      <w:r w:rsidRPr="006A1CEA">
        <w:rPr>
          <w:rFonts w:asciiTheme="majorHAnsi" w:hAnsiTheme="majorHAnsi" w:cstheme="majorHAnsi"/>
          <w:lang w:val="ro-RO"/>
        </w:rPr>
        <w:t xml:space="preserve">În prezent, legislația românească prevede o serie de facilități fiscale pentru companiile care investesc în proiecte de acest gen, respectiv o </w:t>
      </w:r>
      <w:r w:rsidRPr="006A1CEA">
        <w:rPr>
          <w:rFonts w:asciiTheme="majorHAnsi" w:eastAsia="Times New Roman" w:hAnsiTheme="majorHAnsi" w:cstheme="majorHAnsi"/>
          <w:lang w:val="ro-RO"/>
        </w:rPr>
        <w:t>deducere suplimentară de 50% a cheltuielilor efectuate pentru astfel de activități, aplicarea metodei de amortizare accelerată în cazul echipamentelor utilizate în aceste activități și scutirea de impozit pe venit pentru angajații implicați în cercetare-dezvoltare.</w:t>
      </w:r>
    </w:p>
    <w:p w14:paraId="746C7F90" w14:textId="78749DC0" w:rsidR="00C36038" w:rsidRPr="006A1CEA" w:rsidRDefault="00C36038" w:rsidP="00C36038">
      <w:pPr>
        <w:jc w:val="both"/>
        <w:rPr>
          <w:rFonts w:asciiTheme="majorHAnsi" w:hAnsiTheme="majorHAnsi" w:cstheme="majorHAnsi"/>
          <w:lang w:val="ro-RO"/>
        </w:rPr>
      </w:pPr>
      <w:r w:rsidRPr="006A1CEA">
        <w:rPr>
          <w:rFonts w:asciiTheme="majorHAnsi" w:hAnsiTheme="majorHAnsi" w:cstheme="majorHAnsi"/>
          <w:lang w:val="ro-RO"/>
        </w:rPr>
        <w:t xml:space="preserve">Ca urmare a aplicării acestor facilități, </w:t>
      </w:r>
      <w:r w:rsidRPr="00390A7A">
        <w:rPr>
          <w:rFonts w:asciiTheme="majorHAnsi" w:hAnsiTheme="majorHAnsi" w:cstheme="majorHAnsi"/>
          <w:b/>
          <w:bCs/>
          <w:lang w:val="ro-RO"/>
        </w:rPr>
        <w:t>o companie poate obține o reducere a impozitului pe profit datorat statului de aproximativ 8% din valoarea proiectelor de cercetare-dezvoltare derulate</w:t>
      </w:r>
      <w:r w:rsidRPr="006A1CEA">
        <w:rPr>
          <w:rFonts w:asciiTheme="majorHAnsi" w:hAnsiTheme="majorHAnsi" w:cstheme="majorHAnsi"/>
          <w:lang w:val="ro-RO"/>
        </w:rPr>
        <w:t>. De asemenea, ținând cont că</w:t>
      </w:r>
      <w:r w:rsidR="004E73C1">
        <w:rPr>
          <w:rFonts w:asciiTheme="majorHAnsi" w:hAnsiTheme="majorHAnsi" w:cstheme="majorHAnsi"/>
          <w:lang w:val="ro-RO"/>
        </w:rPr>
        <w:t>,</w:t>
      </w:r>
      <w:r w:rsidRPr="006A1CEA">
        <w:rPr>
          <w:rFonts w:asciiTheme="majorHAnsi" w:hAnsiTheme="majorHAnsi" w:cstheme="majorHAnsi"/>
          <w:lang w:val="ro-RO"/>
        </w:rPr>
        <w:t xml:space="preserve"> în cadrul acestor proiecte</w:t>
      </w:r>
      <w:r w:rsidR="004E73C1">
        <w:rPr>
          <w:rFonts w:asciiTheme="majorHAnsi" w:hAnsiTheme="majorHAnsi" w:cstheme="majorHAnsi"/>
          <w:lang w:val="ro-RO"/>
        </w:rPr>
        <w:t>,</w:t>
      </w:r>
      <w:r w:rsidRPr="006A1CEA">
        <w:rPr>
          <w:rFonts w:asciiTheme="majorHAnsi" w:hAnsiTheme="majorHAnsi" w:cstheme="majorHAnsi"/>
          <w:lang w:val="ro-RO"/>
        </w:rPr>
        <w:t xml:space="preserve"> este nevoie de implicarea unui personal specializat, care are experiență semnificativă în domeniu, scutirea de impozit pe venit pentru acești angajați poate aduce un avantaj competitiv în piață cu privire la atragerea și menținerea pe termen lung a specialiștilor. </w:t>
      </w:r>
    </w:p>
    <w:p w14:paraId="5DEB657E" w14:textId="36245514" w:rsidR="00C36038" w:rsidRPr="006A1CEA" w:rsidRDefault="00C36038" w:rsidP="00C36038">
      <w:pPr>
        <w:jc w:val="both"/>
        <w:rPr>
          <w:rFonts w:asciiTheme="majorHAnsi" w:hAnsiTheme="majorHAnsi" w:cstheme="majorHAnsi"/>
          <w:lang w:val="ro-RO"/>
        </w:rPr>
      </w:pPr>
      <w:r w:rsidRPr="006A1CEA">
        <w:rPr>
          <w:rFonts w:asciiTheme="majorHAnsi" w:hAnsiTheme="majorHAnsi" w:cstheme="majorHAnsi"/>
          <w:lang w:val="ro-RO"/>
        </w:rPr>
        <w:t xml:space="preserve">Nu în ultimul rând, legislația prevede și </w:t>
      </w:r>
      <w:r w:rsidRPr="00390A7A">
        <w:rPr>
          <w:rFonts w:asciiTheme="majorHAnsi" w:hAnsiTheme="majorHAnsi" w:cstheme="majorHAnsi"/>
          <w:b/>
          <w:bCs/>
          <w:lang w:val="ro-RO"/>
        </w:rPr>
        <w:t>scutirea completă de la plata impozitului pe profit pentru primii zece ani</w:t>
      </w:r>
      <w:r w:rsidRPr="006A1CEA">
        <w:rPr>
          <w:rFonts w:asciiTheme="majorHAnsi" w:hAnsiTheme="majorHAnsi" w:cstheme="majorHAnsi"/>
          <w:lang w:val="ro-RO"/>
        </w:rPr>
        <w:t xml:space="preserve">, pentru companiile care desfășoară </w:t>
      </w:r>
      <w:r w:rsidRPr="00390A7A">
        <w:rPr>
          <w:rFonts w:asciiTheme="majorHAnsi" w:hAnsiTheme="majorHAnsi" w:cstheme="majorHAnsi"/>
          <w:b/>
          <w:bCs/>
          <w:lang w:val="ro-RO"/>
        </w:rPr>
        <w:t>exclusiv activități de cercetare-dezvoltare</w:t>
      </w:r>
      <w:r w:rsidRPr="006A1CEA">
        <w:rPr>
          <w:rFonts w:asciiTheme="majorHAnsi" w:hAnsiTheme="majorHAnsi" w:cstheme="majorHAnsi"/>
          <w:lang w:val="ro-RO"/>
        </w:rPr>
        <w:t xml:space="preserve">. Aceasta însă nu este operațională în prezent, întrucât intră sub </w:t>
      </w:r>
      <w:r w:rsidR="004E73C1" w:rsidRPr="006A1CEA">
        <w:rPr>
          <w:rFonts w:asciiTheme="majorHAnsi" w:hAnsiTheme="majorHAnsi" w:cstheme="majorHAnsi"/>
          <w:lang w:val="ro-RO"/>
        </w:rPr>
        <w:t>inciden</w:t>
      </w:r>
      <w:r w:rsidR="004E73C1">
        <w:rPr>
          <w:rFonts w:asciiTheme="majorHAnsi" w:hAnsiTheme="majorHAnsi" w:cstheme="majorHAnsi"/>
          <w:lang w:val="ro-RO"/>
        </w:rPr>
        <w:t>ț</w:t>
      </w:r>
      <w:r w:rsidR="004E73C1" w:rsidRPr="006A1CEA">
        <w:rPr>
          <w:rFonts w:asciiTheme="majorHAnsi" w:hAnsiTheme="majorHAnsi" w:cstheme="majorHAnsi"/>
          <w:lang w:val="ro-RO"/>
        </w:rPr>
        <w:t xml:space="preserve">a </w:t>
      </w:r>
      <w:r w:rsidRPr="006A1CEA">
        <w:rPr>
          <w:rFonts w:asciiTheme="majorHAnsi" w:hAnsiTheme="majorHAnsi" w:cstheme="majorHAnsi"/>
          <w:lang w:val="ro-RO"/>
        </w:rPr>
        <w:t xml:space="preserve">legislației privind ajutorul de stat și necesită aprobări suplimentare de la Comisia </w:t>
      </w:r>
      <w:r w:rsidR="004E73C1" w:rsidRPr="006A1CEA">
        <w:rPr>
          <w:rFonts w:asciiTheme="majorHAnsi" w:hAnsiTheme="majorHAnsi" w:cstheme="majorHAnsi"/>
          <w:lang w:val="ro-RO"/>
        </w:rPr>
        <w:t>European</w:t>
      </w:r>
      <w:r w:rsidR="004E73C1">
        <w:rPr>
          <w:rFonts w:asciiTheme="majorHAnsi" w:hAnsiTheme="majorHAnsi" w:cstheme="majorHAnsi"/>
          <w:lang w:val="ro-RO"/>
        </w:rPr>
        <w:t>ă</w:t>
      </w:r>
      <w:r w:rsidRPr="006A1CEA">
        <w:rPr>
          <w:rFonts w:asciiTheme="majorHAnsi" w:hAnsiTheme="majorHAnsi" w:cstheme="majorHAnsi"/>
          <w:lang w:val="ro-RO"/>
        </w:rPr>
        <w:t>.</w:t>
      </w:r>
    </w:p>
    <w:p w14:paraId="103AA45F" w14:textId="09731971" w:rsidR="00C36038" w:rsidRPr="006A1CEA" w:rsidRDefault="00C36038" w:rsidP="00C36038">
      <w:pPr>
        <w:jc w:val="both"/>
        <w:rPr>
          <w:rFonts w:asciiTheme="majorHAnsi" w:hAnsiTheme="majorHAnsi" w:cstheme="majorHAnsi"/>
          <w:lang w:val="ro-RO"/>
        </w:rPr>
      </w:pPr>
      <w:r w:rsidRPr="006A1CEA">
        <w:rPr>
          <w:rFonts w:asciiTheme="majorHAnsi" w:hAnsiTheme="majorHAnsi" w:cstheme="majorHAnsi"/>
          <w:lang w:val="ro-RO"/>
        </w:rPr>
        <w:t xml:space="preserve">În plus, nici celelalte facilități fiscale nu sunt utilizate la adevăratul potențial de către companii, din cauza faptului că </w:t>
      </w:r>
      <w:r w:rsidRPr="00390A7A">
        <w:rPr>
          <w:rFonts w:asciiTheme="majorHAnsi" w:hAnsiTheme="majorHAnsi" w:cstheme="majorHAnsi"/>
          <w:b/>
          <w:bCs/>
          <w:lang w:val="ro-RO"/>
        </w:rPr>
        <w:t>regulile de stabilire a eligibilității activităților de cercetare-dezvoltare</w:t>
      </w:r>
      <w:r w:rsidRPr="006A1CEA">
        <w:rPr>
          <w:rFonts w:asciiTheme="majorHAnsi" w:hAnsiTheme="majorHAnsi" w:cstheme="majorHAnsi"/>
          <w:lang w:val="ro-RO"/>
        </w:rPr>
        <w:t xml:space="preserve">, respectiv încadrarea lor în această </w:t>
      </w:r>
      <w:r w:rsidRPr="006A1CEA">
        <w:rPr>
          <w:rFonts w:asciiTheme="majorHAnsi" w:hAnsiTheme="majorHAnsi" w:cstheme="majorHAnsi"/>
          <w:lang w:val="ro-RO"/>
        </w:rPr>
        <w:lastRenderedPageBreak/>
        <w:t xml:space="preserve">categorie, </w:t>
      </w:r>
      <w:r w:rsidRPr="00390A7A">
        <w:rPr>
          <w:rFonts w:asciiTheme="majorHAnsi" w:hAnsiTheme="majorHAnsi" w:cstheme="majorHAnsi"/>
          <w:b/>
          <w:bCs/>
          <w:lang w:val="ro-RO"/>
        </w:rPr>
        <w:t>nu sunt clare</w:t>
      </w:r>
      <w:r w:rsidRPr="006A1CEA">
        <w:rPr>
          <w:rFonts w:asciiTheme="majorHAnsi" w:hAnsiTheme="majorHAnsi" w:cstheme="majorHAnsi"/>
          <w:lang w:val="ro-RO"/>
        </w:rPr>
        <w:t>, motiv pentru care contribuabilii vizați evită să le aplice</w:t>
      </w:r>
      <w:r w:rsidR="004E73C1">
        <w:rPr>
          <w:rFonts w:asciiTheme="majorHAnsi" w:hAnsiTheme="majorHAnsi" w:cstheme="majorHAnsi"/>
          <w:lang w:val="ro-RO"/>
        </w:rPr>
        <w:t>,</w:t>
      </w:r>
      <w:r w:rsidRPr="006A1CEA">
        <w:rPr>
          <w:rFonts w:asciiTheme="majorHAnsi" w:hAnsiTheme="majorHAnsi" w:cstheme="majorHAnsi"/>
          <w:lang w:val="ro-RO"/>
        </w:rPr>
        <w:t xml:space="preserve"> de teama unui control ulterior în care autoritățile ar putea reclasifica activitățile respective în alte categorii, cu consecințe financiare semnificative pentru contribuabil.</w:t>
      </w:r>
    </w:p>
    <w:p w14:paraId="56C2A788" w14:textId="1FA3C17F" w:rsidR="00C36038" w:rsidRDefault="00C36038" w:rsidP="00C36038">
      <w:pPr>
        <w:jc w:val="both"/>
        <w:rPr>
          <w:rFonts w:asciiTheme="majorHAnsi" w:hAnsiTheme="majorHAnsi" w:cstheme="majorHAnsi"/>
          <w:lang w:val="ro-RO"/>
        </w:rPr>
      </w:pPr>
      <w:r w:rsidRPr="006A1CEA">
        <w:rPr>
          <w:rFonts w:asciiTheme="majorHAnsi" w:hAnsiTheme="majorHAnsi" w:cstheme="majorHAnsi"/>
          <w:lang w:val="ro-RO"/>
        </w:rPr>
        <w:t>Pentru o mai mare certitudine, în prezent</w:t>
      </w:r>
      <w:r w:rsidR="004E73C1">
        <w:rPr>
          <w:rFonts w:asciiTheme="majorHAnsi" w:hAnsiTheme="majorHAnsi" w:cstheme="majorHAnsi"/>
          <w:lang w:val="ro-RO"/>
        </w:rPr>
        <w:t>,</w:t>
      </w:r>
      <w:r w:rsidRPr="006A1CEA">
        <w:rPr>
          <w:rFonts w:asciiTheme="majorHAnsi" w:hAnsiTheme="majorHAnsi" w:cstheme="majorHAnsi"/>
          <w:lang w:val="ro-RO"/>
        </w:rPr>
        <w:t xml:space="preserve"> contribuabili</w:t>
      </w:r>
      <w:r w:rsidR="004E73C1">
        <w:rPr>
          <w:rFonts w:asciiTheme="majorHAnsi" w:hAnsiTheme="majorHAnsi" w:cstheme="majorHAnsi"/>
          <w:lang w:val="ro-RO"/>
        </w:rPr>
        <w:t>i</w:t>
      </w:r>
      <w:r w:rsidRPr="006A1CEA">
        <w:rPr>
          <w:rFonts w:asciiTheme="majorHAnsi" w:hAnsiTheme="majorHAnsi" w:cstheme="majorHAnsi"/>
          <w:lang w:val="ro-RO"/>
        </w:rPr>
        <w:t xml:space="preserve"> pot apela, teoretic, la un expert din cadrul Registrului experților </w:t>
      </w:r>
      <w:r w:rsidR="00306666">
        <w:rPr>
          <w:rFonts w:asciiTheme="majorHAnsi" w:hAnsiTheme="majorHAnsi" w:cstheme="majorHAnsi"/>
          <w:lang w:val="ro-RO"/>
        </w:rPr>
        <w:t>în</w:t>
      </w:r>
      <w:r w:rsidR="00306666" w:rsidRPr="006A1CEA">
        <w:rPr>
          <w:rFonts w:asciiTheme="majorHAnsi" w:hAnsiTheme="majorHAnsi" w:cstheme="majorHAnsi"/>
          <w:lang w:val="ro-RO"/>
        </w:rPr>
        <w:t xml:space="preserve"> </w:t>
      </w:r>
      <w:r w:rsidRPr="006A1CEA">
        <w:rPr>
          <w:rFonts w:asciiTheme="majorHAnsi" w:hAnsiTheme="majorHAnsi" w:cstheme="majorHAnsi"/>
          <w:lang w:val="ro-RO"/>
        </w:rPr>
        <w:t>domenii de cercetare-dezvoltare (înființat în acest scop, potrivit legislației în vigoare), pentru a le certifica încadrarea activităților desfășurate în categoria celor de cercetare-dezvoltare. Totuși, în practică</w:t>
      </w:r>
      <w:r w:rsidR="00306666">
        <w:rPr>
          <w:rFonts w:asciiTheme="majorHAnsi" w:hAnsiTheme="majorHAnsi" w:cstheme="majorHAnsi"/>
          <w:lang w:val="ro-RO"/>
        </w:rPr>
        <w:t>,</w:t>
      </w:r>
      <w:r w:rsidRPr="006A1CEA">
        <w:rPr>
          <w:rFonts w:asciiTheme="majorHAnsi" w:hAnsiTheme="majorHAnsi" w:cstheme="majorHAnsi"/>
          <w:lang w:val="ro-RO"/>
        </w:rPr>
        <w:t xml:space="preserve"> acești experți sunt rareori solicitați, tocmai din cauza faptului că procedurile de certificare nu sunt clare și nu oferă contribuabilului garanția </w:t>
      </w:r>
      <w:r>
        <w:rPr>
          <w:rFonts w:asciiTheme="majorHAnsi" w:hAnsiTheme="majorHAnsi" w:cstheme="majorHAnsi"/>
          <w:lang w:val="ro-RO"/>
        </w:rPr>
        <w:t xml:space="preserve">conformării. </w:t>
      </w:r>
    </w:p>
    <w:p w14:paraId="04A1F53C" w14:textId="77777777" w:rsidR="00C36038" w:rsidRDefault="00C36038" w:rsidP="00C36038">
      <w:pPr>
        <w:jc w:val="both"/>
        <w:rPr>
          <w:rFonts w:asciiTheme="majorHAnsi" w:hAnsiTheme="majorHAnsi" w:cstheme="majorHAnsi"/>
          <w:lang w:val="ro-RO"/>
        </w:rPr>
      </w:pPr>
    </w:p>
    <w:p w14:paraId="5449B6B1" w14:textId="77777777" w:rsidR="00C36038" w:rsidRPr="004B5A39" w:rsidRDefault="00C36038" w:rsidP="00C36038">
      <w:pPr>
        <w:jc w:val="both"/>
        <w:rPr>
          <w:rFonts w:asciiTheme="majorHAnsi" w:hAnsiTheme="majorHAnsi" w:cstheme="majorHAnsi"/>
          <w:b/>
          <w:lang w:val="ro-RO"/>
        </w:rPr>
      </w:pPr>
      <w:r w:rsidRPr="004B5A39">
        <w:rPr>
          <w:rFonts w:asciiTheme="majorHAnsi" w:hAnsiTheme="majorHAnsi" w:cstheme="majorHAnsi"/>
          <w:b/>
          <w:lang w:val="ro-RO"/>
        </w:rPr>
        <w:t>Schimbări benefice, anunțate de autorități</w:t>
      </w:r>
    </w:p>
    <w:p w14:paraId="36C39B63" w14:textId="2AABF435" w:rsidR="00C36038" w:rsidRPr="006A1CEA" w:rsidRDefault="00C36038" w:rsidP="00C36038">
      <w:pPr>
        <w:jc w:val="both"/>
        <w:rPr>
          <w:rFonts w:asciiTheme="majorHAnsi" w:hAnsiTheme="majorHAnsi" w:cstheme="majorHAnsi"/>
          <w:lang w:val="ro-RO"/>
        </w:rPr>
      </w:pPr>
      <w:r w:rsidRPr="006A1CEA">
        <w:rPr>
          <w:rFonts w:asciiTheme="majorHAnsi" w:hAnsiTheme="majorHAnsi" w:cstheme="majorHAnsi"/>
          <w:lang w:val="ro-RO"/>
        </w:rPr>
        <w:t xml:space="preserve">În această privință, Ministerul Cercetării, Inovării și Digitalizării lucrează, în prezent, la un ordin pentru </w:t>
      </w:r>
      <w:r w:rsidRPr="00390A7A">
        <w:rPr>
          <w:rFonts w:asciiTheme="majorHAnsi" w:hAnsiTheme="majorHAnsi" w:cstheme="majorHAnsi"/>
          <w:b/>
          <w:bCs/>
          <w:lang w:val="ro-RO"/>
        </w:rPr>
        <w:t>simplificarea și clarificarea procedurilor</w:t>
      </w:r>
      <w:r w:rsidRPr="006A1CEA">
        <w:rPr>
          <w:rFonts w:asciiTheme="majorHAnsi" w:hAnsiTheme="majorHAnsi" w:cstheme="majorHAnsi"/>
          <w:lang w:val="ro-RO"/>
        </w:rPr>
        <w:t xml:space="preserve"> necesare expertizării activităților de cercetare-dezvoltare. Printre altele, potrivit proiectului de ordin, apelarea la expertiză externă va fi opțională,</w:t>
      </w:r>
      <w:r w:rsidR="004A4687">
        <w:rPr>
          <w:rFonts w:asciiTheme="majorHAnsi" w:hAnsiTheme="majorHAnsi" w:cstheme="majorHAnsi"/>
          <w:lang w:val="ro-RO"/>
        </w:rPr>
        <w:t xml:space="preserve"> după </w:t>
      </w:r>
      <w:r w:rsidR="00420333">
        <w:rPr>
          <w:rFonts w:asciiTheme="majorHAnsi" w:hAnsiTheme="majorHAnsi" w:cstheme="majorHAnsi"/>
          <w:lang w:val="ro-RO"/>
        </w:rPr>
        <w:t xml:space="preserve">cum a declarat </w:t>
      </w:r>
      <w:r w:rsidR="00420333" w:rsidRPr="006A1CEA">
        <w:rPr>
          <w:rFonts w:asciiTheme="majorHAnsi" w:hAnsiTheme="majorHAnsi" w:cstheme="majorHAnsi"/>
          <w:color w:val="333333"/>
          <w:shd w:val="clear" w:color="auto" w:fill="FFFFFF"/>
          <w:lang w:val="ro-RO"/>
        </w:rPr>
        <w:t>M</w:t>
      </w:r>
      <w:r w:rsidR="00420333" w:rsidRPr="006A1CEA">
        <w:rPr>
          <w:rFonts w:asciiTheme="majorHAnsi" w:eastAsiaTheme="majorEastAsia" w:hAnsiTheme="majorHAnsi" w:cstheme="majorHAnsi"/>
          <w:kern w:val="28"/>
          <w:lang w:val="ro-RO"/>
        </w:rPr>
        <w:t>inistrul Cercetării, Inovării și Digitalizării</w:t>
      </w:r>
      <w:r w:rsidR="004A4687">
        <w:rPr>
          <w:rFonts w:asciiTheme="majorHAnsi" w:eastAsiaTheme="majorEastAsia" w:hAnsiTheme="majorHAnsi" w:cstheme="majorHAnsi"/>
          <w:kern w:val="28"/>
          <w:lang w:val="ro-RO"/>
        </w:rPr>
        <w:t xml:space="preserve"> î</w:t>
      </w:r>
      <w:r w:rsidR="00420333">
        <w:rPr>
          <w:rFonts w:asciiTheme="majorHAnsi" w:eastAsiaTheme="majorEastAsia" w:hAnsiTheme="majorHAnsi" w:cstheme="majorHAnsi"/>
          <w:kern w:val="28"/>
          <w:lang w:val="ro-RO"/>
        </w:rPr>
        <w:t>n cadrul evenimentului Deloitte,</w:t>
      </w:r>
      <w:r w:rsidRPr="006A1CEA">
        <w:rPr>
          <w:rFonts w:asciiTheme="majorHAnsi" w:hAnsiTheme="majorHAnsi" w:cstheme="majorHAnsi"/>
          <w:lang w:val="ro-RO"/>
        </w:rPr>
        <w:t xml:space="preserve"> iar contribuabilii vor putea aplica facilitățile fiscale fără a fi obligați să parcurgă această etapă, dacă pot realiza intern documentația care să demonstreze eligibilitatea activităților realizate. Totuși, în cazul în care derularea unei astfel de expertize se va simplifica, este de așteptat ca mulți contribuabili să apeleze la o astfel de procedură, pentru a obține o garanție </w:t>
      </w:r>
      <w:r w:rsidR="00306666" w:rsidRPr="006A1CEA">
        <w:rPr>
          <w:rFonts w:asciiTheme="majorHAnsi" w:hAnsiTheme="majorHAnsi" w:cstheme="majorHAnsi"/>
          <w:lang w:val="ro-RO"/>
        </w:rPr>
        <w:t>suplimentar</w:t>
      </w:r>
      <w:r w:rsidR="00306666">
        <w:rPr>
          <w:rFonts w:asciiTheme="majorHAnsi" w:hAnsiTheme="majorHAnsi" w:cstheme="majorHAnsi"/>
          <w:lang w:val="ro-RO"/>
        </w:rPr>
        <w:t>ă</w:t>
      </w:r>
      <w:r w:rsidR="00306666" w:rsidRPr="006A1CEA">
        <w:rPr>
          <w:rFonts w:asciiTheme="majorHAnsi" w:hAnsiTheme="majorHAnsi" w:cstheme="majorHAnsi"/>
          <w:lang w:val="ro-RO"/>
        </w:rPr>
        <w:t xml:space="preserve"> </w:t>
      </w:r>
      <w:r w:rsidRPr="006A1CEA">
        <w:rPr>
          <w:rFonts w:asciiTheme="majorHAnsi" w:hAnsiTheme="majorHAnsi" w:cstheme="majorHAnsi"/>
          <w:lang w:val="ro-RO"/>
        </w:rPr>
        <w:t xml:space="preserve">că pot aplica facilitățile fără să riște ca, peste câțiva ani, în cadrul unei inspecții fiscale, autoritățile să conteste aplicabilitatea și să impună sume suplimentare de plată. </w:t>
      </w:r>
    </w:p>
    <w:p w14:paraId="1A0AA69F" w14:textId="21C458FE" w:rsidR="00C36038" w:rsidRPr="006A1CEA" w:rsidRDefault="00C36038" w:rsidP="00C36038">
      <w:pPr>
        <w:jc w:val="both"/>
        <w:rPr>
          <w:rFonts w:asciiTheme="majorHAnsi" w:hAnsiTheme="majorHAnsi" w:cstheme="majorHAnsi"/>
          <w:lang w:val="ro-RO"/>
        </w:rPr>
      </w:pPr>
      <w:r w:rsidRPr="006A1CEA">
        <w:rPr>
          <w:rFonts w:asciiTheme="majorHAnsi" w:hAnsiTheme="majorHAnsi" w:cstheme="majorHAnsi"/>
          <w:lang w:val="ro-RO"/>
        </w:rPr>
        <w:t>Aceste clarificări, alături de alte măsuri anunțate de ministrul de resort pentru stimularea activităților de cercetare-dezvoltare, cum ar fi adoptarea unei legislații specifice pentru start-</w:t>
      </w:r>
      <w:proofErr w:type="spellStart"/>
      <w:r w:rsidRPr="006A1CEA">
        <w:rPr>
          <w:rFonts w:asciiTheme="majorHAnsi" w:hAnsiTheme="majorHAnsi" w:cstheme="majorHAnsi"/>
          <w:lang w:val="ro-RO"/>
        </w:rPr>
        <w:t>upurile</w:t>
      </w:r>
      <w:proofErr w:type="spellEnd"/>
      <w:r w:rsidRPr="006A1CEA">
        <w:rPr>
          <w:rFonts w:asciiTheme="majorHAnsi" w:hAnsiTheme="majorHAnsi" w:cstheme="majorHAnsi"/>
          <w:lang w:val="ro-RO"/>
        </w:rPr>
        <w:t xml:space="preserve"> </w:t>
      </w:r>
      <w:r w:rsidR="00306666" w:rsidRPr="006A1CEA">
        <w:rPr>
          <w:rFonts w:asciiTheme="majorHAnsi" w:hAnsiTheme="majorHAnsi" w:cstheme="majorHAnsi"/>
          <w:lang w:val="ro-RO"/>
        </w:rPr>
        <w:t>inovat</w:t>
      </w:r>
      <w:r w:rsidR="00306666">
        <w:rPr>
          <w:rFonts w:asciiTheme="majorHAnsi" w:hAnsiTheme="majorHAnsi" w:cstheme="majorHAnsi"/>
          <w:lang w:val="ro-RO"/>
        </w:rPr>
        <w:t>oare</w:t>
      </w:r>
      <w:r w:rsidRPr="006A1CEA">
        <w:rPr>
          <w:rFonts w:asciiTheme="majorHAnsi" w:hAnsiTheme="majorHAnsi" w:cstheme="majorHAnsi"/>
          <w:lang w:val="ro-RO"/>
        </w:rPr>
        <w:t>, a</w:t>
      </w:r>
      <w:r w:rsidR="00420333">
        <w:rPr>
          <w:rFonts w:asciiTheme="majorHAnsi" w:hAnsiTheme="majorHAnsi" w:cstheme="majorHAnsi"/>
          <w:lang w:val="ro-RO"/>
        </w:rPr>
        <w:t>u</w:t>
      </w:r>
      <w:r w:rsidRPr="006A1CEA">
        <w:rPr>
          <w:rFonts w:asciiTheme="majorHAnsi" w:hAnsiTheme="majorHAnsi" w:cstheme="majorHAnsi"/>
          <w:lang w:val="ro-RO"/>
        </w:rPr>
        <w:t xml:space="preserve"> potențialul de a genera creșterea investițiilor în astfel de proiecte, cu scopul final de a crea bunăstare pe termen lung pentru întreaga societate. </w:t>
      </w:r>
    </w:p>
    <w:p w14:paraId="25A6D34B" w14:textId="77777777" w:rsidR="00C36038" w:rsidRPr="006A1CEA" w:rsidRDefault="00C36038" w:rsidP="00C36038">
      <w:pPr>
        <w:jc w:val="both"/>
        <w:rPr>
          <w:rFonts w:asciiTheme="majorHAnsi" w:hAnsiTheme="majorHAnsi" w:cstheme="majorHAnsi"/>
          <w:lang w:val="ro-RO"/>
        </w:rPr>
      </w:pPr>
    </w:p>
    <w:p w14:paraId="0C049A33" w14:textId="77777777" w:rsidR="005F346D" w:rsidRPr="00125664" w:rsidRDefault="005F346D" w:rsidP="00C36038">
      <w:pPr>
        <w:tabs>
          <w:tab w:val="left" w:pos="4590"/>
        </w:tabs>
        <w:jc w:val="center"/>
        <w:rPr>
          <w:rFonts w:asciiTheme="majorHAnsi" w:hAnsiTheme="majorHAnsi" w:cstheme="majorHAnsi"/>
          <w:lang w:val="ro-RO"/>
        </w:rPr>
      </w:pPr>
    </w:p>
    <w:sectPr w:rsidR="005F346D" w:rsidRPr="00125664" w:rsidSect="00390A7A">
      <w:headerReference w:type="default" r:id="rId8"/>
      <w:headerReference w:type="first" r:id="rId9"/>
      <w:footerReference w:type="first" r:id="rId10"/>
      <w:pgSz w:w="11901" w:h="16840" w:code="9"/>
      <w:pgMar w:top="1440" w:right="1440" w:bottom="1440" w:left="1440" w:header="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E5F7A" w14:textId="77777777" w:rsidR="00EB0274" w:rsidRDefault="00EB0274" w:rsidP="0089130B">
      <w:pPr>
        <w:spacing w:line="240" w:lineRule="auto"/>
      </w:pPr>
      <w:r>
        <w:separator/>
      </w:r>
    </w:p>
  </w:endnote>
  <w:endnote w:type="continuationSeparator" w:id="0">
    <w:p w14:paraId="3E6B9EEB" w14:textId="77777777" w:rsidR="00EB0274" w:rsidRDefault="00EB0274" w:rsidP="00891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2AFE" w14:textId="77777777" w:rsidR="001615F5" w:rsidRPr="001615F5" w:rsidRDefault="00000000"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92826" w14:textId="77777777" w:rsidR="00EB0274" w:rsidRDefault="00EB0274" w:rsidP="0089130B">
      <w:pPr>
        <w:spacing w:line="240" w:lineRule="auto"/>
      </w:pPr>
      <w:r>
        <w:separator/>
      </w:r>
    </w:p>
  </w:footnote>
  <w:footnote w:type="continuationSeparator" w:id="0">
    <w:p w14:paraId="628D8CC6" w14:textId="77777777" w:rsidR="00EB0274" w:rsidRDefault="00EB0274" w:rsidP="008913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BA0E" w14:textId="77777777" w:rsidR="003A0D61" w:rsidRDefault="001C5322"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5FE1AB36" wp14:editId="6F7227E8">
          <wp:simplePos x="0" y="0"/>
          <wp:positionH relativeFrom="column">
            <wp:posOffset>0</wp:posOffset>
          </wp:positionH>
          <wp:positionV relativeFrom="paragraph">
            <wp:posOffset>368300</wp:posOffset>
          </wp:positionV>
          <wp:extent cx="1630680" cy="304800"/>
          <wp:effectExtent l="0" t="0" r="7620" b="0"/>
          <wp:wrapNone/>
          <wp:docPr id="34" name="Picture 34"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0C9E" w14:textId="77777777" w:rsidR="006A0423" w:rsidRDefault="00000000" w:rsidP="003023E6">
    <w:pPr>
      <w:pStyle w:val="Legalentity"/>
      <w:spacing w:after="140" w:line="240" w:lineRule="auto"/>
      <w:rPr>
        <w:rFonts w:ascii="FrutigerNextPro-Light" w:hAnsi="FrutigerNextPro-Light"/>
        <w:color w:val="002776"/>
      </w:rPr>
    </w:pPr>
  </w:p>
  <w:p w14:paraId="3F73CA5D" w14:textId="77777777" w:rsidR="006A0423" w:rsidRDefault="001C5322"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2336" behindDoc="0" locked="0" layoutInCell="1" allowOverlap="1" wp14:anchorId="0971E1B3" wp14:editId="70EC5196">
          <wp:simplePos x="0" y="0"/>
          <wp:positionH relativeFrom="column">
            <wp:posOffset>3868420</wp:posOffset>
          </wp:positionH>
          <wp:positionV relativeFrom="paragraph">
            <wp:posOffset>12700</wp:posOffset>
          </wp:positionV>
          <wp:extent cx="2221230" cy="1663700"/>
          <wp:effectExtent l="0" t="0" r="762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1230" cy="1663700"/>
                  </a:xfrm>
                  <a:prstGeom prst="rect">
                    <a:avLst/>
                  </a:prstGeom>
                </pic:spPr>
              </pic:pic>
            </a:graphicData>
          </a:graphic>
        </wp:anchor>
      </w:drawing>
    </w:r>
  </w:p>
  <w:p w14:paraId="582717C4" w14:textId="77777777" w:rsidR="006A0423" w:rsidRDefault="001C5322"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1312" behindDoc="1" locked="0" layoutInCell="1" allowOverlap="1" wp14:anchorId="3502E539" wp14:editId="4B208DC1">
          <wp:simplePos x="0" y="0"/>
          <wp:positionH relativeFrom="column">
            <wp:posOffset>-287020</wp:posOffset>
          </wp:positionH>
          <wp:positionV relativeFrom="paragraph">
            <wp:posOffset>230505</wp:posOffset>
          </wp:positionV>
          <wp:extent cx="2216150" cy="901700"/>
          <wp:effectExtent l="0" t="0" r="0" b="0"/>
          <wp:wrapNone/>
          <wp:docPr id="35"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7AD11" w14:textId="77777777" w:rsidR="006A0423" w:rsidRDefault="001C5322" w:rsidP="003023E6">
    <w:pPr>
      <w:pStyle w:val="Legalentity"/>
      <w:spacing w:after="140" w:line="240" w:lineRule="auto"/>
      <w:rPr>
        <w:rFonts w:ascii="FrutigerNextPro-Light" w:hAnsi="FrutigerNextPro-Light"/>
        <w:color w:val="002776"/>
      </w:rPr>
    </w:pP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p>
  <w:p w14:paraId="7D475078" w14:textId="77777777" w:rsidR="00AF6CE1" w:rsidRDefault="00000000" w:rsidP="003023E6">
    <w:pPr>
      <w:pStyle w:val="Legalentity"/>
      <w:spacing w:after="140" w:line="240" w:lineRule="auto"/>
      <w:rPr>
        <w:rFonts w:ascii="FrutigerNextPro-Light" w:hAnsi="FrutigerNextPro-Light"/>
        <w:color w:val="002776"/>
      </w:rPr>
    </w:pPr>
  </w:p>
  <w:p w14:paraId="33E70FFE" w14:textId="77777777" w:rsidR="00BD4912" w:rsidRDefault="00000000" w:rsidP="003023E6">
    <w:pPr>
      <w:pStyle w:val="Legalentity"/>
      <w:spacing w:after="140" w:line="240" w:lineRule="auto"/>
      <w:rPr>
        <w:rFonts w:ascii="FrutigerNextPro-Light" w:hAnsi="FrutigerNextPro-Light"/>
        <w:color w:val="002776"/>
      </w:rPr>
    </w:pPr>
  </w:p>
  <w:p w14:paraId="425D5B9D" w14:textId="77777777" w:rsidR="00BD4912" w:rsidRDefault="00000000" w:rsidP="003023E6">
    <w:pPr>
      <w:pStyle w:val="Legalentity"/>
      <w:spacing w:after="140" w:line="240" w:lineRule="auto"/>
      <w:rPr>
        <w:rFonts w:ascii="FrutigerNextPro-Light" w:hAnsi="FrutigerNextPro-Light"/>
        <w:color w:val="002776"/>
      </w:rPr>
    </w:pPr>
  </w:p>
  <w:p w14:paraId="129075CC" w14:textId="77777777" w:rsidR="00BD4912" w:rsidRDefault="00000000" w:rsidP="003023E6">
    <w:pPr>
      <w:pStyle w:val="Legalentity"/>
      <w:spacing w:after="140" w:line="240" w:lineRule="auto"/>
      <w:rPr>
        <w:rFonts w:ascii="FrutigerNextPro-Light" w:hAnsi="FrutigerNextPro-Light"/>
        <w:color w:val="002776"/>
      </w:rPr>
    </w:pPr>
  </w:p>
  <w:p w14:paraId="4B03CBD4" w14:textId="77777777" w:rsidR="005443B3" w:rsidRPr="001615F5" w:rsidRDefault="001C5322">
    <w:pPr>
      <w:pStyle w:val="Header"/>
      <w:rPr>
        <w:sz w:val="11"/>
        <w:szCs w:val="11"/>
      </w:rPr>
    </w:pPr>
    <w:r>
      <w:rPr>
        <w:noProof/>
        <w:lang w:val="en-US" w:eastAsia="en-US"/>
      </w:rPr>
      <mc:AlternateContent>
        <mc:Choice Requires="wps">
          <w:drawing>
            <wp:anchor distT="0" distB="0" distL="114300" distR="114300" simplePos="0" relativeHeight="251660288" behindDoc="1" locked="1" layoutInCell="0" allowOverlap="1" wp14:anchorId="3AEAFAFB" wp14:editId="63AB4F2A">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08F23F" w14:textId="77777777" w:rsidR="006679A3" w:rsidRPr="00E57B68" w:rsidRDefault="00000000"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AFAFB" id="_x0000_t202" coordsize="21600,21600" o:spt="202" path="m,l,21600r21600,l21600,xe">
              <v:stroke joinstyle="miter"/>
              <v:path gradientshapeok="t" o:connecttype="rect"/>
            </v:shapetype>
            <v:shape id="Text Box 9" o:spid="_x0000_s1026" type="#_x0000_t202" style="position:absolute;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" o:allowincell="f" stroked="f">
              <v:textbox inset="0,0,0,0">
                <w:txbxContent>
                  <w:p w14:paraId="3E08F23F" w14:textId="77777777" w:rsidR="006679A3" w:rsidRPr="00E57B68" w:rsidRDefault="00306666" w:rsidP="006679A3">
                    <w:pPr>
                      <w:autoSpaceDE w:val="0"/>
                      <w:autoSpaceDN w:val="0"/>
                      <w:adjustRightInd w:val="0"/>
                      <w:spacing w:line="180" w:lineRule="atLeast"/>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64A3F"/>
    <w:multiLevelType w:val="hybridMultilevel"/>
    <w:tmpl w:val="25C2FF6A"/>
    <w:lvl w:ilvl="0" w:tplc="EB605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2178C"/>
    <w:multiLevelType w:val="hybridMultilevel"/>
    <w:tmpl w:val="FA16E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046CD"/>
    <w:multiLevelType w:val="hybridMultilevel"/>
    <w:tmpl w:val="D0AE6308"/>
    <w:lvl w:ilvl="0" w:tplc="EB605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875665">
    <w:abstractNumId w:val="2"/>
  </w:num>
  <w:num w:numId="2" w16cid:durableId="610935716">
    <w:abstractNumId w:val="0"/>
  </w:num>
  <w:num w:numId="3" w16cid:durableId="770320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65"/>
    <w:rsid w:val="000078B9"/>
    <w:rsid w:val="00024692"/>
    <w:rsid w:val="00042F0D"/>
    <w:rsid w:val="0004575D"/>
    <w:rsid w:val="00082BC1"/>
    <w:rsid w:val="000A166C"/>
    <w:rsid w:val="000C0371"/>
    <w:rsid w:val="000C0677"/>
    <w:rsid w:val="000D312D"/>
    <w:rsid w:val="000D6FA3"/>
    <w:rsid w:val="000E1D26"/>
    <w:rsid w:val="000E216E"/>
    <w:rsid w:val="000E3327"/>
    <w:rsid w:val="000F1E89"/>
    <w:rsid w:val="000F2111"/>
    <w:rsid w:val="0010120B"/>
    <w:rsid w:val="001014A5"/>
    <w:rsid w:val="00106AC2"/>
    <w:rsid w:val="00123817"/>
    <w:rsid w:val="00125664"/>
    <w:rsid w:val="0013571E"/>
    <w:rsid w:val="0014117C"/>
    <w:rsid w:val="00145682"/>
    <w:rsid w:val="001465B1"/>
    <w:rsid w:val="00147003"/>
    <w:rsid w:val="00152A50"/>
    <w:rsid w:val="00153833"/>
    <w:rsid w:val="00154571"/>
    <w:rsid w:val="001636AD"/>
    <w:rsid w:val="00164C4B"/>
    <w:rsid w:val="00164D87"/>
    <w:rsid w:val="00167D33"/>
    <w:rsid w:val="00172614"/>
    <w:rsid w:val="001809A7"/>
    <w:rsid w:val="0018370A"/>
    <w:rsid w:val="001B1377"/>
    <w:rsid w:val="001B1FB3"/>
    <w:rsid w:val="001B6820"/>
    <w:rsid w:val="001C2C4D"/>
    <w:rsid w:val="001C5322"/>
    <w:rsid w:val="001E5A41"/>
    <w:rsid w:val="001F1D22"/>
    <w:rsid w:val="00200B62"/>
    <w:rsid w:val="00201BA4"/>
    <w:rsid w:val="00215097"/>
    <w:rsid w:val="002578A8"/>
    <w:rsid w:val="00280F5C"/>
    <w:rsid w:val="002974AE"/>
    <w:rsid w:val="002B26C4"/>
    <w:rsid w:val="002B695C"/>
    <w:rsid w:val="002D2279"/>
    <w:rsid w:val="002E1816"/>
    <w:rsid w:val="002F00EB"/>
    <w:rsid w:val="00306666"/>
    <w:rsid w:val="003126E0"/>
    <w:rsid w:val="003176F2"/>
    <w:rsid w:val="003318D5"/>
    <w:rsid w:val="00345E0F"/>
    <w:rsid w:val="00347249"/>
    <w:rsid w:val="00362616"/>
    <w:rsid w:val="003641B2"/>
    <w:rsid w:val="003662CD"/>
    <w:rsid w:val="003874D5"/>
    <w:rsid w:val="00390365"/>
    <w:rsid w:val="00390A7A"/>
    <w:rsid w:val="00390E23"/>
    <w:rsid w:val="003974AC"/>
    <w:rsid w:val="003A7487"/>
    <w:rsid w:val="003C6370"/>
    <w:rsid w:val="00406DB7"/>
    <w:rsid w:val="00411782"/>
    <w:rsid w:val="00420333"/>
    <w:rsid w:val="00424DD5"/>
    <w:rsid w:val="00425AC4"/>
    <w:rsid w:val="004311CF"/>
    <w:rsid w:val="00436249"/>
    <w:rsid w:val="00480728"/>
    <w:rsid w:val="004A3D70"/>
    <w:rsid w:val="004A4687"/>
    <w:rsid w:val="004A69A2"/>
    <w:rsid w:val="004C2318"/>
    <w:rsid w:val="004E13A9"/>
    <w:rsid w:val="004E73C1"/>
    <w:rsid w:val="005062FA"/>
    <w:rsid w:val="0051326B"/>
    <w:rsid w:val="00536BA1"/>
    <w:rsid w:val="0055664C"/>
    <w:rsid w:val="00562031"/>
    <w:rsid w:val="00566241"/>
    <w:rsid w:val="00581082"/>
    <w:rsid w:val="00586373"/>
    <w:rsid w:val="00587AC5"/>
    <w:rsid w:val="005A1C5C"/>
    <w:rsid w:val="005A3E9D"/>
    <w:rsid w:val="005B6F65"/>
    <w:rsid w:val="005C307E"/>
    <w:rsid w:val="005C3B11"/>
    <w:rsid w:val="005C6A92"/>
    <w:rsid w:val="005C6F99"/>
    <w:rsid w:val="005F346D"/>
    <w:rsid w:val="00606D41"/>
    <w:rsid w:val="0061168F"/>
    <w:rsid w:val="006205FF"/>
    <w:rsid w:val="00623551"/>
    <w:rsid w:val="00637EA8"/>
    <w:rsid w:val="006538DB"/>
    <w:rsid w:val="00653E78"/>
    <w:rsid w:val="00656246"/>
    <w:rsid w:val="00660462"/>
    <w:rsid w:val="00663476"/>
    <w:rsid w:val="0067589C"/>
    <w:rsid w:val="0067795A"/>
    <w:rsid w:val="00683743"/>
    <w:rsid w:val="00683A92"/>
    <w:rsid w:val="00683FA7"/>
    <w:rsid w:val="006C4BBE"/>
    <w:rsid w:val="006C71D1"/>
    <w:rsid w:val="006D0CF2"/>
    <w:rsid w:val="006E36BC"/>
    <w:rsid w:val="006E5DF3"/>
    <w:rsid w:val="006F6AA2"/>
    <w:rsid w:val="00701DC7"/>
    <w:rsid w:val="00703CFB"/>
    <w:rsid w:val="007102CA"/>
    <w:rsid w:val="00744B63"/>
    <w:rsid w:val="00746187"/>
    <w:rsid w:val="0077024E"/>
    <w:rsid w:val="00787DFC"/>
    <w:rsid w:val="007A5BF3"/>
    <w:rsid w:val="007C0E44"/>
    <w:rsid w:val="007D485E"/>
    <w:rsid w:val="007D75CD"/>
    <w:rsid w:val="007E1BEF"/>
    <w:rsid w:val="007F159A"/>
    <w:rsid w:val="00804265"/>
    <w:rsid w:val="008212AA"/>
    <w:rsid w:val="00822A06"/>
    <w:rsid w:val="00841045"/>
    <w:rsid w:val="00843514"/>
    <w:rsid w:val="0086493E"/>
    <w:rsid w:val="0087289A"/>
    <w:rsid w:val="00872C6F"/>
    <w:rsid w:val="0089130B"/>
    <w:rsid w:val="008A2C13"/>
    <w:rsid w:val="008D0CFC"/>
    <w:rsid w:val="008D4033"/>
    <w:rsid w:val="008D5C33"/>
    <w:rsid w:val="008F1995"/>
    <w:rsid w:val="00900855"/>
    <w:rsid w:val="009101BC"/>
    <w:rsid w:val="00935C9F"/>
    <w:rsid w:val="0094175E"/>
    <w:rsid w:val="009512CB"/>
    <w:rsid w:val="00955CEA"/>
    <w:rsid w:val="00961C65"/>
    <w:rsid w:val="00966788"/>
    <w:rsid w:val="0096701E"/>
    <w:rsid w:val="00970ED6"/>
    <w:rsid w:val="009725F2"/>
    <w:rsid w:val="00996909"/>
    <w:rsid w:val="009A7059"/>
    <w:rsid w:val="009A7A94"/>
    <w:rsid w:val="009F7E72"/>
    <w:rsid w:val="00A05E9C"/>
    <w:rsid w:val="00A14076"/>
    <w:rsid w:val="00A3347A"/>
    <w:rsid w:val="00A352A8"/>
    <w:rsid w:val="00A41236"/>
    <w:rsid w:val="00A80A2A"/>
    <w:rsid w:val="00A84D2F"/>
    <w:rsid w:val="00A858EF"/>
    <w:rsid w:val="00A93B09"/>
    <w:rsid w:val="00AB11EF"/>
    <w:rsid w:val="00AB4333"/>
    <w:rsid w:val="00AB483A"/>
    <w:rsid w:val="00AB4F86"/>
    <w:rsid w:val="00AD7359"/>
    <w:rsid w:val="00B143DE"/>
    <w:rsid w:val="00B23DE3"/>
    <w:rsid w:val="00B37125"/>
    <w:rsid w:val="00B40E03"/>
    <w:rsid w:val="00B4594D"/>
    <w:rsid w:val="00B64857"/>
    <w:rsid w:val="00B8152B"/>
    <w:rsid w:val="00B835F8"/>
    <w:rsid w:val="00B873DF"/>
    <w:rsid w:val="00B95FB6"/>
    <w:rsid w:val="00BC0932"/>
    <w:rsid w:val="00BD207A"/>
    <w:rsid w:val="00C06F89"/>
    <w:rsid w:val="00C36038"/>
    <w:rsid w:val="00C4033A"/>
    <w:rsid w:val="00C40535"/>
    <w:rsid w:val="00C5004F"/>
    <w:rsid w:val="00C5756E"/>
    <w:rsid w:val="00C60C04"/>
    <w:rsid w:val="00C674D9"/>
    <w:rsid w:val="00C84855"/>
    <w:rsid w:val="00CB45A0"/>
    <w:rsid w:val="00CB5293"/>
    <w:rsid w:val="00CC1D23"/>
    <w:rsid w:val="00CD70A8"/>
    <w:rsid w:val="00CE08EA"/>
    <w:rsid w:val="00CE7E62"/>
    <w:rsid w:val="00CF5AD0"/>
    <w:rsid w:val="00D10018"/>
    <w:rsid w:val="00D107DA"/>
    <w:rsid w:val="00D57330"/>
    <w:rsid w:val="00D7667B"/>
    <w:rsid w:val="00D95675"/>
    <w:rsid w:val="00DA047C"/>
    <w:rsid w:val="00DA68F2"/>
    <w:rsid w:val="00DB1AD8"/>
    <w:rsid w:val="00DB1B80"/>
    <w:rsid w:val="00DB58F1"/>
    <w:rsid w:val="00DC0072"/>
    <w:rsid w:val="00DC449A"/>
    <w:rsid w:val="00DF350F"/>
    <w:rsid w:val="00E026CE"/>
    <w:rsid w:val="00E24789"/>
    <w:rsid w:val="00E25FC8"/>
    <w:rsid w:val="00E45000"/>
    <w:rsid w:val="00E72373"/>
    <w:rsid w:val="00E85E0B"/>
    <w:rsid w:val="00EB0274"/>
    <w:rsid w:val="00ED3550"/>
    <w:rsid w:val="00EE6750"/>
    <w:rsid w:val="00EF0146"/>
    <w:rsid w:val="00F13928"/>
    <w:rsid w:val="00F42227"/>
    <w:rsid w:val="00F4774F"/>
    <w:rsid w:val="00F55065"/>
    <w:rsid w:val="00F55580"/>
    <w:rsid w:val="00F61840"/>
    <w:rsid w:val="00F642F5"/>
    <w:rsid w:val="00F67EB5"/>
    <w:rsid w:val="00F71FE2"/>
    <w:rsid w:val="00F84B22"/>
    <w:rsid w:val="00FA2C7A"/>
    <w:rsid w:val="00FA2E3C"/>
    <w:rsid w:val="00FA3A1C"/>
    <w:rsid w:val="00FB066A"/>
    <w:rsid w:val="00FD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A0B5C"/>
  <w15:chartTrackingRefBased/>
  <w15:docId w15:val="{D2C4BA1D-A30B-4DF7-9C77-F651CB14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664"/>
    <w:pPr>
      <w:tabs>
        <w:tab w:val="left" w:pos="284"/>
        <w:tab w:val="left" w:pos="567"/>
        <w:tab w:val="left" w:pos="851"/>
        <w:tab w:val="left" w:pos="1985"/>
        <w:tab w:val="left" w:pos="3119"/>
        <w:tab w:val="left" w:pos="4253"/>
        <w:tab w:val="right" w:pos="7655"/>
      </w:tabs>
      <w:spacing w:after="0" w:line="280" w:lineRule="exact"/>
    </w:pPr>
    <w:rPr>
      <w:rFonts w:ascii="Helvetica 45 Light" w:eastAsia="Times" w:hAnsi="Helvetica 45 Light"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2AA"/>
    <w:rPr>
      <w:color w:val="0563C1" w:themeColor="hyperlink"/>
      <w:u w:val="single"/>
    </w:rPr>
  </w:style>
  <w:style w:type="character" w:customStyle="1" w:styleId="UnresolvedMention1">
    <w:name w:val="Unresolved Mention1"/>
    <w:basedOn w:val="DefaultParagraphFont"/>
    <w:uiPriority w:val="99"/>
    <w:semiHidden/>
    <w:unhideWhenUsed/>
    <w:rsid w:val="008212AA"/>
    <w:rPr>
      <w:color w:val="605E5C"/>
      <w:shd w:val="clear" w:color="auto" w:fill="E1DFDD"/>
    </w:rPr>
  </w:style>
  <w:style w:type="paragraph" w:styleId="ListParagraph">
    <w:name w:val="List Paragraph"/>
    <w:basedOn w:val="Normal"/>
    <w:uiPriority w:val="34"/>
    <w:qFormat/>
    <w:rsid w:val="003C6370"/>
    <w:pPr>
      <w:ind w:left="720"/>
      <w:contextualSpacing/>
    </w:pPr>
  </w:style>
  <w:style w:type="character" w:styleId="FollowedHyperlink">
    <w:name w:val="FollowedHyperlink"/>
    <w:basedOn w:val="DefaultParagraphFont"/>
    <w:uiPriority w:val="99"/>
    <w:semiHidden/>
    <w:unhideWhenUsed/>
    <w:rsid w:val="00701DC7"/>
    <w:rPr>
      <w:color w:val="954F72" w:themeColor="followedHyperlink"/>
      <w:u w:val="single"/>
    </w:rPr>
  </w:style>
  <w:style w:type="table" w:styleId="TableGrid">
    <w:name w:val="Table Grid"/>
    <w:basedOn w:val="TableNormal"/>
    <w:uiPriority w:val="39"/>
    <w:rsid w:val="005A3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5A3E9D"/>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5A3E9D"/>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1">
    <w:name w:val="Grid Table 6 Colorful Accent 1"/>
    <w:basedOn w:val="TableNormal"/>
    <w:uiPriority w:val="51"/>
    <w:rsid w:val="005A3E9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5">
    <w:name w:val="Grid Table 6 Colorful Accent 5"/>
    <w:basedOn w:val="TableNormal"/>
    <w:uiPriority w:val="51"/>
    <w:rsid w:val="005A3E9D"/>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1">
    <w:name w:val="List Table 1 Light Accent 1"/>
    <w:basedOn w:val="TableNormal"/>
    <w:uiPriority w:val="46"/>
    <w:rsid w:val="005A3E9D"/>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B143DE"/>
    <w:rPr>
      <w:sz w:val="16"/>
      <w:szCs w:val="16"/>
    </w:rPr>
  </w:style>
  <w:style w:type="paragraph" w:styleId="CommentText">
    <w:name w:val="annotation text"/>
    <w:basedOn w:val="Normal"/>
    <w:link w:val="CommentTextChar"/>
    <w:uiPriority w:val="99"/>
    <w:semiHidden/>
    <w:unhideWhenUsed/>
    <w:rsid w:val="00B143DE"/>
    <w:pPr>
      <w:spacing w:line="240" w:lineRule="auto"/>
    </w:pPr>
  </w:style>
  <w:style w:type="character" w:customStyle="1" w:styleId="CommentTextChar">
    <w:name w:val="Comment Text Char"/>
    <w:basedOn w:val="DefaultParagraphFont"/>
    <w:link w:val="CommentText"/>
    <w:uiPriority w:val="99"/>
    <w:semiHidden/>
    <w:rsid w:val="00B143DE"/>
    <w:rPr>
      <w:sz w:val="20"/>
      <w:szCs w:val="20"/>
      <w:lang w:val="ro-RO"/>
    </w:rPr>
  </w:style>
  <w:style w:type="paragraph" w:styleId="CommentSubject">
    <w:name w:val="annotation subject"/>
    <w:basedOn w:val="CommentText"/>
    <w:next w:val="CommentText"/>
    <w:link w:val="CommentSubjectChar"/>
    <w:uiPriority w:val="99"/>
    <w:semiHidden/>
    <w:unhideWhenUsed/>
    <w:rsid w:val="00B143DE"/>
    <w:rPr>
      <w:b/>
      <w:bCs/>
    </w:rPr>
  </w:style>
  <w:style w:type="character" w:customStyle="1" w:styleId="CommentSubjectChar">
    <w:name w:val="Comment Subject Char"/>
    <w:basedOn w:val="CommentTextChar"/>
    <w:link w:val="CommentSubject"/>
    <w:uiPriority w:val="99"/>
    <w:semiHidden/>
    <w:rsid w:val="00B143DE"/>
    <w:rPr>
      <w:b/>
      <w:bCs/>
      <w:sz w:val="20"/>
      <w:szCs w:val="20"/>
      <w:lang w:val="ro-RO"/>
    </w:rPr>
  </w:style>
  <w:style w:type="paragraph" w:styleId="BalloonText">
    <w:name w:val="Balloon Text"/>
    <w:basedOn w:val="Normal"/>
    <w:link w:val="BalloonTextChar"/>
    <w:uiPriority w:val="99"/>
    <w:semiHidden/>
    <w:unhideWhenUsed/>
    <w:rsid w:val="00B143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3DE"/>
    <w:rPr>
      <w:rFonts w:ascii="Segoe UI" w:hAnsi="Segoe UI" w:cs="Segoe UI"/>
      <w:sz w:val="18"/>
      <w:szCs w:val="18"/>
      <w:lang w:val="ro-RO"/>
    </w:rPr>
  </w:style>
  <w:style w:type="paragraph" w:styleId="Footer">
    <w:name w:val="footer"/>
    <w:basedOn w:val="Normal"/>
    <w:link w:val="FooterChar"/>
    <w:semiHidden/>
    <w:rsid w:val="00125664"/>
    <w:pPr>
      <w:tabs>
        <w:tab w:val="clear" w:pos="284"/>
        <w:tab w:val="clear" w:pos="567"/>
        <w:tab w:val="clear" w:pos="851"/>
        <w:tab w:val="clear" w:pos="7655"/>
      </w:tabs>
      <w:spacing w:line="160" w:lineRule="exact"/>
    </w:pPr>
    <w:rPr>
      <w:sz w:val="12"/>
    </w:rPr>
  </w:style>
  <w:style w:type="character" w:customStyle="1" w:styleId="FooterChar">
    <w:name w:val="Footer Char"/>
    <w:basedOn w:val="DefaultParagraphFont"/>
    <w:link w:val="Footer"/>
    <w:semiHidden/>
    <w:rsid w:val="00125664"/>
    <w:rPr>
      <w:rFonts w:ascii="Helvetica 45 Light" w:eastAsia="Times" w:hAnsi="Helvetica 45 Light" w:cs="Times New Roman"/>
      <w:sz w:val="12"/>
      <w:szCs w:val="20"/>
      <w:lang w:val="en-GB" w:eastAsia="en-GB"/>
    </w:rPr>
  </w:style>
  <w:style w:type="paragraph" w:styleId="Header">
    <w:name w:val="header"/>
    <w:basedOn w:val="Normal"/>
    <w:link w:val="HeaderChar"/>
    <w:semiHidden/>
    <w:rsid w:val="00125664"/>
    <w:pPr>
      <w:tabs>
        <w:tab w:val="clear" w:pos="284"/>
        <w:tab w:val="clear" w:pos="567"/>
        <w:tab w:val="clear" w:pos="851"/>
        <w:tab w:val="clear" w:pos="1985"/>
        <w:tab w:val="clear" w:pos="3119"/>
        <w:tab w:val="clear" w:pos="4253"/>
        <w:tab w:val="clear" w:pos="7655"/>
        <w:tab w:val="center" w:pos="4320"/>
        <w:tab w:val="right" w:pos="8640"/>
      </w:tabs>
    </w:pPr>
  </w:style>
  <w:style w:type="character" w:customStyle="1" w:styleId="HeaderChar">
    <w:name w:val="Header Char"/>
    <w:basedOn w:val="DefaultParagraphFont"/>
    <w:link w:val="Header"/>
    <w:semiHidden/>
    <w:rsid w:val="00125664"/>
    <w:rPr>
      <w:rFonts w:ascii="Helvetica 45 Light" w:eastAsia="Times" w:hAnsi="Helvetica 45 Light" w:cs="Times New Roman"/>
      <w:sz w:val="20"/>
      <w:szCs w:val="20"/>
      <w:lang w:val="en-GB" w:eastAsia="en-GB"/>
    </w:rPr>
  </w:style>
  <w:style w:type="paragraph" w:customStyle="1" w:styleId="Legalentity">
    <w:name w:val="Legal entity"/>
    <w:basedOn w:val="Normal"/>
    <w:rsid w:val="00125664"/>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after="90" w:line="180" w:lineRule="atLeast"/>
      <w:textAlignment w:val="center"/>
    </w:pPr>
    <w:rPr>
      <w:rFonts w:ascii="ArialMT" w:eastAsia="Times New Roman" w:hAnsi="ArialMT"/>
      <w:color w:val="000000"/>
      <w:sz w:val="15"/>
    </w:rPr>
  </w:style>
  <w:style w:type="paragraph" w:styleId="Revision">
    <w:name w:val="Revision"/>
    <w:hidden/>
    <w:uiPriority w:val="99"/>
    <w:semiHidden/>
    <w:rsid w:val="003126E0"/>
    <w:pPr>
      <w:spacing w:after="0" w:line="240" w:lineRule="auto"/>
    </w:pPr>
    <w:rPr>
      <w:rFonts w:ascii="Helvetica 45 Light" w:eastAsia="Times" w:hAnsi="Helvetica 45 Light"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deloitte.com/ro/ro/pages/about-deloitte/articles/rolul-activitatii-de-cercetare-dezvoltare-economie-perspective-de-investitii-si-implicatii-fiscale-si-juridice.html?nc=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Anghel</dc:creator>
  <cp:keywords/>
  <dc:description/>
  <cp:lastModifiedBy>Anghel, Oana</cp:lastModifiedBy>
  <cp:revision>3</cp:revision>
  <dcterms:created xsi:type="dcterms:W3CDTF">2022-09-16T16:10:00Z</dcterms:created>
  <dcterms:modified xsi:type="dcterms:W3CDTF">2022-09-19T08:40:00Z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2022-08-29T14:48:07Z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dd57ffc2-3875-42db-9bda-3f5fb87778a6</vt:lpwstr>
  </property>
  <property fmtid="{D5CDD505-2E9C-101B-9397-08002B2CF9AE}" pid="8" name="MSIP_Label_ea60d57e-af5b-4752-ac57-3e4f28ca11dc_ContentBits">
    <vt:lpwstr>0</vt:lpwstr>
  </property>
</Properties>
</file>