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25F" w:rsidRPr="00700784" w:rsidRDefault="000627B8" w:rsidP="00700784">
      <w:pPr>
        <w:spacing w:line="276" w:lineRule="auto"/>
        <w:ind w:left="0"/>
        <w:jc w:val="center"/>
        <w:rPr>
          <w:rFonts w:ascii="Times New Roman" w:hAnsi="Times New Roman" w:cs="Times New Roman"/>
          <w:b/>
          <w:bCs/>
          <w:sz w:val="24"/>
          <w:szCs w:val="24"/>
        </w:rPr>
      </w:pPr>
      <w:bookmarkStart w:id="0" w:name="_GoBack"/>
      <w:bookmarkEnd w:id="0"/>
      <w:r w:rsidRPr="000627B8">
        <w:rPr>
          <w:rFonts w:ascii="Times New Roman" w:hAnsi="Times New Roman" w:cs="Times New Roman"/>
          <w:b/>
          <w:bCs/>
          <w:sz w:val="24"/>
          <w:szCs w:val="24"/>
        </w:rPr>
        <w:t>NOTĂ DE FUNDAMENTARE</w:t>
      </w:r>
    </w:p>
    <w:tbl>
      <w:tblPr>
        <w:tblpPr w:leftFromText="180" w:rightFromText="180" w:vertAnchor="text" w:horzAnchor="margin" w:tblpY="3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BA725F" w:rsidRPr="00700784" w:rsidTr="00BA725F">
        <w:trPr>
          <w:trHeight w:val="1269"/>
        </w:trPr>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0E3B6C" w:rsidRDefault="000E3B6C" w:rsidP="00700784">
            <w:pPr>
              <w:spacing w:line="276" w:lineRule="auto"/>
              <w:ind w:left="0"/>
              <w:jc w:val="center"/>
              <w:rPr>
                <w:rFonts w:ascii="Times New Roman" w:hAnsi="Times New Roman" w:cs="Times New Roman"/>
                <w:b/>
                <w:bCs/>
                <w:sz w:val="24"/>
                <w:szCs w:val="24"/>
              </w:rPr>
            </w:pPr>
          </w:p>
          <w:p w:rsidR="00BA725F" w:rsidRPr="00700784" w:rsidRDefault="00BA725F" w:rsidP="00700784">
            <w:pPr>
              <w:spacing w:line="276" w:lineRule="auto"/>
              <w:ind w:left="0"/>
              <w:jc w:val="center"/>
              <w:rPr>
                <w:rFonts w:ascii="Times New Roman" w:hAnsi="Times New Roman" w:cs="Times New Roman"/>
                <w:b/>
                <w:bCs/>
                <w:sz w:val="24"/>
                <w:szCs w:val="24"/>
              </w:rPr>
            </w:pPr>
            <w:r w:rsidRPr="00700784">
              <w:rPr>
                <w:rFonts w:ascii="Times New Roman" w:hAnsi="Times New Roman" w:cs="Times New Roman"/>
                <w:b/>
                <w:bCs/>
                <w:sz w:val="24"/>
                <w:szCs w:val="24"/>
              </w:rPr>
              <w:t>Secțiunea 1</w:t>
            </w:r>
          </w:p>
          <w:p w:rsidR="00BA725F" w:rsidRPr="00700784" w:rsidRDefault="00BA725F" w:rsidP="00700784">
            <w:pPr>
              <w:spacing w:line="276" w:lineRule="auto"/>
              <w:ind w:left="0"/>
              <w:jc w:val="center"/>
              <w:rPr>
                <w:rFonts w:ascii="Times New Roman" w:hAnsi="Times New Roman" w:cs="Times New Roman"/>
                <w:b/>
                <w:bCs/>
                <w:sz w:val="24"/>
                <w:szCs w:val="24"/>
              </w:rPr>
            </w:pPr>
            <w:r w:rsidRPr="00700784">
              <w:rPr>
                <w:rFonts w:ascii="Times New Roman" w:hAnsi="Times New Roman" w:cs="Times New Roman"/>
                <w:b/>
                <w:bCs/>
                <w:sz w:val="24"/>
                <w:szCs w:val="24"/>
              </w:rPr>
              <w:t>Titlul proiectului de act normativ</w:t>
            </w:r>
          </w:p>
          <w:p w:rsidR="009E45DF" w:rsidRPr="00700784" w:rsidRDefault="009E45DF" w:rsidP="00700784">
            <w:pPr>
              <w:spacing w:line="276" w:lineRule="auto"/>
              <w:ind w:left="0"/>
              <w:jc w:val="center"/>
              <w:rPr>
                <w:rFonts w:ascii="Times New Roman" w:hAnsi="Times New Roman" w:cs="Times New Roman"/>
                <w:sz w:val="24"/>
                <w:szCs w:val="24"/>
              </w:rPr>
            </w:pPr>
          </w:p>
          <w:p w:rsidR="00BA725F" w:rsidRPr="00700784" w:rsidRDefault="000627B8" w:rsidP="001D7957">
            <w:pPr>
              <w:spacing w:line="276" w:lineRule="auto"/>
              <w:ind w:left="0"/>
              <w:jc w:val="center"/>
              <w:rPr>
                <w:rFonts w:ascii="Times New Roman" w:hAnsi="Times New Roman" w:cs="Times New Roman"/>
                <w:sz w:val="24"/>
                <w:szCs w:val="24"/>
              </w:rPr>
            </w:pPr>
            <w:r w:rsidRPr="000627B8">
              <w:rPr>
                <w:rFonts w:ascii="Times New Roman" w:hAnsi="Times New Roman" w:cs="Times New Roman"/>
                <w:sz w:val="24"/>
                <w:szCs w:val="24"/>
              </w:rPr>
              <w:t>Ordonanţă de urgenţă pentru modificarea și completarea Legii nr. 213/2015 privind Fondul de garantare a asiguraților și pentru modificarea altor acte normative</w:t>
            </w:r>
          </w:p>
        </w:tc>
      </w:tr>
      <w:tr w:rsidR="00BA725F" w:rsidRPr="00700784" w:rsidTr="00BA725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0E3B6C" w:rsidRDefault="000E3B6C" w:rsidP="00700784">
            <w:pPr>
              <w:spacing w:line="276" w:lineRule="auto"/>
              <w:ind w:left="0"/>
              <w:jc w:val="center"/>
              <w:rPr>
                <w:rFonts w:ascii="Times New Roman" w:hAnsi="Times New Roman" w:cs="Times New Roman"/>
                <w:b/>
                <w:bCs/>
                <w:sz w:val="24"/>
                <w:szCs w:val="24"/>
              </w:rPr>
            </w:pPr>
          </w:p>
          <w:p w:rsidR="00BA725F" w:rsidRPr="00700784" w:rsidRDefault="00BA725F" w:rsidP="00700784">
            <w:pPr>
              <w:spacing w:line="276" w:lineRule="auto"/>
              <w:ind w:left="0"/>
              <w:jc w:val="center"/>
              <w:rPr>
                <w:rFonts w:ascii="Times New Roman" w:hAnsi="Times New Roman" w:cs="Times New Roman"/>
                <w:b/>
                <w:bCs/>
                <w:sz w:val="24"/>
                <w:szCs w:val="24"/>
              </w:rPr>
            </w:pPr>
            <w:r w:rsidRPr="00700784">
              <w:rPr>
                <w:rFonts w:ascii="Times New Roman" w:hAnsi="Times New Roman" w:cs="Times New Roman"/>
                <w:b/>
                <w:bCs/>
                <w:sz w:val="24"/>
                <w:szCs w:val="24"/>
              </w:rPr>
              <w:t>Secţiunea a 2-a</w:t>
            </w:r>
          </w:p>
          <w:p w:rsidR="00BA725F" w:rsidRPr="00700784" w:rsidRDefault="00BA725F" w:rsidP="00700784">
            <w:pPr>
              <w:spacing w:line="276" w:lineRule="auto"/>
              <w:ind w:left="0"/>
              <w:jc w:val="center"/>
              <w:rPr>
                <w:rFonts w:ascii="Times New Roman" w:hAnsi="Times New Roman" w:cs="Times New Roman"/>
                <w:b/>
                <w:bCs/>
                <w:sz w:val="24"/>
                <w:szCs w:val="24"/>
              </w:rPr>
            </w:pPr>
            <w:r w:rsidRPr="00700784">
              <w:rPr>
                <w:rFonts w:ascii="Times New Roman" w:hAnsi="Times New Roman" w:cs="Times New Roman"/>
                <w:b/>
                <w:bCs/>
                <w:sz w:val="24"/>
                <w:szCs w:val="24"/>
              </w:rPr>
              <w:t>Motivul emiterii actului normativ</w:t>
            </w:r>
          </w:p>
        </w:tc>
      </w:tr>
      <w:tr w:rsidR="00BA725F" w:rsidRPr="00700784" w:rsidTr="00BA725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700784" w:rsidRDefault="00BA725F" w:rsidP="00700784">
            <w:pPr>
              <w:spacing w:line="276" w:lineRule="auto"/>
              <w:ind w:left="0"/>
              <w:rPr>
                <w:rFonts w:ascii="Times New Roman" w:hAnsi="Times New Roman" w:cs="Times New Roman"/>
                <w:b/>
                <w:bCs/>
                <w:sz w:val="24"/>
                <w:szCs w:val="24"/>
              </w:rPr>
            </w:pPr>
            <w:r w:rsidRPr="00700784">
              <w:rPr>
                <w:rFonts w:ascii="Times New Roman" w:hAnsi="Times New Roman" w:cs="Times New Roman"/>
                <w:b/>
                <w:bCs/>
                <w:sz w:val="24"/>
                <w:szCs w:val="24"/>
              </w:rPr>
              <w:t>1. Descrierea situaţiei actuale</w:t>
            </w:r>
          </w:p>
          <w:p w:rsidR="00BA725F" w:rsidRDefault="00BA725F" w:rsidP="00700784">
            <w:pPr>
              <w:spacing w:line="276" w:lineRule="auto"/>
              <w:ind w:left="0" w:firstLine="567"/>
              <w:rPr>
                <w:rFonts w:ascii="Times New Roman" w:hAnsi="Times New Roman" w:cs="Times New Roman"/>
                <w:bCs/>
                <w:sz w:val="24"/>
                <w:szCs w:val="24"/>
              </w:rPr>
            </w:pPr>
            <w:r w:rsidRPr="00700784">
              <w:rPr>
                <w:rFonts w:ascii="Times New Roman" w:hAnsi="Times New Roman" w:cs="Times New Roman"/>
                <w:bCs/>
                <w:sz w:val="24"/>
                <w:szCs w:val="24"/>
              </w:rPr>
              <w:t xml:space="preserve">Scopul Fondului de garantare a asiguraților, denumit în cele ce urmează </w:t>
            </w:r>
            <w:r w:rsidRPr="00C90653">
              <w:rPr>
                <w:rFonts w:ascii="Times New Roman" w:hAnsi="Times New Roman" w:cs="Times New Roman"/>
                <w:bCs/>
                <w:i/>
                <w:sz w:val="24"/>
                <w:szCs w:val="24"/>
              </w:rPr>
              <w:t>Fondul</w:t>
            </w:r>
            <w:r w:rsidRPr="00700784">
              <w:rPr>
                <w:rFonts w:ascii="Times New Roman" w:hAnsi="Times New Roman" w:cs="Times New Roman"/>
                <w:bCs/>
                <w:sz w:val="24"/>
                <w:szCs w:val="24"/>
              </w:rPr>
              <w:t xml:space="preserve">, este acela de a asigura plata din disponibilitățile sale a creanțelor de asigurări rezultate din contractele de asigurare facultative și obligatorii încheiate în condițiile legii, în cazul insolvenței unui asigurător autorizat  în România, către creditorii de asigurări care aleg să parcurgă procedura administrativă reglementată de </w:t>
            </w:r>
            <w:r w:rsidR="00C90653" w:rsidRPr="000627B8">
              <w:rPr>
                <w:rFonts w:ascii="Times New Roman" w:hAnsi="Times New Roman" w:cs="Times New Roman"/>
                <w:sz w:val="24"/>
                <w:szCs w:val="24"/>
              </w:rPr>
              <w:t xml:space="preserve"> </w:t>
            </w:r>
            <w:r w:rsidR="00C90653">
              <w:rPr>
                <w:rFonts w:ascii="Times New Roman" w:hAnsi="Times New Roman" w:cs="Times New Roman"/>
                <w:sz w:val="24"/>
                <w:szCs w:val="24"/>
              </w:rPr>
              <w:t>Legea</w:t>
            </w:r>
            <w:r w:rsidR="00C90653" w:rsidRPr="000627B8">
              <w:rPr>
                <w:rFonts w:ascii="Times New Roman" w:hAnsi="Times New Roman" w:cs="Times New Roman"/>
                <w:sz w:val="24"/>
                <w:szCs w:val="24"/>
              </w:rPr>
              <w:t xml:space="preserve"> nr. 213/2015 </w:t>
            </w:r>
            <w:r w:rsidRPr="00700784">
              <w:rPr>
                <w:rFonts w:ascii="Times New Roman" w:hAnsi="Times New Roman" w:cs="Times New Roman"/>
                <w:bCs/>
                <w:sz w:val="24"/>
                <w:szCs w:val="24"/>
              </w:rPr>
              <w:t>prin formularea de cereri de plată în acest sens și cu</w:t>
            </w:r>
            <w:r w:rsidRPr="00700784">
              <w:rPr>
                <w:rFonts w:ascii="Times New Roman" w:hAnsi="Times New Roman" w:cs="Times New Roman"/>
                <w:sz w:val="24"/>
                <w:szCs w:val="24"/>
              </w:rPr>
              <w:t xml:space="preserve"> </w:t>
            </w:r>
            <w:r w:rsidRPr="00700784">
              <w:rPr>
                <w:rFonts w:ascii="Times New Roman" w:hAnsi="Times New Roman" w:cs="Times New Roman"/>
                <w:bCs/>
                <w:sz w:val="24"/>
                <w:szCs w:val="24"/>
              </w:rPr>
              <w:t>respectarea plafonului de garantare prevăzut de lege.</w:t>
            </w:r>
          </w:p>
          <w:p w:rsidR="00643C32" w:rsidRDefault="000627B8" w:rsidP="00700784">
            <w:pPr>
              <w:spacing w:line="276" w:lineRule="auto"/>
              <w:ind w:left="0" w:firstLine="567"/>
              <w:rPr>
                <w:rFonts w:ascii="Times New Roman" w:hAnsi="Times New Roman" w:cs="Times New Roman"/>
                <w:sz w:val="24"/>
                <w:szCs w:val="24"/>
              </w:rPr>
            </w:pPr>
            <w:r>
              <w:rPr>
                <w:rFonts w:ascii="Times New Roman" w:hAnsi="Times New Roman" w:cs="Times New Roman"/>
                <w:bCs/>
                <w:sz w:val="24"/>
                <w:szCs w:val="24"/>
              </w:rPr>
              <w:t>Urgenț</w:t>
            </w:r>
            <w:r w:rsidRPr="000627B8">
              <w:rPr>
                <w:rFonts w:ascii="Times New Roman" w:hAnsi="Times New Roman" w:cs="Times New Roman"/>
                <w:bCs/>
                <w:sz w:val="24"/>
                <w:szCs w:val="24"/>
              </w:rPr>
              <w:t>a demersului de adoptare a propunerii leg</w:t>
            </w:r>
            <w:r>
              <w:rPr>
                <w:rFonts w:ascii="Times New Roman" w:hAnsi="Times New Roman" w:cs="Times New Roman"/>
                <w:bCs/>
                <w:sz w:val="24"/>
                <w:szCs w:val="24"/>
              </w:rPr>
              <w:t>islative sub forma unei ordonanțe de urgență</w:t>
            </w:r>
            <w:r w:rsidR="00FA43D2">
              <w:rPr>
                <w:rFonts w:ascii="Times New Roman" w:hAnsi="Times New Roman" w:cs="Times New Roman"/>
                <w:bCs/>
                <w:sz w:val="24"/>
                <w:szCs w:val="24"/>
              </w:rPr>
              <w:t xml:space="preserve"> este justificată </w:t>
            </w:r>
            <w:r w:rsidR="00C27B6E">
              <w:rPr>
                <w:rFonts w:ascii="Times New Roman" w:hAnsi="Times New Roman" w:cs="Times New Roman"/>
                <w:bCs/>
                <w:sz w:val="24"/>
                <w:szCs w:val="24"/>
              </w:rPr>
              <w:t>de necesitatea</w:t>
            </w:r>
            <w:r w:rsidR="00FA43D2">
              <w:rPr>
                <w:rFonts w:ascii="Times New Roman" w:hAnsi="Times New Roman" w:cs="Times New Roman"/>
                <w:bCs/>
                <w:sz w:val="24"/>
                <w:szCs w:val="24"/>
              </w:rPr>
              <w:t xml:space="preserve"> creșterii plafonului de despăgubire de la 450.000 lei cât este în momentul actual, la 500.000 de lei și, totodată, </w:t>
            </w:r>
            <w:r w:rsidR="00C27B6E">
              <w:rPr>
                <w:rFonts w:ascii="Times New Roman" w:hAnsi="Times New Roman" w:cs="Times New Roman"/>
                <w:bCs/>
                <w:sz w:val="24"/>
                <w:szCs w:val="24"/>
              </w:rPr>
              <w:t xml:space="preserve">de faptul că </w:t>
            </w:r>
            <w:r w:rsidR="00FA43D2">
              <w:rPr>
                <w:rFonts w:ascii="Times New Roman" w:hAnsi="Times New Roman" w:cs="Times New Roman"/>
                <w:bCs/>
                <w:sz w:val="24"/>
                <w:szCs w:val="24"/>
              </w:rPr>
              <w:t xml:space="preserve">raportarea plafonului de garantare </w:t>
            </w:r>
            <w:r w:rsidR="00C27B6E">
              <w:rPr>
                <w:rFonts w:ascii="Times New Roman" w:hAnsi="Times New Roman" w:cs="Times New Roman"/>
                <w:bCs/>
                <w:sz w:val="24"/>
                <w:szCs w:val="24"/>
              </w:rPr>
              <w:t xml:space="preserve"> trebuie aplicată </w:t>
            </w:r>
            <w:r w:rsidR="00FA43D2">
              <w:rPr>
                <w:rFonts w:ascii="Times New Roman" w:hAnsi="Times New Roman" w:cs="Times New Roman"/>
                <w:bCs/>
                <w:sz w:val="24"/>
                <w:szCs w:val="24"/>
              </w:rPr>
              <w:t>la fiecare creanță de asigurare comparativ cu situația existentă unde plafonul se aplică pentru un creditor de asigurare.</w:t>
            </w:r>
            <w:r w:rsidR="00643C32">
              <w:rPr>
                <w:rFonts w:ascii="Times New Roman" w:hAnsi="Times New Roman" w:cs="Times New Roman"/>
                <w:bCs/>
                <w:sz w:val="24"/>
                <w:szCs w:val="24"/>
              </w:rPr>
              <w:t xml:space="preserve"> Totodată, sunt necesare demersurile de adoptare </w:t>
            </w:r>
            <w:r w:rsidR="00C27B6E">
              <w:rPr>
                <w:rFonts w:ascii="Times New Roman" w:hAnsi="Times New Roman" w:cs="Times New Roman"/>
                <w:bCs/>
                <w:sz w:val="24"/>
                <w:szCs w:val="24"/>
              </w:rPr>
              <w:t xml:space="preserve"> prin  intermediul unei </w:t>
            </w:r>
            <w:r w:rsidR="00643C32">
              <w:rPr>
                <w:rFonts w:ascii="Times New Roman" w:hAnsi="Times New Roman" w:cs="Times New Roman"/>
                <w:bCs/>
                <w:sz w:val="24"/>
                <w:szCs w:val="24"/>
              </w:rPr>
              <w:t xml:space="preserve">ordonanțe de urgență </w:t>
            </w:r>
            <w:r w:rsidR="00C27B6E">
              <w:rPr>
                <w:rFonts w:ascii="Times New Roman" w:hAnsi="Times New Roman" w:cs="Times New Roman"/>
                <w:bCs/>
                <w:sz w:val="24"/>
                <w:szCs w:val="24"/>
              </w:rPr>
              <w:t xml:space="preserve">a acestui act normativ </w:t>
            </w:r>
            <w:r w:rsidR="00643C32" w:rsidRPr="00700784">
              <w:rPr>
                <w:rFonts w:ascii="Times New Roman" w:hAnsi="Times New Roman" w:cs="Times New Roman"/>
                <w:sz w:val="24"/>
                <w:szCs w:val="24"/>
              </w:rPr>
              <w:t xml:space="preserve">pentru a se asigura o protecție reală a creditorilor de asigurări care au calitatea de contractant în mai multe contracte de asigurare încheiate cu societatea </w:t>
            </w:r>
            <w:r w:rsidR="00643C32">
              <w:rPr>
                <w:rFonts w:ascii="Times New Roman" w:hAnsi="Times New Roman" w:cs="Times New Roman"/>
                <w:sz w:val="24"/>
                <w:szCs w:val="24"/>
              </w:rPr>
              <w:t>pasibilă de a intra în faliment</w:t>
            </w:r>
            <w:r w:rsidR="00643C32" w:rsidRPr="00700784">
              <w:rPr>
                <w:rFonts w:ascii="Times New Roman" w:hAnsi="Times New Roman" w:cs="Times New Roman"/>
                <w:sz w:val="24"/>
                <w:szCs w:val="24"/>
              </w:rPr>
              <w:t xml:space="preserve"> și </w:t>
            </w:r>
            <w:r w:rsidR="00C27B6E">
              <w:rPr>
                <w:rFonts w:ascii="Times New Roman" w:hAnsi="Times New Roman" w:cs="Times New Roman"/>
                <w:sz w:val="24"/>
                <w:szCs w:val="24"/>
              </w:rPr>
              <w:t xml:space="preserve">de a </w:t>
            </w:r>
            <w:r w:rsidR="00643C32" w:rsidRPr="00700784">
              <w:rPr>
                <w:rFonts w:ascii="Times New Roman" w:hAnsi="Times New Roman" w:cs="Times New Roman"/>
                <w:sz w:val="24"/>
                <w:szCs w:val="24"/>
              </w:rPr>
              <w:t>ține cont totodată de considerentele Deciziei nr. 29/2020 a Înaltei Curți de Casaţie şi Justiţie, din dosarul nr. 3167/1/2019, conform căr</w:t>
            </w:r>
            <w:r w:rsidR="00C27B6E">
              <w:rPr>
                <w:rFonts w:ascii="Times New Roman" w:hAnsi="Times New Roman" w:cs="Times New Roman"/>
                <w:sz w:val="24"/>
                <w:szCs w:val="24"/>
              </w:rPr>
              <w:t>ora</w:t>
            </w:r>
            <w:r w:rsidR="00316EFD">
              <w:rPr>
                <w:rFonts w:ascii="Times New Roman" w:hAnsi="Times New Roman" w:cs="Times New Roman"/>
                <w:sz w:val="24"/>
                <w:szCs w:val="24"/>
              </w:rPr>
              <w:t xml:space="preserve"> </w:t>
            </w:r>
            <w:r w:rsidR="00643C32" w:rsidRPr="00700784">
              <w:rPr>
                <w:rFonts w:ascii="Times New Roman" w:hAnsi="Times New Roman" w:cs="Times New Roman"/>
                <w:sz w:val="24"/>
                <w:szCs w:val="24"/>
              </w:rPr>
              <w:t>plafonul de garantare prevăzut de lege se aplică pe creanţe de asigurare, în situaţiile în care se exercită dreptul de regres de către societatea de asigurare care a efectuat plata indemnizaţiei către propriul asigurat, ca efect al subrogării în drepturile asiguratului CASCO, pentru fiecare creanţă în parte</w:t>
            </w:r>
            <w:r w:rsidR="00643C32">
              <w:rPr>
                <w:rFonts w:ascii="Times New Roman" w:hAnsi="Times New Roman" w:cs="Times New Roman"/>
                <w:sz w:val="24"/>
                <w:szCs w:val="24"/>
              </w:rPr>
              <w:t>.</w:t>
            </w:r>
          </w:p>
          <w:p w:rsidR="00D13588" w:rsidRDefault="00D13588" w:rsidP="00D13588">
            <w:pPr>
              <w:spacing w:line="276" w:lineRule="auto"/>
              <w:ind w:left="0" w:firstLine="567"/>
              <w:rPr>
                <w:rFonts w:ascii="Times New Roman" w:hAnsi="Times New Roman" w:cs="Times New Roman"/>
                <w:bCs/>
                <w:sz w:val="24"/>
                <w:szCs w:val="24"/>
              </w:rPr>
            </w:pPr>
            <w:r>
              <w:rPr>
                <w:rFonts w:ascii="Times New Roman" w:hAnsi="Times New Roman" w:cs="Times New Roman"/>
                <w:bCs/>
                <w:sz w:val="24"/>
                <w:szCs w:val="24"/>
              </w:rPr>
              <w:t xml:space="preserve">De asemenea, este necesară reglementarea imediată a corelării acestui act normativ cu dispozițiile Legii nr. 246/2015, </w:t>
            </w:r>
            <w:r w:rsidRPr="00BE5A1F">
              <w:rPr>
                <w:rFonts w:ascii="Times New Roman" w:hAnsi="Times New Roman" w:cs="Times New Roman"/>
                <w:bCs/>
                <w:sz w:val="24"/>
                <w:szCs w:val="24"/>
              </w:rPr>
              <w:t xml:space="preserve"> Legii nr. 503/2004</w:t>
            </w:r>
            <w:r>
              <w:rPr>
                <w:rFonts w:ascii="Times New Roman" w:hAnsi="Times New Roman" w:cs="Times New Roman"/>
                <w:bCs/>
                <w:sz w:val="24"/>
                <w:szCs w:val="24"/>
              </w:rPr>
              <w:t>,  Legii</w:t>
            </w:r>
            <w:r w:rsidRPr="00BE5A1F">
              <w:rPr>
                <w:rFonts w:ascii="Times New Roman" w:hAnsi="Times New Roman" w:cs="Times New Roman"/>
                <w:bCs/>
                <w:sz w:val="24"/>
                <w:szCs w:val="24"/>
              </w:rPr>
              <w:t xml:space="preserve"> nr. 85/2014</w:t>
            </w:r>
            <w:r>
              <w:rPr>
                <w:rFonts w:ascii="Times New Roman" w:hAnsi="Times New Roman" w:cs="Times New Roman"/>
                <w:bCs/>
                <w:sz w:val="24"/>
                <w:szCs w:val="24"/>
              </w:rPr>
              <w:t>.</w:t>
            </w:r>
            <w:r>
              <w:t xml:space="preserve"> </w:t>
            </w:r>
            <w:r w:rsidRPr="00BE5A1F">
              <w:rPr>
                <w:rFonts w:ascii="Times New Roman" w:hAnsi="Times New Roman" w:cs="Times New Roman"/>
                <w:bCs/>
                <w:sz w:val="24"/>
                <w:szCs w:val="24"/>
              </w:rPr>
              <w:t>Un aspect aparte îl constituie</w:t>
            </w:r>
            <w:r>
              <w:rPr>
                <w:rFonts w:ascii="Times New Roman" w:hAnsi="Times New Roman" w:cs="Times New Roman"/>
                <w:bCs/>
                <w:sz w:val="24"/>
                <w:szCs w:val="24"/>
              </w:rPr>
              <w:t xml:space="preserve"> astfel</w:t>
            </w:r>
            <w:r w:rsidRPr="00BE5A1F">
              <w:rPr>
                <w:rFonts w:ascii="Times New Roman" w:hAnsi="Times New Roman" w:cs="Times New Roman"/>
                <w:bCs/>
                <w:sz w:val="24"/>
                <w:szCs w:val="24"/>
              </w:rPr>
              <w:t xml:space="preserve"> coroborarea </w:t>
            </w:r>
            <w:r>
              <w:rPr>
                <w:rFonts w:ascii="Times New Roman" w:hAnsi="Times New Roman" w:cs="Times New Roman"/>
                <w:bCs/>
                <w:sz w:val="24"/>
                <w:szCs w:val="24"/>
              </w:rPr>
              <w:t>cu aceste acte normative întrucât există</w:t>
            </w:r>
            <w:r w:rsidRPr="00BE5A1F">
              <w:rPr>
                <w:rFonts w:ascii="Times New Roman" w:hAnsi="Times New Roman" w:cs="Times New Roman"/>
                <w:bCs/>
                <w:sz w:val="24"/>
                <w:szCs w:val="24"/>
              </w:rPr>
              <w:t xml:space="preserve"> dificultăți ocazionate de faptul că în perioada cuprinsă între retragerea autorizației de funcționare și constatarea de către ASF a stării de insolvență a unei societăți, și până la numirea lichidatorului judiciar prin sentința de deschidere a procedurii de faliment, vechea conducere era repusa în funcție, având obligația predării evidențelor prevăzute de art. 23 din Legea nr. 503/2004 către FGA.  Pentru eficientizarea acestei activități, în vederea asigurării unei supravegheri atente și în condițiile în care actualul cadru de reglementare este lacunar pe acest aspect, </w:t>
            </w:r>
            <w:r w:rsidR="00C27B6E">
              <w:rPr>
                <w:rFonts w:ascii="Times New Roman" w:hAnsi="Times New Roman" w:cs="Times New Roman"/>
                <w:bCs/>
                <w:sz w:val="24"/>
                <w:szCs w:val="24"/>
              </w:rPr>
              <w:t>este necesară</w:t>
            </w:r>
            <w:r w:rsidRPr="00BE5A1F">
              <w:rPr>
                <w:rFonts w:ascii="Times New Roman" w:hAnsi="Times New Roman" w:cs="Times New Roman"/>
                <w:bCs/>
                <w:sz w:val="24"/>
                <w:szCs w:val="24"/>
              </w:rPr>
              <w:t xml:space="preserve"> o completare adusă Legii nr. 213/2015 privind posibilitatea de numire de către ASF a unui administrator interimar având atribuții </w:t>
            </w:r>
            <w:r w:rsidR="00B8499F" w:rsidRPr="00BE5A1F">
              <w:rPr>
                <w:rFonts w:ascii="Times New Roman" w:hAnsi="Times New Roman" w:cs="Times New Roman"/>
                <w:bCs/>
                <w:sz w:val="24"/>
                <w:szCs w:val="24"/>
              </w:rPr>
              <w:t xml:space="preserve"> </w:t>
            </w:r>
            <w:r w:rsidRPr="00BE5A1F">
              <w:rPr>
                <w:rFonts w:ascii="Times New Roman" w:hAnsi="Times New Roman" w:cs="Times New Roman"/>
                <w:bCs/>
                <w:sz w:val="24"/>
                <w:szCs w:val="24"/>
              </w:rPr>
              <w:t>de a facilita transmiterea evidențelor către FGA.</w:t>
            </w:r>
            <w:r>
              <w:t xml:space="preserve"> </w:t>
            </w:r>
            <w:r w:rsidRPr="00D13588">
              <w:rPr>
                <w:rFonts w:ascii="Times New Roman" w:hAnsi="Times New Roman" w:cs="Times New Roman"/>
                <w:bCs/>
                <w:sz w:val="24"/>
                <w:szCs w:val="24"/>
              </w:rPr>
              <w:t xml:space="preserve">În acest sens </w:t>
            </w:r>
            <w:r w:rsidR="000648A1">
              <w:rPr>
                <w:rFonts w:ascii="Times New Roman" w:hAnsi="Times New Roman" w:cs="Times New Roman"/>
                <w:bCs/>
                <w:sz w:val="24"/>
                <w:szCs w:val="24"/>
              </w:rPr>
              <w:t>actul normativ reglementează</w:t>
            </w:r>
            <w:r w:rsidRPr="00D13588">
              <w:rPr>
                <w:rFonts w:ascii="Times New Roman" w:hAnsi="Times New Roman" w:cs="Times New Roman"/>
                <w:bCs/>
                <w:sz w:val="24"/>
                <w:szCs w:val="24"/>
              </w:rPr>
              <w:t xml:space="preserve"> instituția administratorului interimar care să vină în interesul </w:t>
            </w:r>
            <w:r w:rsidRPr="00D13588">
              <w:rPr>
                <w:rFonts w:ascii="Times New Roman" w:hAnsi="Times New Roman" w:cs="Times New Roman"/>
                <w:bCs/>
                <w:sz w:val="24"/>
                <w:szCs w:val="24"/>
              </w:rPr>
              <w:lastRenderedPageBreak/>
              <w:t>creditorilor de asigurare și să adopte măsuri de conservare a patrimoniului societății de asigurare ce urmează a fi supusă procedurii de faliment.</w:t>
            </w:r>
          </w:p>
          <w:p w:rsidR="00D13588" w:rsidRDefault="00D13588" w:rsidP="00D13588">
            <w:pPr>
              <w:spacing w:line="276" w:lineRule="auto"/>
              <w:ind w:left="0" w:firstLine="567"/>
              <w:rPr>
                <w:rFonts w:ascii="Times New Roman" w:hAnsi="Times New Roman" w:cs="Times New Roman"/>
                <w:bCs/>
                <w:sz w:val="24"/>
                <w:szCs w:val="24"/>
              </w:rPr>
            </w:pPr>
            <w:r>
              <w:rPr>
                <w:rFonts w:ascii="Times New Roman" w:hAnsi="Times New Roman" w:cs="Times New Roman"/>
                <w:bCs/>
                <w:sz w:val="24"/>
                <w:szCs w:val="24"/>
              </w:rPr>
              <w:t xml:space="preserve">Un alt aspect care justifică urgența demersului este cel al modificării termenului în care Fondul este îndreptățit să efectueze plăți din disponibilitățile sale către creditorii de asigurări, dispoziție nou inserată </w:t>
            </w:r>
            <w:r w:rsidR="00B8499F" w:rsidRPr="007F5818">
              <w:rPr>
                <w:rFonts w:ascii="Times New Roman" w:hAnsi="Times New Roman" w:cs="Times New Roman"/>
                <w:bCs/>
                <w:sz w:val="24"/>
                <w:szCs w:val="24"/>
              </w:rPr>
              <w:t>fiind o</w:t>
            </w:r>
            <w:r>
              <w:rPr>
                <w:rFonts w:ascii="Times New Roman" w:hAnsi="Times New Roman" w:cs="Times New Roman"/>
                <w:bCs/>
                <w:sz w:val="24"/>
                <w:szCs w:val="24"/>
              </w:rPr>
              <w:t xml:space="preserve"> măsură de protecție a acestei categorii</w:t>
            </w:r>
            <w:r w:rsidR="00B8499F">
              <w:rPr>
                <w:rFonts w:ascii="Times New Roman" w:hAnsi="Times New Roman" w:cs="Times New Roman"/>
                <w:bCs/>
                <w:sz w:val="24"/>
                <w:szCs w:val="24"/>
              </w:rPr>
              <w:t xml:space="preserve"> </w:t>
            </w:r>
            <w:r w:rsidR="00B8499F" w:rsidRPr="007F5818">
              <w:rPr>
                <w:rFonts w:ascii="Times New Roman" w:hAnsi="Times New Roman" w:cs="Times New Roman"/>
                <w:bCs/>
                <w:sz w:val="24"/>
                <w:szCs w:val="24"/>
              </w:rPr>
              <w:t>protejate de lege</w:t>
            </w:r>
            <w:r w:rsidRPr="007F5818">
              <w:rPr>
                <w:rFonts w:ascii="Times New Roman" w:hAnsi="Times New Roman" w:cs="Times New Roman"/>
                <w:bCs/>
                <w:sz w:val="24"/>
                <w:szCs w:val="24"/>
              </w:rPr>
              <w:t>,</w:t>
            </w:r>
            <w:r>
              <w:rPr>
                <w:rFonts w:ascii="Times New Roman" w:hAnsi="Times New Roman" w:cs="Times New Roman"/>
                <w:bCs/>
                <w:sz w:val="24"/>
                <w:szCs w:val="24"/>
              </w:rPr>
              <w:t xml:space="preserve"> de consecințele insolvenței unui asigurător. </w:t>
            </w:r>
          </w:p>
          <w:p w:rsidR="00D13588" w:rsidRPr="00700784" w:rsidRDefault="00D13588" w:rsidP="00700784">
            <w:pPr>
              <w:spacing w:line="276" w:lineRule="auto"/>
              <w:ind w:left="0" w:firstLine="567"/>
              <w:rPr>
                <w:rFonts w:ascii="Times New Roman" w:hAnsi="Times New Roman" w:cs="Times New Roman"/>
                <w:bCs/>
                <w:sz w:val="24"/>
                <w:szCs w:val="24"/>
              </w:rPr>
            </w:pPr>
          </w:p>
          <w:p w:rsidR="00BA725F" w:rsidRPr="00700784" w:rsidRDefault="00BA725F" w:rsidP="00700784">
            <w:pPr>
              <w:spacing w:line="276" w:lineRule="auto"/>
              <w:ind w:left="0" w:firstLine="567"/>
              <w:rPr>
                <w:rFonts w:ascii="Times New Roman" w:hAnsi="Times New Roman" w:cs="Times New Roman"/>
                <w:bCs/>
                <w:sz w:val="24"/>
                <w:szCs w:val="24"/>
              </w:rPr>
            </w:pPr>
            <w:r w:rsidRPr="00700784">
              <w:rPr>
                <w:rFonts w:ascii="Times New Roman" w:hAnsi="Times New Roman" w:cs="Times New Roman"/>
                <w:bCs/>
                <w:sz w:val="24"/>
                <w:szCs w:val="24"/>
              </w:rPr>
              <w:t>În vederea asigurării deplinei legalități cu privire la efectuarea plăților către asigurații societăților de asigurare intrate în procedura de faliment, s-a impus reglementarea prin act normativ a Fondului, sub forma unei persoane juridice de drept public, dobândirea personalității juridice urmărind atât să elimine probleme de ordin jurisdicțional, precum calitatea procesuală a Fondului, competența funcțională și teritorială, controlul financiar și auditul activității Fondului, cât și să reglementeze autonomia și legitimitatea Fondului în vederea exercitării unor funcții speciale în procedurile de redresare financiară prin administrare specială, lichidare voluntară precum și a celor instituite prin Legea nr. 246/2015 privind redresarea și rezoluția asigurătorilor.</w:t>
            </w:r>
          </w:p>
          <w:p w:rsidR="00BA725F" w:rsidRPr="00700784" w:rsidRDefault="00BA725F" w:rsidP="00700784">
            <w:pPr>
              <w:spacing w:line="276" w:lineRule="auto"/>
              <w:ind w:left="0" w:firstLine="567"/>
              <w:rPr>
                <w:rFonts w:ascii="Times New Roman" w:hAnsi="Times New Roman" w:cs="Times New Roman"/>
                <w:bCs/>
                <w:sz w:val="24"/>
                <w:szCs w:val="24"/>
              </w:rPr>
            </w:pPr>
            <w:r w:rsidRPr="00700784">
              <w:rPr>
                <w:rFonts w:ascii="Times New Roman" w:hAnsi="Times New Roman" w:cs="Times New Roman"/>
                <w:bCs/>
                <w:sz w:val="24"/>
                <w:szCs w:val="24"/>
              </w:rPr>
              <w:t xml:space="preserve">Așadar, Fondul, ca schemă de garantare în domeniul asigurărilor potrivit legislației comunitare, s-a constituit ca persoană juridică de drept public prin Legea nr. 213/2015 privind Fondul de garantare a asiguraților. </w:t>
            </w:r>
          </w:p>
          <w:p w:rsidR="00BA725F" w:rsidRPr="00700784" w:rsidRDefault="00BA725F" w:rsidP="00700784">
            <w:pPr>
              <w:spacing w:line="276" w:lineRule="auto"/>
              <w:ind w:left="0" w:firstLine="567"/>
              <w:rPr>
                <w:rFonts w:ascii="Times New Roman" w:hAnsi="Times New Roman" w:cs="Times New Roman"/>
                <w:bCs/>
                <w:sz w:val="24"/>
                <w:szCs w:val="24"/>
              </w:rPr>
            </w:pPr>
            <w:r w:rsidRPr="00700784">
              <w:rPr>
                <w:rFonts w:ascii="Times New Roman" w:hAnsi="Times New Roman" w:cs="Times New Roman"/>
                <w:bCs/>
                <w:sz w:val="24"/>
                <w:szCs w:val="24"/>
              </w:rPr>
              <w:t xml:space="preserve">Legea nr. 213/2015 a avut în vedere crearea unui mecanism viabil și eficient de funcționare a Fondului și a vizat, totodată, reglementarea resurselor de finanțare ale acestuia, precum și procedura și condițiile de plată a creanțelor de asigurări din disponibilitățile Fondului, rolul acestuia pe piața asigurărilor fiind de a crea un impact pozitiv asupra încrederii consumatorilor de produse de asigurare. </w:t>
            </w:r>
          </w:p>
          <w:p w:rsidR="00BA725F" w:rsidRPr="00700784" w:rsidRDefault="00BA725F" w:rsidP="00700784">
            <w:pPr>
              <w:spacing w:line="276" w:lineRule="auto"/>
              <w:ind w:left="0" w:firstLine="567"/>
              <w:rPr>
                <w:rFonts w:ascii="Times New Roman" w:hAnsi="Times New Roman" w:cs="Times New Roman"/>
                <w:b/>
                <w:bCs/>
                <w:sz w:val="24"/>
                <w:szCs w:val="24"/>
              </w:rPr>
            </w:pPr>
            <w:r w:rsidRPr="00700784">
              <w:rPr>
                <w:rFonts w:ascii="Times New Roman" w:hAnsi="Times New Roman" w:cs="Times New Roman"/>
                <w:bCs/>
                <w:sz w:val="24"/>
                <w:szCs w:val="24"/>
              </w:rPr>
              <w:t xml:space="preserve">Activitatea desfășurată de către Fond în baza Legii nr. 213/2015 și a Legii nr. 503/2004 </w:t>
            </w:r>
            <w:r w:rsidRPr="00700784">
              <w:rPr>
                <w:rFonts w:ascii="Times New Roman" w:hAnsi="Times New Roman" w:cs="Times New Roman"/>
                <w:sz w:val="24"/>
                <w:szCs w:val="24"/>
              </w:rPr>
              <w:t xml:space="preserve"> </w:t>
            </w:r>
            <w:r w:rsidRPr="00700784">
              <w:rPr>
                <w:rFonts w:ascii="Times New Roman" w:hAnsi="Times New Roman" w:cs="Times New Roman"/>
                <w:bCs/>
                <w:sz w:val="24"/>
                <w:szCs w:val="24"/>
              </w:rPr>
              <w:t>privind redresarea financiară, falimentul, dizolvarea şi lichidarea voluntară în activitatea de asigurări, republicată, cu modificările ulterioare, se reflectă ca și finalitate prin înscrierea la masa credală a asigurătorului în faliment, conform dispozițiilor Legii nr. 85/2014</w:t>
            </w:r>
            <w:r w:rsidRPr="00700784">
              <w:rPr>
                <w:rFonts w:ascii="Times New Roman" w:hAnsi="Times New Roman" w:cs="Times New Roman"/>
                <w:sz w:val="24"/>
                <w:szCs w:val="24"/>
              </w:rPr>
              <w:t xml:space="preserve"> </w:t>
            </w:r>
            <w:r w:rsidRPr="00700784">
              <w:rPr>
                <w:rFonts w:ascii="Times New Roman" w:hAnsi="Times New Roman" w:cs="Times New Roman"/>
                <w:bCs/>
                <w:sz w:val="24"/>
                <w:szCs w:val="24"/>
              </w:rPr>
              <w:t>privind procedurile de prevenire a insolvenţei şi de insolvenţă,  cu modificările și completările ulterioare, a sumelor achitate creditorilor de asigurări, precum și a cheltuielilor înregistrate din desfășurarea activității de instrumentare a dosarelor de asigurare.</w:t>
            </w:r>
            <w:r w:rsidRPr="00700784">
              <w:rPr>
                <w:rFonts w:ascii="Times New Roman" w:hAnsi="Times New Roman" w:cs="Times New Roman"/>
                <w:b/>
                <w:bCs/>
                <w:sz w:val="24"/>
                <w:szCs w:val="24"/>
              </w:rPr>
              <w:t xml:space="preserve"> </w:t>
            </w:r>
          </w:p>
          <w:p w:rsidR="00BA725F" w:rsidRPr="00700784" w:rsidRDefault="00BA725F" w:rsidP="00700784">
            <w:pPr>
              <w:spacing w:line="276" w:lineRule="auto"/>
              <w:ind w:left="0" w:firstLine="567"/>
              <w:rPr>
                <w:rFonts w:ascii="Times New Roman" w:hAnsi="Times New Roman" w:cs="Times New Roman"/>
                <w:sz w:val="24"/>
                <w:szCs w:val="24"/>
              </w:rPr>
            </w:pPr>
            <w:r w:rsidRPr="00700784">
              <w:rPr>
                <w:rFonts w:ascii="Times New Roman" w:hAnsi="Times New Roman" w:cs="Times New Roman"/>
                <w:bCs/>
                <w:sz w:val="24"/>
                <w:szCs w:val="24"/>
              </w:rPr>
              <w:t>Aplicarea prevederilor Legii nr. 213/2015 în perioada scursă de la intrarea sa în vigoare și soluțiile date de instanțele judecătorești competente în legătură cu interpretarea prevederilor acestei legi au relevat necesitatea adaptării dispozițiilor legii pentru a ține cont de evoluțiile legislative din domeniul asigurărilor, de evoluțiile economico–sociale și de necesitatea creșterii gradului de protecție a creditorilor de asigurări împotriva consecințelor falimentului unui asigurător.</w:t>
            </w:r>
          </w:p>
        </w:tc>
      </w:tr>
      <w:tr w:rsidR="00BA725F" w:rsidRPr="00700784" w:rsidTr="00BA725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Default="00BA725F" w:rsidP="00700784">
            <w:pPr>
              <w:spacing w:line="276" w:lineRule="auto"/>
              <w:ind w:left="0"/>
              <w:rPr>
                <w:rFonts w:ascii="Times New Roman" w:hAnsi="Times New Roman" w:cs="Times New Roman"/>
                <w:b/>
                <w:bCs/>
                <w:sz w:val="24"/>
                <w:szCs w:val="24"/>
              </w:rPr>
            </w:pPr>
            <w:r w:rsidRPr="00700784">
              <w:rPr>
                <w:rFonts w:ascii="Times New Roman" w:hAnsi="Times New Roman" w:cs="Times New Roman"/>
                <w:b/>
                <w:bCs/>
                <w:sz w:val="24"/>
                <w:szCs w:val="24"/>
              </w:rPr>
              <w:lastRenderedPageBreak/>
              <w:t>2. Schimbări preconizate</w:t>
            </w:r>
          </w:p>
          <w:p w:rsidR="00FE21AF" w:rsidRPr="00700784" w:rsidRDefault="00FE21AF" w:rsidP="00700784">
            <w:pPr>
              <w:spacing w:line="276" w:lineRule="auto"/>
              <w:ind w:left="0"/>
              <w:rPr>
                <w:rFonts w:ascii="Times New Roman" w:hAnsi="Times New Roman" w:cs="Times New Roman"/>
                <w:b/>
                <w:bCs/>
                <w:sz w:val="24"/>
                <w:szCs w:val="24"/>
              </w:rPr>
            </w:pPr>
          </w:p>
          <w:p w:rsidR="00BA725F" w:rsidRPr="00700784" w:rsidRDefault="00BA725F" w:rsidP="00700784">
            <w:pPr>
              <w:spacing w:line="276" w:lineRule="auto"/>
              <w:ind w:left="0" w:firstLine="567"/>
              <w:rPr>
                <w:rFonts w:ascii="Times New Roman" w:hAnsi="Times New Roman" w:cs="Times New Roman"/>
                <w:bCs/>
                <w:sz w:val="24"/>
                <w:szCs w:val="24"/>
              </w:rPr>
            </w:pPr>
            <w:r w:rsidRPr="00700784">
              <w:rPr>
                <w:rFonts w:ascii="Times New Roman" w:hAnsi="Times New Roman" w:cs="Times New Roman"/>
                <w:sz w:val="24"/>
                <w:szCs w:val="24"/>
              </w:rPr>
              <w:t xml:space="preserve">Printre principalele modificări și completări aduse </w:t>
            </w:r>
            <w:r w:rsidRPr="00700784">
              <w:rPr>
                <w:rFonts w:ascii="Times New Roman" w:hAnsi="Times New Roman" w:cs="Times New Roman"/>
                <w:i/>
                <w:sz w:val="24"/>
                <w:szCs w:val="24"/>
              </w:rPr>
              <w:t>Legii nr. 213/2015  privind Fondul de garantare a asiguraților</w:t>
            </w:r>
            <w:r w:rsidRPr="00700784">
              <w:rPr>
                <w:rFonts w:ascii="Times New Roman" w:hAnsi="Times New Roman" w:cs="Times New Roman"/>
                <w:sz w:val="24"/>
                <w:szCs w:val="24"/>
              </w:rPr>
              <w:t xml:space="preserve"> </w:t>
            </w:r>
            <w:r w:rsidRPr="00700784">
              <w:rPr>
                <w:rFonts w:ascii="Times New Roman" w:hAnsi="Times New Roman" w:cs="Times New Roman"/>
                <w:bCs/>
                <w:sz w:val="24"/>
                <w:szCs w:val="24"/>
              </w:rPr>
              <w:t>se numără:</w:t>
            </w:r>
          </w:p>
          <w:p w:rsidR="00BA725F" w:rsidRPr="00700784" w:rsidRDefault="00BA725F" w:rsidP="00700784">
            <w:pPr>
              <w:pStyle w:val="ListParagraph"/>
              <w:numPr>
                <w:ilvl w:val="0"/>
                <w:numId w:val="33"/>
              </w:numPr>
              <w:spacing w:after="0"/>
              <w:jc w:val="both"/>
              <w:rPr>
                <w:rFonts w:ascii="Times New Roman" w:hAnsi="Times New Roman" w:cs="Times New Roman"/>
                <w:sz w:val="24"/>
                <w:szCs w:val="24"/>
              </w:rPr>
            </w:pPr>
            <w:r w:rsidRPr="00700784">
              <w:rPr>
                <w:rFonts w:ascii="Times New Roman" w:hAnsi="Times New Roman" w:cs="Times New Roman"/>
                <w:sz w:val="24"/>
                <w:szCs w:val="24"/>
              </w:rPr>
              <w:t xml:space="preserve">modificarea definiției plafonului de garantare cu referire expresă la nivelul  maxim al garantării </w:t>
            </w:r>
            <w:r w:rsidR="003F01DA" w:rsidRPr="00305406">
              <w:rPr>
                <w:rFonts w:ascii="Times New Roman" w:hAnsi="Times New Roman" w:cs="Times New Roman"/>
                <w:sz w:val="24"/>
                <w:szCs w:val="24"/>
              </w:rPr>
              <w:t>pentru o creanță de asigurare datorată în temeiul unui</w:t>
            </w:r>
            <w:r w:rsidRPr="00700784">
              <w:rPr>
                <w:rFonts w:ascii="Times New Roman" w:hAnsi="Times New Roman" w:cs="Times New Roman"/>
                <w:sz w:val="24"/>
                <w:szCs w:val="24"/>
              </w:rPr>
              <w:t xml:space="preserve"> contract, nu pe un creditor de asigurare astfel cum este reglementat  în prezent; modificarea este necesară pentru a se asigura o protecție reală a creditorilor de asigurări care au calitatea de </w:t>
            </w:r>
            <w:r w:rsidRPr="00700784">
              <w:rPr>
                <w:rFonts w:ascii="Times New Roman" w:hAnsi="Times New Roman" w:cs="Times New Roman"/>
                <w:sz w:val="24"/>
                <w:szCs w:val="24"/>
              </w:rPr>
              <w:lastRenderedPageBreak/>
              <w:t xml:space="preserve">contractant în mai multe contracte de asigurare încheiate cu societatea în </w:t>
            </w:r>
            <w:r w:rsidR="00E27ECC">
              <w:rPr>
                <w:rFonts w:ascii="Times New Roman" w:hAnsi="Times New Roman" w:cs="Times New Roman"/>
                <w:sz w:val="24"/>
                <w:szCs w:val="24"/>
              </w:rPr>
              <w:t>insolvență</w:t>
            </w:r>
            <w:r w:rsidR="00E27ECC" w:rsidRPr="00700784">
              <w:rPr>
                <w:rFonts w:ascii="Times New Roman" w:hAnsi="Times New Roman" w:cs="Times New Roman"/>
                <w:sz w:val="24"/>
                <w:szCs w:val="24"/>
              </w:rPr>
              <w:t xml:space="preserve"> </w:t>
            </w:r>
            <w:r w:rsidRPr="00700784">
              <w:rPr>
                <w:rFonts w:ascii="Times New Roman" w:hAnsi="Times New Roman" w:cs="Times New Roman"/>
                <w:sz w:val="24"/>
                <w:szCs w:val="24"/>
              </w:rPr>
              <w:t>și ține cont totodată de considerentele Deciziei nr. 29/2020 a Înaltei Curți de Casaţie şi Justiţie, din dosarul nr. 3167/1/2019, conform căreia plafonul de garantare prevăzut de lege se aplică pe creanţe de asigurare, în situaţiile în care se exercită dreptul de regres de către societatea de asigurare care a efectuat plata indemnizaţiei către propriul asigurat, ca efect al subrogării în drepturile asiguratului CASCO, pentru fiecare creanţă în parte;</w:t>
            </w:r>
          </w:p>
          <w:p w:rsidR="00BA725F" w:rsidRDefault="00BA725F" w:rsidP="00700784">
            <w:pPr>
              <w:pStyle w:val="ListParagraph"/>
              <w:numPr>
                <w:ilvl w:val="0"/>
                <w:numId w:val="33"/>
              </w:numPr>
              <w:spacing w:after="0"/>
              <w:jc w:val="both"/>
              <w:rPr>
                <w:rFonts w:ascii="Times New Roman" w:hAnsi="Times New Roman" w:cs="Times New Roman"/>
                <w:sz w:val="24"/>
                <w:szCs w:val="24"/>
              </w:rPr>
            </w:pPr>
            <w:r w:rsidRPr="00700784">
              <w:rPr>
                <w:rFonts w:ascii="Times New Roman" w:hAnsi="Times New Roman" w:cs="Times New Roman"/>
                <w:sz w:val="24"/>
                <w:szCs w:val="24"/>
              </w:rPr>
              <w:t>majorarea cuantumului plafonului de garantare de la 450.000 lei la 500.000 lei</w:t>
            </w:r>
            <w:r w:rsidR="00E27ECC">
              <w:rPr>
                <w:rFonts w:ascii="Times New Roman" w:hAnsi="Times New Roman" w:cs="Times New Roman"/>
                <w:sz w:val="24"/>
                <w:szCs w:val="24"/>
              </w:rPr>
              <w:t xml:space="preserve"> </w:t>
            </w:r>
            <w:r w:rsidR="00E27ECC" w:rsidRPr="004F493C">
              <w:rPr>
                <w:rFonts w:ascii="Times New Roman" w:hAnsi="Times New Roman" w:cs="Times New Roman"/>
                <w:sz w:val="24"/>
                <w:szCs w:val="24"/>
                <w:lang w:eastAsia="ro-RO"/>
              </w:rPr>
              <w:t xml:space="preserve"> pentru o creanță de asigurare datorată în temeiul unui contract de asigurare  încheiat de asigurătorul aflat în </w:t>
            </w:r>
            <w:r w:rsidR="00E27ECC">
              <w:rPr>
                <w:rFonts w:ascii="Times New Roman" w:hAnsi="Times New Roman" w:cs="Times New Roman"/>
                <w:sz w:val="24"/>
                <w:szCs w:val="24"/>
                <w:lang w:eastAsia="ro-RO"/>
              </w:rPr>
              <w:t>insolvență</w:t>
            </w:r>
            <w:r w:rsidRPr="00700784">
              <w:rPr>
                <w:rFonts w:ascii="Times New Roman" w:hAnsi="Times New Roman" w:cs="Times New Roman"/>
                <w:sz w:val="24"/>
                <w:szCs w:val="24"/>
              </w:rPr>
              <w:t>;</w:t>
            </w:r>
          </w:p>
          <w:p w:rsidR="00D13588" w:rsidRDefault="00D13588" w:rsidP="00700784">
            <w:pPr>
              <w:pStyle w:val="ListParagraph"/>
              <w:numPr>
                <w:ilvl w:val="0"/>
                <w:numId w:val="33"/>
              </w:numPr>
              <w:spacing w:after="0"/>
              <w:jc w:val="both"/>
              <w:rPr>
                <w:rFonts w:ascii="Times New Roman" w:hAnsi="Times New Roman" w:cs="Times New Roman"/>
                <w:sz w:val="24"/>
                <w:szCs w:val="24"/>
              </w:rPr>
            </w:pPr>
            <w:r w:rsidRPr="007937A2">
              <w:rPr>
                <w:rFonts w:ascii="Times New Roman" w:hAnsi="Times New Roman" w:cs="Times New Roman"/>
                <w:sz w:val="24"/>
                <w:szCs w:val="24"/>
              </w:rPr>
              <w:t xml:space="preserve">modificarea prevederilor art. 13 din Legea nr. 213/2015 și, implicit abrogarea prevederilor art. 266 alin. (2) din Legea nr. 85/2014, în sensul că Fondul este îndreptățit să efectueze plăți aferente despăgubirilor/indemnizațiilor cuvenite creditorilor de asigurări în termen de </w:t>
            </w:r>
            <w:r>
              <w:rPr>
                <w:rFonts w:ascii="Times New Roman" w:hAnsi="Times New Roman" w:cs="Times New Roman"/>
                <w:sz w:val="24"/>
                <w:szCs w:val="24"/>
              </w:rPr>
              <w:t>60 de zile</w:t>
            </w:r>
            <w:r w:rsidRPr="007937A2">
              <w:rPr>
                <w:rFonts w:ascii="Times New Roman" w:hAnsi="Times New Roman" w:cs="Times New Roman"/>
                <w:sz w:val="24"/>
                <w:szCs w:val="24"/>
              </w:rPr>
              <w:t>,</w:t>
            </w:r>
            <w:r>
              <w:rPr>
                <w:rFonts w:ascii="Times New Roman" w:hAnsi="Times New Roman" w:cs="Times New Roman"/>
                <w:sz w:val="24"/>
                <w:szCs w:val="24"/>
              </w:rPr>
              <w:t xml:space="preserve"> termen </w:t>
            </w:r>
            <w:r w:rsidRPr="007937A2">
              <w:rPr>
                <w:rFonts w:ascii="Times New Roman" w:hAnsi="Times New Roman" w:cs="Times New Roman"/>
                <w:sz w:val="24"/>
                <w:szCs w:val="24"/>
              </w:rPr>
              <w:t xml:space="preserve">calculat de la data </w:t>
            </w:r>
            <w:r w:rsidRPr="007937A2">
              <w:rPr>
                <w:rFonts w:ascii="Times New Roman" w:hAnsi="Times New Roman" w:cs="Times New Roman"/>
                <w:sz w:val="24"/>
                <w:szCs w:val="24"/>
                <w:lang w:eastAsia="ro-RO"/>
              </w:rPr>
              <w:t xml:space="preserve">publicării în Monitorul Oficial al României a deciziei Autorității de Supraveghere Financiară de retragere a autorizației de funcționare și constatare a </w:t>
            </w:r>
            <w:r w:rsidRPr="007937A2">
              <w:rPr>
                <w:rFonts w:ascii="Times New Roman" w:hAnsi="Times New Roman" w:cs="Times New Roman"/>
                <w:sz w:val="24"/>
                <w:szCs w:val="24"/>
              </w:rPr>
              <w:t>existenţei indiciilor stării de insolvenţă a asigurătorului;</w:t>
            </w:r>
          </w:p>
          <w:p w:rsidR="00E27ECC" w:rsidRPr="00700784" w:rsidRDefault="00E27ECC" w:rsidP="00700784">
            <w:pPr>
              <w:pStyle w:val="ListParagraph"/>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 xml:space="preserve">pentru situația în care </w:t>
            </w:r>
            <w:r w:rsidRPr="004F493C">
              <w:rPr>
                <w:rFonts w:ascii="Times New Roman" w:hAnsi="Times New Roman" w:cs="Times New Roman"/>
                <w:sz w:val="24"/>
                <w:szCs w:val="24"/>
                <w:lang w:eastAsia="ro-RO"/>
              </w:rPr>
              <w:t xml:space="preserve">instanța competentă respinge </w:t>
            </w:r>
            <w:r>
              <w:rPr>
                <w:rFonts w:ascii="Times New Roman" w:hAnsi="Times New Roman" w:cs="Times New Roman"/>
                <w:sz w:val="24"/>
                <w:szCs w:val="24"/>
                <w:lang w:eastAsia="ro-RO"/>
              </w:rPr>
              <w:t xml:space="preserve">definitiv </w:t>
            </w:r>
            <w:r w:rsidRPr="004F493C">
              <w:rPr>
                <w:rFonts w:ascii="Times New Roman" w:hAnsi="Times New Roman" w:cs="Times New Roman"/>
                <w:sz w:val="24"/>
                <w:szCs w:val="24"/>
                <w:lang w:eastAsia="ro-RO"/>
              </w:rPr>
              <w:t>cererea de deschidere a procedurii de faliment</w:t>
            </w:r>
            <w:r>
              <w:rPr>
                <w:rFonts w:ascii="Times New Roman" w:hAnsi="Times New Roman" w:cs="Times New Roman"/>
                <w:sz w:val="24"/>
                <w:szCs w:val="24"/>
                <w:lang w:eastAsia="ro-RO"/>
              </w:rPr>
              <w:t>, pentru plățile deja efectuate de către FGA către creditorii de asigurări ai asigurătorului, FGA se poate regresa în vederea recuperării acestor sume de la asigurător, putând emite un act în care individualizează suma datorată, act care reprezintă titlu de creanță; dacă suma nu este plătită la scadența stabilită prin lege, titlul de creanță devine titlu executoriu;</w:t>
            </w:r>
          </w:p>
          <w:p w:rsidR="00BA725F" w:rsidRPr="00700784" w:rsidRDefault="00BA725F" w:rsidP="00700784">
            <w:pPr>
              <w:pStyle w:val="ListParagraph"/>
              <w:numPr>
                <w:ilvl w:val="0"/>
                <w:numId w:val="33"/>
              </w:numPr>
              <w:spacing w:after="0"/>
              <w:jc w:val="both"/>
              <w:rPr>
                <w:rFonts w:ascii="Times New Roman" w:hAnsi="Times New Roman" w:cs="Times New Roman"/>
                <w:sz w:val="24"/>
                <w:szCs w:val="24"/>
              </w:rPr>
            </w:pPr>
            <w:r w:rsidRPr="00700784">
              <w:rPr>
                <w:rFonts w:ascii="Times New Roman" w:hAnsi="Times New Roman" w:cs="Times New Roman"/>
                <w:sz w:val="24"/>
                <w:szCs w:val="24"/>
              </w:rPr>
              <w:t>introducerea prevederii conform căreia, din suma cuvenită creditorului de asigurări, se rețin sumele datorate de către acesta conform contractului de asigurare încheiat între părți; scopul prevederii propuse este acela de a diminua durata în care Fondul plătește creditorilor de asigurări sumele datorate, în practică întâlnindu-se situații în care plata a putut fi efectuată, conform legii, numai după ce creditorul a făcut dovadă că a achitat primele restante conform condițiilor contractuale;</w:t>
            </w:r>
          </w:p>
          <w:p w:rsidR="00BA725F" w:rsidRPr="00700784" w:rsidRDefault="00BA725F" w:rsidP="00700784">
            <w:pPr>
              <w:pStyle w:val="ListParagraph"/>
              <w:numPr>
                <w:ilvl w:val="0"/>
                <w:numId w:val="33"/>
              </w:numPr>
              <w:spacing w:after="0"/>
              <w:jc w:val="both"/>
              <w:rPr>
                <w:rFonts w:ascii="Times New Roman" w:hAnsi="Times New Roman" w:cs="Times New Roman"/>
                <w:sz w:val="24"/>
                <w:szCs w:val="24"/>
                <w:lang w:eastAsia="ro-RO"/>
              </w:rPr>
            </w:pPr>
            <w:r w:rsidRPr="00700784">
              <w:rPr>
                <w:rFonts w:ascii="Times New Roman" w:hAnsi="Times New Roman" w:cs="Times New Roman"/>
                <w:sz w:val="24"/>
                <w:szCs w:val="24"/>
                <w:lang w:eastAsia="ro-RO"/>
              </w:rPr>
              <w:t xml:space="preserve">reglementarea competenței </w:t>
            </w:r>
            <w:r w:rsidRPr="00700784">
              <w:rPr>
                <w:rFonts w:ascii="Times New Roman" w:hAnsi="Times New Roman" w:cs="Times New Roman"/>
                <w:sz w:val="24"/>
                <w:szCs w:val="24"/>
              </w:rPr>
              <w:t xml:space="preserve">Fondului </w:t>
            </w:r>
            <w:r w:rsidRPr="00700784">
              <w:rPr>
                <w:rFonts w:ascii="Times New Roman" w:eastAsiaTheme="minorHAnsi" w:hAnsi="Times New Roman" w:cs="Times New Roman"/>
                <w:sz w:val="24"/>
                <w:szCs w:val="24"/>
                <w:lang w:eastAsia="ro-RO"/>
              </w:rPr>
              <w:t>de a deschide dosare de daună</w:t>
            </w:r>
            <w:r w:rsidRPr="00700784">
              <w:rPr>
                <w:rFonts w:ascii="Times New Roman" w:hAnsi="Times New Roman" w:cs="Times New Roman"/>
                <w:sz w:val="24"/>
                <w:szCs w:val="24"/>
              </w:rPr>
              <w:t xml:space="preserve">, la solicitarea petenților, </w:t>
            </w:r>
            <w:r w:rsidRPr="00700784">
              <w:rPr>
                <w:rFonts w:ascii="Times New Roman" w:eastAsiaTheme="minorHAnsi" w:hAnsi="Times New Roman" w:cs="Times New Roman"/>
                <w:sz w:val="24"/>
                <w:szCs w:val="24"/>
                <w:lang w:eastAsia="ro-RO"/>
              </w:rPr>
              <w:t xml:space="preserve"> în cazul daunelor avizate la asigurători înainte de data retragerii autorizației de funcționare, dar pentru care aceștia nu au deschis dosarele de daună, </w:t>
            </w:r>
            <w:r w:rsidRPr="00700784">
              <w:rPr>
                <w:rFonts w:ascii="Times New Roman" w:hAnsi="Times New Roman" w:cs="Times New Roman"/>
                <w:sz w:val="24"/>
                <w:szCs w:val="24"/>
              </w:rPr>
              <w:t>precum și de a efectua constatări suplimentare pentru dosarele deja deschise de asigurători; scopul prevederilor propuse este acela de a proteja creditorii de asigurări aflați în situațiile descrise, situații întâlnite în practică;</w:t>
            </w:r>
          </w:p>
          <w:p w:rsidR="00BA725F" w:rsidRPr="00700784" w:rsidRDefault="00BA725F" w:rsidP="00700784">
            <w:pPr>
              <w:pStyle w:val="ListParagraph"/>
              <w:numPr>
                <w:ilvl w:val="0"/>
                <w:numId w:val="33"/>
              </w:numPr>
              <w:spacing w:after="0"/>
              <w:jc w:val="both"/>
              <w:rPr>
                <w:rFonts w:ascii="Times New Roman" w:hAnsi="Times New Roman" w:cs="Times New Roman"/>
                <w:sz w:val="24"/>
                <w:szCs w:val="24"/>
              </w:rPr>
            </w:pPr>
            <w:r w:rsidRPr="00700784">
              <w:rPr>
                <w:rFonts w:ascii="Times New Roman" w:hAnsi="Times New Roman" w:cs="Times New Roman"/>
                <w:sz w:val="24"/>
                <w:szCs w:val="24"/>
              </w:rPr>
              <w:t xml:space="preserve">concentrarea materiei în aceeași reglementare, prin preluarea în proiectul de </w:t>
            </w:r>
            <w:r w:rsidR="003554A8">
              <w:rPr>
                <w:rFonts w:ascii="Times New Roman" w:hAnsi="Times New Roman" w:cs="Times New Roman"/>
                <w:sz w:val="24"/>
                <w:szCs w:val="24"/>
              </w:rPr>
              <w:t>Ordonanță de urgență</w:t>
            </w:r>
            <w:r w:rsidRPr="00700784">
              <w:rPr>
                <w:rFonts w:ascii="Times New Roman" w:hAnsi="Times New Roman" w:cs="Times New Roman"/>
                <w:sz w:val="24"/>
                <w:szCs w:val="24"/>
              </w:rPr>
              <w:t xml:space="preserve">, cu adaptări, a prevederilor art. 23 alin. (1) din Legea nr. 503/2004, </w:t>
            </w:r>
            <w:r w:rsidRPr="00700784">
              <w:rPr>
                <w:rFonts w:ascii="Times New Roman" w:hAnsi="Times New Roman" w:cs="Times New Roman"/>
                <w:bCs/>
                <w:sz w:val="24"/>
                <w:szCs w:val="24"/>
              </w:rPr>
              <w:t>republicată, cu modificările ulterioare,</w:t>
            </w:r>
            <w:r w:rsidRPr="00700784">
              <w:rPr>
                <w:rFonts w:ascii="Times New Roman" w:hAnsi="Times New Roman" w:cs="Times New Roman"/>
                <w:sz w:val="24"/>
                <w:szCs w:val="24"/>
              </w:rPr>
              <w:t xml:space="preserve"> referitoare la obligația asigurătorului pentru care s-a dispus măsura retragerii autorizației de funcționare și s-a constatat existența indiciilor stării de insolvență de a preda Fondului o serie de evidențe (privind contractele de asigurare în vigoare, dosarele de daună etc) și răspunderea conducerii societății pentru neîndeplinirea acestei obligații. </w:t>
            </w:r>
          </w:p>
          <w:p w:rsidR="00BA725F" w:rsidRPr="00700784" w:rsidRDefault="00BA725F" w:rsidP="00700784">
            <w:pPr>
              <w:pStyle w:val="ListParagraph"/>
              <w:spacing w:after="0"/>
              <w:ind w:left="420"/>
              <w:jc w:val="both"/>
              <w:rPr>
                <w:rFonts w:ascii="Times New Roman" w:hAnsi="Times New Roman" w:cs="Times New Roman"/>
                <w:sz w:val="24"/>
                <w:szCs w:val="24"/>
              </w:rPr>
            </w:pPr>
            <w:r w:rsidRPr="00700784">
              <w:rPr>
                <w:rFonts w:ascii="Times New Roman" w:hAnsi="Times New Roman" w:cs="Times New Roman"/>
                <w:sz w:val="24"/>
                <w:szCs w:val="24"/>
              </w:rPr>
              <w:t xml:space="preserve">Adaptarea textului preluat constă, în principal, în raportarea termenului de predare a evidențelor la </w:t>
            </w:r>
            <w:r w:rsidRPr="00700784">
              <w:rPr>
                <w:rFonts w:ascii="Times New Roman" w:hAnsi="Times New Roman" w:cs="Times New Roman"/>
                <w:i/>
                <w:sz w:val="24"/>
                <w:szCs w:val="24"/>
              </w:rPr>
              <w:t>„data publicării deciziei A.S.F. de retragere a autorizației de funcționare și constatare a existenţei indiciilor stării de insolvenţă”</w:t>
            </w:r>
            <w:r w:rsidRPr="00700784">
              <w:rPr>
                <w:rFonts w:ascii="Times New Roman" w:hAnsi="Times New Roman" w:cs="Times New Roman"/>
                <w:sz w:val="24"/>
                <w:szCs w:val="24"/>
              </w:rPr>
              <w:t xml:space="preserve">, spre deosebire de prevederile actuale în care acest termen se raportează la </w:t>
            </w:r>
            <w:r w:rsidRPr="00700784">
              <w:rPr>
                <w:rFonts w:ascii="Times New Roman" w:hAnsi="Times New Roman" w:cs="Times New Roman"/>
                <w:i/>
                <w:sz w:val="24"/>
                <w:szCs w:val="24"/>
              </w:rPr>
              <w:t xml:space="preserve">„data publicării deciziei de închidere a procedurii de redresare financiară”, </w:t>
            </w:r>
            <w:r w:rsidRPr="00700784">
              <w:rPr>
                <w:rFonts w:ascii="Times New Roman" w:hAnsi="Times New Roman" w:cs="Times New Roman"/>
                <w:sz w:val="24"/>
                <w:szCs w:val="24"/>
              </w:rPr>
              <w:t xml:space="preserve">pentru a cuprinde și situaţiile în care decizia de </w:t>
            </w:r>
            <w:r w:rsidRPr="00700784">
              <w:rPr>
                <w:rFonts w:ascii="Times New Roman" w:hAnsi="Times New Roman" w:cs="Times New Roman"/>
                <w:sz w:val="24"/>
                <w:szCs w:val="24"/>
              </w:rPr>
              <w:lastRenderedPageBreak/>
              <w:t>retragere a autorizației este emisă fără ca în prealabil să fi fost parcursă o procedură de redresare financiară; o adaptare similară a fost efectuată și la art. 12 alin. (1) care reglementează posibilitatea creditorilor de asigurări de a solicita Fondului deschiderea dosarului de daune;</w:t>
            </w:r>
          </w:p>
          <w:p w:rsidR="00BA725F" w:rsidRPr="00700784" w:rsidRDefault="00BA725F" w:rsidP="00700784">
            <w:pPr>
              <w:pStyle w:val="ListParagraph"/>
              <w:numPr>
                <w:ilvl w:val="0"/>
                <w:numId w:val="33"/>
              </w:numPr>
              <w:spacing w:after="0"/>
              <w:jc w:val="both"/>
              <w:rPr>
                <w:rFonts w:ascii="Times New Roman" w:hAnsi="Times New Roman" w:cs="Times New Roman"/>
                <w:sz w:val="24"/>
                <w:szCs w:val="24"/>
                <w:lang w:eastAsia="ro-RO"/>
              </w:rPr>
            </w:pPr>
            <w:r w:rsidRPr="00700784">
              <w:rPr>
                <w:rFonts w:ascii="Times New Roman" w:hAnsi="Times New Roman" w:cs="Times New Roman"/>
                <w:sz w:val="24"/>
                <w:szCs w:val="24"/>
              </w:rPr>
              <w:t>introducerea unor dispoziții privind s</w:t>
            </w:r>
            <w:r w:rsidRPr="00700784">
              <w:rPr>
                <w:rFonts w:ascii="Times New Roman" w:hAnsi="Times New Roman" w:cs="Times New Roman"/>
                <w:bCs/>
                <w:sz w:val="24"/>
                <w:szCs w:val="24"/>
                <w:lang w:eastAsia="ro-RO"/>
              </w:rPr>
              <w:t xml:space="preserve">tabilirea cuantumului daunelor morale </w:t>
            </w:r>
            <w:r w:rsidRPr="00700784">
              <w:rPr>
                <w:rFonts w:ascii="Times New Roman" w:hAnsi="Times New Roman" w:cs="Times New Roman"/>
                <w:sz w:val="24"/>
                <w:szCs w:val="24"/>
              </w:rPr>
              <w:t xml:space="preserve">cu respectarea principiului echității și prin raportare la consecințele negative suferite în plan fizic și psihic, ținându-se cont de criterii obiective și rezonabile; </w:t>
            </w:r>
            <w:r w:rsidRPr="00700784">
              <w:rPr>
                <w:rFonts w:ascii="Times New Roman" w:hAnsi="Times New Roman" w:cs="Times New Roman"/>
                <w:bCs/>
                <w:sz w:val="24"/>
                <w:szCs w:val="24"/>
                <w:lang w:eastAsia="ro-RO"/>
              </w:rPr>
              <w:t>prevederea este necesară în condițiile în care procesul de determinare a cuantumului acestui tip de daune include o doză irefutabilă de aproximare raportată la unele criterii precum situația familială, profesională și socială și are drept scop stabilirea unei valori fără a se ajunge la o îmbogățire fără just temei</w:t>
            </w:r>
            <w:r w:rsidRPr="00700784">
              <w:rPr>
                <w:rFonts w:ascii="Times New Roman" w:hAnsi="Times New Roman" w:cs="Times New Roman"/>
                <w:sz w:val="24"/>
                <w:szCs w:val="24"/>
              </w:rPr>
              <w:t xml:space="preserve">; </w:t>
            </w:r>
          </w:p>
          <w:p w:rsidR="00BA725F" w:rsidRPr="00700784" w:rsidRDefault="00BA725F" w:rsidP="00700784">
            <w:pPr>
              <w:pStyle w:val="ListParagraph"/>
              <w:numPr>
                <w:ilvl w:val="0"/>
                <w:numId w:val="33"/>
              </w:numPr>
              <w:spacing w:after="0"/>
              <w:jc w:val="both"/>
              <w:rPr>
                <w:rFonts w:ascii="Times New Roman" w:hAnsi="Times New Roman" w:cs="Times New Roman"/>
                <w:sz w:val="24"/>
                <w:szCs w:val="24"/>
                <w:lang w:eastAsia="ro-RO"/>
              </w:rPr>
            </w:pPr>
            <w:r w:rsidRPr="00700784">
              <w:rPr>
                <w:rFonts w:ascii="Times New Roman" w:hAnsi="Times New Roman" w:cs="Times New Roman"/>
                <w:sz w:val="24"/>
                <w:szCs w:val="24"/>
              </w:rPr>
              <w:t>reglementarea expresă a faptului că executarea silită pentru titlurile executorii obținute împotriva asigurătorului nu poate fi demarată împotriva Fondului; prevederea ține cont de considerentele Deciziei Curții Constituționale nr. 80/2017 și de necesitatea corelării cu dispozițiile Legii nr. 85/2014, cu modificările și completările ulterioare, având în vedere faptul că Fondul nu se susbstituie asigurătorului în faliment și că nu există o transmisiune a obligațiilor acestuia către Fond;</w:t>
            </w:r>
          </w:p>
          <w:p w:rsidR="00BA725F" w:rsidRPr="00700784" w:rsidRDefault="00BA725F" w:rsidP="00700784">
            <w:pPr>
              <w:pStyle w:val="ListParagraph"/>
              <w:numPr>
                <w:ilvl w:val="0"/>
                <w:numId w:val="33"/>
              </w:numPr>
              <w:spacing w:after="0"/>
              <w:jc w:val="both"/>
              <w:rPr>
                <w:rFonts w:ascii="Times New Roman" w:hAnsi="Times New Roman" w:cs="Times New Roman"/>
                <w:sz w:val="24"/>
                <w:szCs w:val="24"/>
                <w:lang w:eastAsia="ro-RO"/>
              </w:rPr>
            </w:pPr>
            <w:r w:rsidRPr="00700784">
              <w:rPr>
                <w:rFonts w:ascii="Times New Roman" w:hAnsi="Times New Roman" w:cs="Times New Roman"/>
                <w:sz w:val="24"/>
                <w:szCs w:val="24"/>
              </w:rPr>
              <w:t xml:space="preserve">modificarea căii de atac a deciziilor Fondului de respingere a plății sumelor solicitate; astfel, proiectul de </w:t>
            </w:r>
            <w:r w:rsidR="003554A8">
              <w:rPr>
                <w:rFonts w:ascii="Times New Roman" w:hAnsi="Times New Roman" w:cs="Times New Roman"/>
                <w:sz w:val="24"/>
                <w:szCs w:val="24"/>
              </w:rPr>
              <w:t>Ordonanță de urgență</w:t>
            </w:r>
            <w:r w:rsidRPr="00700784">
              <w:rPr>
                <w:rFonts w:ascii="Times New Roman" w:hAnsi="Times New Roman" w:cs="Times New Roman"/>
                <w:sz w:val="24"/>
                <w:szCs w:val="24"/>
              </w:rPr>
              <w:t xml:space="preserve"> prevede faptul că asemenea decizii pot fi contestate la instanțele civile </w:t>
            </w:r>
            <w:r w:rsidR="005D5AB2">
              <w:rPr>
                <w:rFonts w:ascii="Times New Roman" w:hAnsi="Times New Roman" w:cs="Times New Roman"/>
                <w:sz w:val="24"/>
                <w:szCs w:val="24"/>
              </w:rPr>
              <w:t xml:space="preserve">de la </w:t>
            </w:r>
            <w:r w:rsidRPr="00700784">
              <w:rPr>
                <w:rFonts w:ascii="Times New Roman" w:hAnsi="Times New Roman" w:cs="Times New Roman"/>
                <w:sz w:val="24"/>
                <w:szCs w:val="24"/>
              </w:rPr>
              <w:t>sediul Fondul</w:t>
            </w:r>
            <w:r w:rsidR="00C70283">
              <w:rPr>
                <w:rFonts w:ascii="Times New Roman" w:hAnsi="Times New Roman" w:cs="Times New Roman"/>
                <w:sz w:val="24"/>
                <w:szCs w:val="24"/>
              </w:rPr>
              <w:t>ui</w:t>
            </w:r>
            <w:r w:rsidRPr="00700784">
              <w:rPr>
                <w:rFonts w:ascii="Times New Roman" w:hAnsi="Times New Roman" w:cs="Times New Roman"/>
                <w:sz w:val="24"/>
                <w:szCs w:val="24"/>
              </w:rPr>
              <w:t xml:space="preserve"> (spre deosebire de prevederile actuale care stabilesc posibilitatea de contestare la Curtea de Apel Bucureşti),</w:t>
            </w:r>
            <w:r w:rsidR="00EA14A3">
              <w:rPr>
                <w:rFonts w:ascii="Times New Roman" w:hAnsi="Times New Roman" w:cs="Times New Roman"/>
                <w:sz w:val="24"/>
                <w:szCs w:val="24"/>
              </w:rPr>
              <w:t xml:space="preserve"> </w:t>
            </w:r>
            <w:r w:rsidR="003B79AC">
              <w:rPr>
                <w:rFonts w:ascii="Times New Roman" w:hAnsi="Times New Roman" w:cs="Times New Roman"/>
                <w:sz w:val="24"/>
                <w:szCs w:val="24"/>
              </w:rPr>
              <w:t>căile de atac fiind cele prevăzute de Codul de procedură civilă</w:t>
            </w:r>
            <w:r w:rsidRPr="00700784">
              <w:rPr>
                <w:rFonts w:ascii="Times New Roman" w:hAnsi="Times New Roman" w:cs="Times New Roman"/>
                <w:sz w:val="24"/>
                <w:szCs w:val="24"/>
              </w:rPr>
              <w:t>. Modificarea căii de atac din contencios în civil survine ca urmare a solicitării Înaltei Curți de Casație și Justiție, prin Ministerul Justiției;</w:t>
            </w:r>
          </w:p>
          <w:p w:rsidR="00BA725F" w:rsidRPr="00700784" w:rsidRDefault="00BA725F" w:rsidP="00700784">
            <w:pPr>
              <w:pStyle w:val="ListParagraph"/>
              <w:numPr>
                <w:ilvl w:val="0"/>
                <w:numId w:val="33"/>
              </w:numPr>
              <w:spacing w:after="0"/>
              <w:jc w:val="both"/>
              <w:rPr>
                <w:rFonts w:ascii="Times New Roman" w:hAnsi="Times New Roman" w:cs="Times New Roman"/>
                <w:sz w:val="24"/>
                <w:szCs w:val="24"/>
                <w:lang w:eastAsia="ro-RO"/>
              </w:rPr>
            </w:pPr>
            <w:r w:rsidRPr="00700784">
              <w:rPr>
                <w:rFonts w:ascii="Times New Roman" w:hAnsi="Times New Roman" w:cs="Times New Roman"/>
                <w:sz w:val="24"/>
                <w:szCs w:val="24"/>
              </w:rPr>
              <w:t xml:space="preserve">ca o consecință a modificării căii de atac din contencios în civil, proiectul de </w:t>
            </w:r>
            <w:r w:rsidR="003554A8">
              <w:rPr>
                <w:rFonts w:ascii="Times New Roman" w:hAnsi="Times New Roman" w:cs="Times New Roman"/>
                <w:sz w:val="24"/>
                <w:szCs w:val="24"/>
              </w:rPr>
              <w:t>Ordonanță de urgență</w:t>
            </w:r>
            <w:r w:rsidRPr="00700784">
              <w:rPr>
                <w:rFonts w:ascii="Times New Roman" w:hAnsi="Times New Roman" w:cs="Times New Roman"/>
                <w:sz w:val="24"/>
                <w:szCs w:val="24"/>
              </w:rPr>
              <w:t xml:space="preserve"> conține totodată propunerea de modificare a alin. (1) de la art. 14 din Ordonanţa de urgenţă nr. 80/2013 privind taxele judiciare de timbru, cu modificările și completările ulterioare, astfel încât taxa de timbru de 200 lei prevăzută la acest alineat să fie aplicată și în cazul contestațiilor introduse la instanţele judecătoreşti în temeiul Legii nr. 213/2015;</w:t>
            </w:r>
          </w:p>
          <w:p w:rsidR="00BA725F" w:rsidRPr="00700784" w:rsidRDefault="00BA725F" w:rsidP="00700784">
            <w:pPr>
              <w:pStyle w:val="ListParagraph"/>
              <w:numPr>
                <w:ilvl w:val="0"/>
                <w:numId w:val="33"/>
              </w:numPr>
              <w:spacing w:after="0"/>
              <w:jc w:val="both"/>
              <w:rPr>
                <w:rFonts w:ascii="Times New Roman" w:hAnsi="Times New Roman" w:cs="Times New Roman"/>
                <w:sz w:val="24"/>
                <w:szCs w:val="24"/>
                <w:lang w:eastAsia="ro-RO"/>
              </w:rPr>
            </w:pPr>
            <w:r w:rsidRPr="00700784">
              <w:rPr>
                <w:rFonts w:ascii="Times New Roman" w:hAnsi="Times New Roman" w:cs="Times New Roman"/>
                <w:sz w:val="24"/>
                <w:szCs w:val="24"/>
              </w:rPr>
              <w:t xml:space="preserve">introducerea posibilității </w:t>
            </w:r>
            <w:r w:rsidRPr="00700784">
              <w:rPr>
                <w:rFonts w:ascii="Times New Roman" w:hAnsi="Times New Roman" w:cs="Times New Roman"/>
                <w:bCs/>
                <w:sz w:val="24"/>
                <w:szCs w:val="24"/>
                <w:lang w:eastAsia="ro-RO"/>
              </w:rPr>
              <w:t xml:space="preserve">Fondului </w:t>
            </w:r>
            <w:r w:rsidRPr="00700784">
              <w:rPr>
                <w:rFonts w:ascii="Times New Roman" w:hAnsi="Times New Roman" w:cs="Times New Roman"/>
                <w:sz w:val="24"/>
                <w:szCs w:val="24"/>
              </w:rPr>
              <w:t>de a se îndrepta în mod direct împotriva persoanelor care au încasat necuvenit sume de la Fond, în vederea recuperării acestora putând exercita astfel de acțiuni inclusiv împotriva persoanelor care îndeplinesc servicii de interes public și care au încasat necuvenit sume de la Fond în exercitarea acestor servicii; propunerea are în vedere practica judiciară în domeniul executărilor silite urmare a numeroase demersuri de executare silită declanșate de către executori judecătorești;</w:t>
            </w:r>
          </w:p>
          <w:p w:rsidR="00BA725F" w:rsidRPr="00700784" w:rsidRDefault="00BA725F" w:rsidP="00700784">
            <w:pPr>
              <w:pStyle w:val="ListParagraph"/>
              <w:numPr>
                <w:ilvl w:val="0"/>
                <w:numId w:val="33"/>
              </w:numPr>
              <w:spacing w:after="0"/>
              <w:jc w:val="both"/>
              <w:rPr>
                <w:rFonts w:ascii="Times New Roman" w:hAnsi="Times New Roman" w:cs="Times New Roman"/>
                <w:sz w:val="24"/>
                <w:szCs w:val="24"/>
              </w:rPr>
            </w:pPr>
            <w:r w:rsidRPr="00700784">
              <w:rPr>
                <w:rFonts w:ascii="Times New Roman" w:hAnsi="Times New Roman" w:cs="Times New Roman"/>
                <w:sz w:val="24"/>
                <w:szCs w:val="24"/>
              </w:rPr>
              <w:t>actualizarea capitolului privind contravențiile și sancțiunile, inclusiv introducerea unor prevederi privind posibilitatea aplicării de sancţiuni contravenționale complementare;</w:t>
            </w:r>
          </w:p>
          <w:p w:rsidR="00BA725F" w:rsidRPr="00700784" w:rsidRDefault="00BA725F" w:rsidP="00700784">
            <w:pPr>
              <w:pStyle w:val="ListParagraph"/>
              <w:numPr>
                <w:ilvl w:val="0"/>
                <w:numId w:val="33"/>
              </w:numPr>
              <w:spacing w:after="0"/>
              <w:jc w:val="both"/>
              <w:rPr>
                <w:rFonts w:ascii="Times New Roman" w:hAnsi="Times New Roman" w:cs="Times New Roman"/>
                <w:sz w:val="24"/>
                <w:szCs w:val="24"/>
                <w:lang w:eastAsia="ro-RO"/>
              </w:rPr>
            </w:pPr>
            <w:r w:rsidRPr="00700784">
              <w:rPr>
                <w:rFonts w:ascii="Times New Roman" w:hAnsi="Times New Roman" w:cs="Times New Roman"/>
                <w:sz w:val="24"/>
                <w:szCs w:val="24"/>
              </w:rPr>
              <w:t xml:space="preserve">reglementarea competenței A.S.F. de numire a Fondului ca administrator interimar al unui asigurător pentru care se dispune măsura retragerii autorizației de funcționare și se constată indiciile existenței stării de insolvență, precum și reglementarea atribuțiilor de administrator interimar constând în </w:t>
            </w:r>
            <w:r w:rsidR="007D0DA6">
              <w:rPr>
                <w:rFonts w:ascii="Times New Roman" w:hAnsi="Times New Roman" w:cs="Times New Roman"/>
                <w:sz w:val="24"/>
                <w:szCs w:val="24"/>
              </w:rPr>
              <w:t xml:space="preserve">administrarea și conducerea respectivei societăți, concomitent cu </w:t>
            </w:r>
            <w:r w:rsidRPr="00700784">
              <w:rPr>
                <w:rFonts w:ascii="Times New Roman" w:hAnsi="Times New Roman" w:cs="Times New Roman"/>
                <w:sz w:val="24"/>
                <w:szCs w:val="24"/>
              </w:rPr>
              <w:t xml:space="preserve">conservarea patrimoniului </w:t>
            </w:r>
            <w:r w:rsidR="007D0DA6">
              <w:rPr>
                <w:rFonts w:ascii="Times New Roman" w:hAnsi="Times New Roman" w:cs="Times New Roman"/>
                <w:sz w:val="24"/>
                <w:szCs w:val="24"/>
              </w:rPr>
              <w:t xml:space="preserve">acesteia </w:t>
            </w:r>
            <w:r w:rsidRPr="00700784">
              <w:rPr>
                <w:rFonts w:ascii="Times New Roman" w:hAnsi="Times New Roman" w:cs="Times New Roman"/>
                <w:sz w:val="24"/>
                <w:szCs w:val="24"/>
              </w:rPr>
              <w:t>între data deciziei A.S.F. și data deschiderii procedurii de faliment când este desemnat un lichidator judiciar</w:t>
            </w:r>
            <w:r w:rsidRPr="00700784">
              <w:rPr>
                <w:rFonts w:ascii="Times New Roman" w:hAnsi="Times New Roman" w:cs="Times New Roman"/>
                <w:sz w:val="24"/>
                <w:szCs w:val="24"/>
                <w:lang w:eastAsia="ro-RO"/>
              </w:rPr>
              <w:t xml:space="preserve">; pe perioada exercitării atribuției de administrator interimar, atribuțiile conducerii asigurătorului se </w:t>
            </w:r>
            <w:r w:rsidRPr="00700784">
              <w:rPr>
                <w:rFonts w:ascii="Times New Roman" w:hAnsi="Times New Roman" w:cs="Times New Roman"/>
                <w:sz w:val="24"/>
                <w:szCs w:val="24"/>
                <w:lang w:eastAsia="ro-RO"/>
              </w:rPr>
              <w:lastRenderedPageBreak/>
              <w:t>suspendă de drept, cu câteva excepții expres menționate, cum ar fi cea de predare a evidențelor către Fond;</w:t>
            </w:r>
          </w:p>
          <w:p w:rsidR="00BA725F" w:rsidRPr="00700784" w:rsidRDefault="00BA725F" w:rsidP="00700784">
            <w:pPr>
              <w:pStyle w:val="ListParagraph"/>
              <w:numPr>
                <w:ilvl w:val="0"/>
                <w:numId w:val="33"/>
              </w:numPr>
              <w:spacing w:after="0"/>
              <w:jc w:val="both"/>
              <w:rPr>
                <w:rFonts w:ascii="Times New Roman" w:hAnsi="Times New Roman" w:cs="Times New Roman"/>
                <w:sz w:val="24"/>
                <w:szCs w:val="24"/>
              </w:rPr>
            </w:pPr>
            <w:r w:rsidRPr="00700784">
              <w:rPr>
                <w:rFonts w:ascii="Times New Roman" w:hAnsi="Times New Roman" w:cs="Times New Roman"/>
                <w:sz w:val="24"/>
                <w:szCs w:val="24"/>
              </w:rPr>
              <w:t>reglementarea expresă a dreptului Fondului de a avea puncte de lucru;</w:t>
            </w:r>
          </w:p>
          <w:p w:rsidR="00BA725F" w:rsidRPr="00700784" w:rsidRDefault="00BA725F" w:rsidP="00700784">
            <w:pPr>
              <w:pStyle w:val="ListParagraph"/>
              <w:numPr>
                <w:ilvl w:val="0"/>
                <w:numId w:val="33"/>
              </w:numPr>
              <w:spacing w:after="0"/>
              <w:jc w:val="both"/>
              <w:rPr>
                <w:rFonts w:ascii="Times New Roman" w:hAnsi="Times New Roman" w:cs="Times New Roman"/>
                <w:sz w:val="24"/>
                <w:szCs w:val="24"/>
              </w:rPr>
            </w:pPr>
            <w:r w:rsidRPr="00700784">
              <w:rPr>
                <w:rFonts w:ascii="Times New Roman" w:hAnsi="Times New Roman" w:cs="Times New Roman"/>
                <w:sz w:val="24"/>
                <w:szCs w:val="24"/>
              </w:rPr>
              <w:t>inserarea unei prevederi rezultate din necesitatea soluționării dosarelor de daună cu elemente de extraneitate în scopul de a facilita demersurile creditorilor de asigurări, rezidenți în alte state membre, de a obține despăgubiri de la Fond. Astfel, se prevede expres faptul că, pentru a facilita demersurile creditorilor de asigurări rezidenți în alte state membre de a obține despăgubiri de la Fond, acesta poate mandata Biroul Asigurătorilor de Autovehicule din România (BAAR), care este biroul auto român conform prevederilor Legii nr. 132/2017 privind asigurarea obligatorie de răspundere civilă auto pentru prejudicii produse terţilor prin accidente de vehicule şi tramvaie, sau organisme similare din alte state membre/corespondenți externi desemnați să gestioneze dosarele de daună, ținând cont de acordurile semnate în cadrul Sistemului Carte Verde. Prevederea este necesară și în condițiile în care birourile naționale auto garantează plata despăgubirilor chiar și în situația în care asigurătorul membru al biroului care a încheiat Carte Verde, este în stare de faliment, obligație asumată prin aderarea la sistemul Carte Verde. Garanția birourilor este la nivelul despăgubirii datorate conform legii aplicabile, fără nicio limitare a acesteia. Mai mult decât atât, în cadrul sistemului Carte Verde, birourile naționale din statul de înmatriculare/înregistrare a vehiculelor garantează despăgubirea persoanelor prejudiciate prin accidente produse pe teritoriul altor state ale căror birouri naționale au aderat la sistem, iar constatarea și evaluarea prejudiciilor se face, cu deplină competență, de biroul național al statului pe teritoriul căruia s-a produs accidentul, în conformitate cu legea aplicabilă, care este, de regulă legea statului respectiv;</w:t>
            </w:r>
          </w:p>
          <w:p w:rsidR="00BA725F" w:rsidRPr="00700784" w:rsidRDefault="00BA725F" w:rsidP="00700784">
            <w:pPr>
              <w:pStyle w:val="ListParagraph"/>
              <w:numPr>
                <w:ilvl w:val="0"/>
                <w:numId w:val="33"/>
              </w:numPr>
              <w:spacing w:after="0"/>
              <w:jc w:val="both"/>
              <w:rPr>
                <w:rFonts w:ascii="Times New Roman" w:hAnsi="Times New Roman" w:cs="Times New Roman"/>
                <w:sz w:val="24"/>
                <w:szCs w:val="24"/>
              </w:rPr>
            </w:pPr>
            <w:r w:rsidRPr="00700784">
              <w:rPr>
                <w:rFonts w:ascii="Times New Roman" w:hAnsi="Times New Roman" w:cs="Times New Roman"/>
                <w:sz w:val="24"/>
                <w:szCs w:val="24"/>
              </w:rPr>
              <w:t>completarea prevederilor privind resursele financiare ale Fondului, pentru</w:t>
            </w:r>
            <w:r w:rsidRPr="00700784">
              <w:rPr>
                <w:rFonts w:ascii="Times New Roman" w:hAnsi="Times New Roman" w:cs="Times New Roman"/>
                <w:b/>
                <w:sz w:val="24"/>
                <w:szCs w:val="24"/>
              </w:rPr>
              <w:t xml:space="preserve"> </w:t>
            </w:r>
            <w:r w:rsidRPr="00700784">
              <w:rPr>
                <w:rFonts w:ascii="Times New Roman" w:hAnsi="Times New Roman" w:cs="Times New Roman"/>
                <w:sz w:val="24"/>
                <w:szCs w:val="24"/>
              </w:rPr>
              <w:t>corelare cu prevederile Legii nr. 246/2015 privind redresarea şi rezoluţia asigurătorilor;</w:t>
            </w:r>
          </w:p>
          <w:p w:rsidR="00BA725F" w:rsidRPr="00700784" w:rsidRDefault="00BA725F" w:rsidP="00700784">
            <w:pPr>
              <w:pStyle w:val="ListParagraph"/>
              <w:numPr>
                <w:ilvl w:val="0"/>
                <w:numId w:val="33"/>
              </w:numPr>
              <w:spacing w:after="0"/>
              <w:jc w:val="both"/>
              <w:rPr>
                <w:rFonts w:ascii="Times New Roman" w:hAnsi="Times New Roman" w:cs="Times New Roman"/>
                <w:sz w:val="24"/>
                <w:szCs w:val="24"/>
              </w:rPr>
            </w:pPr>
            <w:r w:rsidRPr="00700784">
              <w:rPr>
                <w:rFonts w:ascii="Times New Roman" w:hAnsi="Times New Roman" w:cs="Times New Roman"/>
                <w:sz w:val="24"/>
                <w:szCs w:val="24"/>
              </w:rPr>
              <w:t>reglementarea posibilității Fondului de a-și constitui conturi în valută, precum și de a-și investi resursele financiare și în instrumente financiare și alte plasamente în valută;</w:t>
            </w:r>
          </w:p>
          <w:p w:rsidR="00BA725F" w:rsidRPr="00700784" w:rsidRDefault="00BA725F" w:rsidP="00700784">
            <w:pPr>
              <w:pStyle w:val="ListParagraph"/>
              <w:numPr>
                <w:ilvl w:val="0"/>
                <w:numId w:val="33"/>
              </w:numPr>
              <w:spacing w:after="0"/>
              <w:jc w:val="both"/>
              <w:rPr>
                <w:rFonts w:ascii="Times New Roman" w:hAnsi="Times New Roman" w:cs="Times New Roman"/>
                <w:sz w:val="24"/>
                <w:szCs w:val="24"/>
              </w:rPr>
            </w:pPr>
            <w:r w:rsidRPr="00700784">
              <w:rPr>
                <w:rFonts w:ascii="Times New Roman" w:hAnsi="Times New Roman" w:cs="Times New Roman"/>
                <w:sz w:val="24"/>
                <w:szCs w:val="24"/>
              </w:rPr>
              <w:t xml:space="preserve">concentrarea materiei în aceeași reglementare, prin preluarea în proiectul de </w:t>
            </w:r>
            <w:r w:rsidR="003554A8">
              <w:rPr>
                <w:rFonts w:ascii="Times New Roman" w:hAnsi="Times New Roman" w:cs="Times New Roman"/>
                <w:sz w:val="24"/>
                <w:szCs w:val="24"/>
              </w:rPr>
              <w:t>Ordonanță de urgență</w:t>
            </w:r>
            <w:r w:rsidRPr="00700784">
              <w:rPr>
                <w:rFonts w:ascii="Times New Roman" w:hAnsi="Times New Roman" w:cs="Times New Roman"/>
                <w:sz w:val="24"/>
                <w:szCs w:val="24"/>
              </w:rPr>
              <w:t xml:space="preserve"> a prevederilor  art. 22 din Legea nr. 503/2004, republicată, cu modificările ulterioare, și art. 266 alin. (1) din Legea nr. 85/2014, cu modificările și completările ulterioare, referitoare la momentul nașterii dreptului creditorilor de asigurări de a solicita Fondului plata sumelor datorate conform legii; concomitent se propune abrogarea  art. 22 din Legea nr. 503/2004, republicată, cu modificările ulterioare;</w:t>
            </w:r>
          </w:p>
          <w:p w:rsidR="00BA725F" w:rsidRPr="00700784" w:rsidRDefault="00BA725F" w:rsidP="00700784">
            <w:pPr>
              <w:pStyle w:val="ListParagraph"/>
              <w:numPr>
                <w:ilvl w:val="0"/>
                <w:numId w:val="33"/>
              </w:numPr>
              <w:spacing w:after="0"/>
              <w:jc w:val="both"/>
              <w:rPr>
                <w:rFonts w:ascii="Times New Roman" w:hAnsi="Times New Roman" w:cs="Times New Roman"/>
                <w:sz w:val="24"/>
                <w:szCs w:val="24"/>
              </w:rPr>
            </w:pPr>
            <w:r w:rsidRPr="00700784">
              <w:rPr>
                <w:rFonts w:ascii="Times New Roman" w:hAnsi="Times New Roman" w:cs="Times New Roman"/>
                <w:sz w:val="24"/>
                <w:szCs w:val="24"/>
              </w:rPr>
              <w:t xml:space="preserve">concentrarea materiei în aceeași reglementare, prin preluarea în proiectul de </w:t>
            </w:r>
            <w:r w:rsidR="003554A8">
              <w:rPr>
                <w:rFonts w:ascii="Times New Roman" w:hAnsi="Times New Roman" w:cs="Times New Roman"/>
                <w:sz w:val="24"/>
                <w:szCs w:val="24"/>
              </w:rPr>
              <w:t>Ordonanță de urgență</w:t>
            </w:r>
            <w:r w:rsidRPr="00700784">
              <w:rPr>
                <w:rFonts w:ascii="Times New Roman" w:hAnsi="Times New Roman" w:cs="Times New Roman"/>
                <w:sz w:val="24"/>
                <w:szCs w:val="24"/>
              </w:rPr>
              <w:t>, cu adaptările impuse de situațiile întâlnite în practică pe parcursul aplicării legii, a prevederilor art. 23 alin. (2) din Legea nr. 503/2004, republicată, cu modificările ulterioare, referitoare la comisia specială din cadrul Fondului, căreia legea îi conferă competența de a aproba sau, după caz, de a respinge la plată sumele pretinse de petenți; concomitent se propune abrogarea art. 23 din Legea nr. 503/2004, republicată, cu modificările ulterioare;</w:t>
            </w:r>
          </w:p>
          <w:p w:rsidR="00BA725F" w:rsidRPr="00700784" w:rsidRDefault="00BA725F" w:rsidP="00700784">
            <w:pPr>
              <w:pStyle w:val="ListParagraph"/>
              <w:numPr>
                <w:ilvl w:val="0"/>
                <w:numId w:val="33"/>
              </w:numPr>
              <w:spacing w:after="0"/>
              <w:jc w:val="both"/>
              <w:rPr>
                <w:rFonts w:ascii="Times New Roman" w:hAnsi="Times New Roman" w:cs="Times New Roman"/>
                <w:sz w:val="24"/>
                <w:szCs w:val="24"/>
              </w:rPr>
            </w:pPr>
            <w:r w:rsidRPr="00700784">
              <w:rPr>
                <w:rFonts w:ascii="Times New Roman" w:hAnsi="Times New Roman" w:cs="Times New Roman"/>
                <w:sz w:val="24"/>
                <w:szCs w:val="24"/>
              </w:rPr>
              <w:t xml:space="preserve">reglementarea competenței comisiei speciale de a suspenda soluționarea cererii de plată, în situația expres reglementată în proiectul de </w:t>
            </w:r>
            <w:r w:rsidR="003554A8">
              <w:rPr>
                <w:rFonts w:ascii="Times New Roman" w:hAnsi="Times New Roman" w:cs="Times New Roman"/>
                <w:sz w:val="24"/>
                <w:szCs w:val="24"/>
              </w:rPr>
              <w:t>Ordonanță de urgență</w:t>
            </w:r>
            <w:r w:rsidRPr="00700784">
              <w:rPr>
                <w:rFonts w:ascii="Times New Roman" w:hAnsi="Times New Roman" w:cs="Times New Roman"/>
                <w:sz w:val="24"/>
                <w:szCs w:val="24"/>
              </w:rPr>
              <w:t xml:space="preserve"> în care petentul solicită prelungirea termenului de furnizare a documentației solicitate de Fond care include acte emise de alte entități private sau publice;</w:t>
            </w:r>
          </w:p>
          <w:p w:rsidR="00BA725F" w:rsidRPr="00700784" w:rsidRDefault="00BA725F" w:rsidP="00700784">
            <w:pPr>
              <w:pStyle w:val="ListParagraph"/>
              <w:numPr>
                <w:ilvl w:val="0"/>
                <w:numId w:val="33"/>
              </w:numPr>
              <w:spacing w:after="0"/>
              <w:jc w:val="both"/>
              <w:rPr>
                <w:rFonts w:ascii="Times New Roman" w:hAnsi="Times New Roman" w:cs="Times New Roman"/>
                <w:sz w:val="24"/>
                <w:szCs w:val="24"/>
              </w:rPr>
            </w:pPr>
            <w:r w:rsidRPr="00700784">
              <w:rPr>
                <w:rFonts w:ascii="Times New Roman" w:hAnsi="Times New Roman" w:cs="Times New Roman"/>
                <w:sz w:val="24"/>
                <w:szCs w:val="24"/>
              </w:rPr>
              <w:lastRenderedPageBreak/>
              <w:t>crearea cadrului legal care să permită unor instituții și autorități ale statului (cum ar fi, de exemplu, unităţile de poliţie, medicale</w:t>
            </w:r>
            <w:r w:rsidR="00801A92">
              <w:rPr>
                <w:rFonts w:ascii="Times New Roman" w:hAnsi="Times New Roman" w:cs="Times New Roman"/>
                <w:sz w:val="24"/>
                <w:szCs w:val="24"/>
              </w:rPr>
              <w:t xml:space="preserve">, </w:t>
            </w:r>
            <w:r w:rsidR="00801A92" w:rsidRPr="00AB3BE3">
              <w:rPr>
                <w:rFonts w:ascii="Times New Roman" w:hAnsi="Times New Roman" w:cs="Times New Roman"/>
                <w:sz w:val="24"/>
                <w:szCs w:val="24"/>
                <w:lang w:eastAsia="ro-RO"/>
              </w:rPr>
              <w:t>inspectoratele județene pentru situații de urgență</w:t>
            </w:r>
            <w:r w:rsidRPr="00700784">
              <w:rPr>
                <w:rFonts w:ascii="Times New Roman" w:hAnsi="Times New Roman" w:cs="Times New Roman"/>
                <w:sz w:val="24"/>
                <w:szCs w:val="24"/>
              </w:rPr>
              <w:t xml:space="preserve"> etc) să comunice Fondului, la cerere, informațiile deținute cu privire la cauzele şi împrejurările producerii riscurilor asigurate şi la prejudiciile ori vătămările provocate, în vederea stabilirii şi plăţii despăgubirilor cuvenite;</w:t>
            </w:r>
          </w:p>
          <w:p w:rsidR="00BA725F" w:rsidRDefault="00BA725F" w:rsidP="00700784">
            <w:pPr>
              <w:pStyle w:val="ListParagraph"/>
              <w:numPr>
                <w:ilvl w:val="0"/>
                <w:numId w:val="33"/>
              </w:numPr>
              <w:spacing w:after="0"/>
              <w:jc w:val="both"/>
              <w:rPr>
                <w:rFonts w:ascii="Times New Roman" w:hAnsi="Times New Roman" w:cs="Times New Roman"/>
                <w:sz w:val="24"/>
                <w:szCs w:val="24"/>
              </w:rPr>
            </w:pPr>
            <w:r w:rsidRPr="00700784">
              <w:rPr>
                <w:rFonts w:ascii="Times New Roman" w:hAnsi="Times New Roman" w:cs="Times New Roman"/>
                <w:sz w:val="24"/>
                <w:szCs w:val="24"/>
              </w:rPr>
              <w:t xml:space="preserve">modificarea definițiilor termenilor </w:t>
            </w:r>
            <w:r w:rsidRPr="00700784">
              <w:rPr>
                <w:rFonts w:ascii="Times New Roman" w:hAnsi="Times New Roman" w:cs="Times New Roman"/>
                <w:i/>
                <w:sz w:val="24"/>
                <w:szCs w:val="24"/>
              </w:rPr>
              <w:t>creanță de asigurări</w:t>
            </w:r>
            <w:r w:rsidRPr="00700784">
              <w:rPr>
                <w:rFonts w:ascii="Times New Roman" w:hAnsi="Times New Roman" w:cs="Times New Roman"/>
                <w:sz w:val="24"/>
                <w:szCs w:val="24"/>
              </w:rPr>
              <w:t xml:space="preserve"> și </w:t>
            </w:r>
            <w:r w:rsidRPr="00700784">
              <w:rPr>
                <w:rFonts w:ascii="Times New Roman" w:hAnsi="Times New Roman" w:cs="Times New Roman"/>
                <w:i/>
                <w:sz w:val="24"/>
                <w:szCs w:val="24"/>
              </w:rPr>
              <w:t>creditori de asigurări</w:t>
            </w:r>
            <w:r w:rsidRPr="00700784">
              <w:rPr>
                <w:rFonts w:ascii="Times New Roman" w:hAnsi="Times New Roman" w:cs="Times New Roman"/>
                <w:sz w:val="24"/>
                <w:szCs w:val="24"/>
              </w:rPr>
              <w:t>,  pentru corelare legislativă cu Legea nr. 237/2015 privind autorizarea şi supravegherea activităţii de asigurare şi reasigurare, cu modificările și completările ulterioare, și pentru evitarea unor interpretări contradictorii cu Legea nr. 85/2014, cu modificările și completările ulterioare, în sensul incorect de a încadra creanțele de asigurări născute după data deschiderii procedurii de faliment ca și cheltuieli născute în timpul procedurii;</w:t>
            </w:r>
          </w:p>
          <w:p w:rsidR="00801A92" w:rsidRDefault="00801A92" w:rsidP="00700784">
            <w:pPr>
              <w:pStyle w:val="ListParagraph"/>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 xml:space="preserve">reglementarea competenței A.S.F. de a stabili, prin norme emise în aplicarea legii, </w:t>
            </w:r>
            <w:r w:rsidR="0090074E">
              <w:rPr>
                <w:rFonts w:ascii="Times New Roman" w:hAnsi="Times New Roman" w:cs="Times New Roman"/>
                <w:sz w:val="24"/>
                <w:szCs w:val="24"/>
              </w:rPr>
              <w:t xml:space="preserve">un </w:t>
            </w:r>
            <w:r>
              <w:rPr>
                <w:rFonts w:ascii="Times New Roman" w:hAnsi="Times New Roman" w:cs="Times New Roman"/>
                <w:sz w:val="24"/>
                <w:szCs w:val="24"/>
              </w:rPr>
              <w:t xml:space="preserve">plafon maxim al plăților efectuate de Fond prin intermediul </w:t>
            </w:r>
            <w:r w:rsidR="0030767C">
              <w:rPr>
                <w:rFonts w:ascii="Times New Roman" w:hAnsi="Times New Roman" w:cs="Times New Roman"/>
                <w:sz w:val="24"/>
                <w:szCs w:val="24"/>
              </w:rPr>
              <w:t>p</w:t>
            </w:r>
            <w:r>
              <w:rPr>
                <w:rFonts w:ascii="Times New Roman" w:hAnsi="Times New Roman" w:cs="Times New Roman"/>
                <w:sz w:val="24"/>
                <w:szCs w:val="24"/>
              </w:rPr>
              <w:t xml:space="preserve">oștei, </w:t>
            </w:r>
            <w:r w:rsidR="0090074E">
              <w:rPr>
                <w:rFonts w:ascii="Times New Roman" w:hAnsi="Times New Roman" w:cs="Times New Roman"/>
                <w:sz w:val="24"/>
                <w:szCs w:val="24"/>
              </w:rPr>
              <w:t xml:space="preserve">în scopul </w:t>
            </w:r>
            <w:r w:rsidR="00AC76C0">
              <w:rPr>
                <w:rFonts w:ascii="Times New Roman" w:hAnsi="Times New Roman" w:cs="Times New Roman"/>
                <w:sz w:val="24"/>
                <w:szCs w:val="24"/>
              </w:rPr>
              <w:t>diminuării</w:t>
            </w:r>
            <w:r w:rsidR="0090074E">
              <w:rPr>
                <w:rFonts w:ascii="Times New Roman" w:hAnsi="Times New Roman" w:cs="Times New Roman"/>
                <w:sz w:val="24"/>
                <w:szCs w:val="24"/>
              </w:rPr>
              <w:t xml:space="preserve"> </w:t>
            </w:r>
            <w:r w:rsidR="00FD00D5">
              <w:rPr>
                <w:rFonts w:ascii="Times New Roman" w:hAnsi="Times New Roman" w:cs="Times New Roman"/>
                <w:sz w:val="24"/>
                <w:szCs w:val="24"/>
              </w:rPr>
              <w:t xml:space="preserve">costurilor </w:t>
            </w:r>
            <w:r w:rsidR="00A56F37">
              <w:rPr>
                <w:rFonts w:ascii="Times New Roman" w:hAnsi="Times New Roman" w:cs="Times New Roman"/>
                <w:sz w:val="24"/>
                <w:szCs w:val="24"/>
              </w:rPr>
              <w:t>g</w:t>
            </w:r>
            <w:r w:rsidR="00FD00D5">
              <w:rPr>
                <w:rFonts w:ascii="Times New Roman" w:hAnsi="Times New Roman" w:cs="Times New Roman"/>
                <w:sz w:val="24"/>
                <w:szCs w:val="24"/>
              </w:rPr>
              <w:t xml:space="preserve">enerate de </w:t>
            </w:r>
            <w:r w:rsidR="0090074E">
              <w:rPr>
                <w:rFonts w:ascii="Times New Roman" w:hAnsi="Times New Roman" w:cs="Times New Roman"/>
                <w:sz w:val="24"/>
                <w:szCs w:val="24"/>
              </w:rPr>
              <w:t xml:space="preserve">comisioanele </w:t>
            </w:r>
            <w:r w:rsidR="00A56F37">
              <w:rPr>
                <w:rFonts w:ascii="Times New Roman" w:hAnsi="Times New Roman" w:cs="Times New Roman"/>
                <w:sz w:val="24"/>
                <w:szCs w:val="24"/>
              </w:rPr>
              <w:t xml:space="preserve">aferente unor astfel de servicii de plată, </w:t>
            </w:r>
            <w:r w:rsidR="0090074E">
              <w:rPr>
                <w:rFonts w:ascii="Times New Roman" w:hAnsi="Times New Roman" w:cs="Times New Roman"/>
                <w:sz w:val="24"/>
                <w:szCs w:val="24"/>
              </w:rPr>
              <w:t xml:space="preserve">în contextul </w:t>
            </w:r>
            <w:r w:rsidR="0030767C">
              <w:rPr>
                <w:rFonts w:ascii="Times New Roman" w:hAnsi="Times New Roman" w:cs="Times New Roman"/>
                <w:sz w:val="24"/>
                <w:szCs w:val="24"/>
              </w:rPr>
              <w:t xml:space="preserve">în care există o </w:t>
            </w:r>
            <w:r w:rsidR="0090074E">
              <w:rPr>
                <w:rFonts w:ascii="Times New Roman" w:hAnsi="Times New Roman" w:cs="Times New Roman"/>
                <w:sz w:val="24"/>
                <w:szCs w:val="24"/>
              </w:rPr>
              <w:t>marj</w:t>
            </w:r>
            <w:r w:rsidR="009B642C">
              <w:rPr>
                <w:rFonts w:ascii="Times New Roman" w:hAnsi="Times New Roman" w:cs="Times New Roman"/>
                <w:sz w:val="24"/>
                <w:szCs w:val="24"/>
              </w:rPr>
              <w:t xml:space="preserve">ă </w:t>
            </w:r>
            <w:r w:rsidR="0090074E">
              <w:rPr>
                <w:rFonts w:ascii="Times New Roman" w:hAnsi="Times New Roman" w:cs="Times New Roman"/>
                <w:sz w:val="24"/>
                <w:szCs w:val="24"/>
              </w:rPr>
              <w:t>semnificativ</w:t>
            </w:r>
            <w:r w:rsidR="0030767C">
              <w:rPr>
                <w:rFonts w:ascii="Times New Roman" w:hAnsi="Times New Roman" w:cs="Times New Roman"/>
                <w:sz w:val="24"/>
                <w:szCs w:val="24"/>
              </w:rPr>
              <w:t>ă</w:t>
            </w:r>
            <w:r w:rsidR="0090074E">
              <w:rPr>
                <w:rFonts w:ascii="Times New Roman" w:hAnsi="Times New Roman" w:cs="Times New Roman"/>
                <w:sz w:val="24"/>
                <w:szCs w:val="24"/>
              </w:rPr>
              <w:t xml:space="preserve"> între</w:t>
            </w:r>
            <w:r w:rsidR="00A56F37">
              <w:rPr>
                <w:rFonts w:ascii="Times New Roman" w:hAnsi="Times New Roman" w:cs="Times New Roman"/>
                <w:sz w:val="24"/>
                <w:szCs w:val="24"/>
              </w:rPr>
              <w:t xml:space="preserve"> comisioanele practicate de </w:t>
            </w:r>
            <w:r w:rsidR="0030767C">
              <w:rPr>
                <w:rFonts w:ascii="Times New Roman" w:hAnsi="Times New Roman" w:cs="Times New Roman"/>
                <w:sz w:val="24"/>
                <w:szCs w:val="24"/>
              </w:rPr>
              <w:t>poștă</w:t>
            </w:r>
            <w:r w:rsidR="007F2754">
              <w:rPr>
                <w:rFonts w:ascii="Times New Roman" w:hAnsi="Times New Roman" w:cs="Times New Roman"/>
                <w:sz w:val="24"/>
                <w:szCs w:val="24"/>
              </w:rPr>
              <w:t xml:space="preserve"> (în cazul căreia, în practică, Fondul a achitat și comisioane variabile aplicate la suma datorată)</w:t>
            </w:r>
            <w:r w:rsidR="0030767C">
              <w:rPr>
                <w:rFonts w:ascii="Times New Roman" w:hAnsi="Times New Roman" w:cs="Times New Roman"/>
                <w:sz w:val="24"/>
                <w:szCs w:val="24"/>
              </w:rPr>
              <w:t xml:space="preserve">, respectiv de </w:t>
            </w:r>
            <w:r w:rsidR="00A56F37">
              <w:rPr>
                <w:rFonts w:ascii="Times New Roman" w:hAnsi="Times New Roman" w:cs="Times New Roman"/>
                <w:sz w:val="24"/>
                <w:szCs w:val="24"/>
              </w:rPr>
              <w:t>instituțiile de credit</w:t>
            </w:r>
            <w:r w:rsidR="00B16952">
              <w:rPr>
                <w:rFonts w:ascii="Times New Roman" w:hAnsi="Times New Roman" w:cs="Times New Roman"/>
                <w:sz w:val="24"/>
                <w:szCs w:val="24"/>
              </w:rPr>
              <w:t>.</w:t>
            </w:r>
          </w:p>
          <w:p w:rsidR="00BA725F" w:rsidRPr="00700784" w:rsidRDefault="00BA725F" w:rsidP="00700784">
            <w:pPr>
              <w:pStyle w:val="ListParagraph"/>
              <w:numPr>
                <w:ilvl w:val="0"/>
                <w:numId w:val="33"/>
              </w:numPr>
              <w:spacing w:after="0"/>
              <w:jc w:val="both"/>
              <w:rPr>
                <w:rFonts w:ascii="Times New Roman" w:hAnsi="Times New Roman" w:cs="Times New Roman"/>
                <w:bCs/>
                <w:sz w:val="24"/>
                <w:szCs w:val="24"/>
              </w:rPr>
            </w:pPr>
            <w:r w:rsidRPr="00700784">
              <w:rPr>
                <w:rFonts w:ascii="Times New Roman" w:hAnsi="Times New Roman" w:cs="Times New Roman"/>
                <w:sz w:val="24"/>
                <w:szCs w:val="24"/>
              </w:rPr>
              <w:t>modificări și completări referitoare la: informațiile minime conținute de cererea de plată adresată Fondului, înscrisurile atașate cererilor, competența Fondului de a solicita petenților informații și documente suplimentare necesare pentru soluționarea cererilor, cerința de publicare a Statutului Fondului în Monitorul Oficial al României, etc.</w:t>
            </w:r>
          </w:p>
          <w:p w:rsidR="008D592D" w:rsidRPr="00700784" w:rsidRDefault="008D592D" w:rsidP="00700784">
            <w:pPr>
              <w:pStyle w:val="ListParagraph"/>
              <w:spacing w:after="0"/>
              <w:ind w:left="420"/>
              <w:jc w:val="both"/>
              <w:rPr>
                <w:rFonts w:ascii="Times New Roman" w:hAnsi="Times New Roman" w:cs="Times New Roman"/>
                <w:bCs/>
                <w:sz w:val="24"/>
                <w:szCs w:val="24"/>
              </w:rPr>
            </w:pPr>
          </w:p>
        </w:tc>
      </w:tr>
      <w:tr w:rsidR="00BA725F" w:rsidRPr="00700784" w:rsidTr="00BA725F">
        <w:trPr>
          <w:trHeight w:val="618"/>
        </w:trPr>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0E3B6C" w:rsidRDefault="000E3B6C" w:rsidP="00700784">
            <w:pPr>
              <w:spacing w:line="276" w:lineRule="auto"/>
              <w:ind w:left="0"/>
              <w:jc w:val="center"/>
              <w:rPr>
                <w:rFonts w:ascii="Times New Roman" w:hAnsi="Times New Roman" w:cs="Times New Roman"/>
                <w:b/>
                <w:bCs/>
                <w:sz w:val="24"/>
                <w:szCs w:val="24"/>
              </w:rPr>
            </w:pPr>
          </w:p>
          <w:p w:rsidR="00BA725F" w:rsidRPr="00700784" w:rsidRDefault="00BA725F" w:rsidP="00700784">
            <w:pPr>
              <w:spacing w:line="276" w:lineRule="auto"/>
              <w:ind w:left="0"/>
              <w:jc w:val="center"/>
              <w:rPr>
                <w:rFonts w:ascii="Times New Roman" w:hAnsi="Times New Roman" w:cs="Times New Roman"/>
                <w:b/>
                <w:bCs/>
                <w:sz w:val="24"/>
                <w:szCs w:val="24"/>
              </w:rPr>
            </w:pPr>
            <w:r w:rsidRPr="00700784">
              <w:rPr>
                <w:rFonts w:ascii="Times New Roman" w:hAnsi="Times New Roman" w:cs="Times New Roman"/>
                <w:b/>
                <w:bCs/>
                <w:sz w:val="24"/>
                <w:szCs w:val="24"/>
              </w:rPr>
              <w:t>Secţiunea a 3-a</w:t>
            </w:r>
          </w:p>
          <w:p w:rsidR="00BA725F" w:rsidRPr="00700784" w:rsidRDefault="00BA725F" w:rsidP="00700784">
            <w:pPr>
              <w:spacing w:line="276" w:lineRule="auto"/>
              <w:ind w:left="0"/>
              <w:jc w:val="center"/>
              <w:rPr>
                <w:rFonts w:ascii="Times New Roman" w:hAnsi="Times New Roman" w:cs="Times New Roman"/>
                <w:b/>
                <w:bCs/>
                <w:sz w:val="24"/>
                <w:szCs w:val="24"/>
              </w:rPr>
            </w:pPr>
            <w:r w:rsidRPr="00700784">
              <w:rPr>
                <w:rFonts w:ascii="Times New Roman" w:hAnsi="Times New Roman" w:cs="Times New Roman"/>
                <w:b/>
                <w:bCs/>
                <w:sz w:val="24"/>
                <w:szCs w:val="24"/>
              </w:rPr>
              <w:t>Impactul socio-econom</w:t>
            </w:r>
            <w:r w:rsidRPr="00700784">
              <w:rPr>
                <w:rFonts w:ascii="Times New Roman" w:hAnsi="Times New Roman" w:cs="Times New Roman"/>
                <w:b/>
                <w:bCs/>
                <w:sz w:val="24"/>
                <w:szCs w:val="24"/>
                <w:lang w:eastAsia="ro-RO"/>
              </w:rPr>
              <w:t>i</w:t>
            </w:r>
            <w:r w:rsidRPr="00700784">
              <w:rPr>
                <w:rFonts w:ascii="Times New Roman" w:hAnsi="Times New Roman" w:cs="Times New Roman"/>
                <w:b/>
                <w:bCs/>
                <w:sz w:val="24"/>
                <w:szCs w:val="24"/>
              </w:rPr>
              <w:t>c al proiectului de act normativ</w:t>
            </w:r>
          </w:p>
        </w:tc>
      </w:tr>
      <w:tr w:rsidR="00BA725F" w:rsidRPr="00700784" w:rsidTr="00BA725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700784" w:rsidRDefault="00BA725F" w:rsidP="00700784">
            <w:pPr>
              <w:tabs>
                <w:tab w:val="left" w:pos="270"/>
              </w:tabs>
              <w:spacing w:line="276" w:lineRule="auto"/>
              <w:ind w:left="0"/>
              <w:rPr>
                <w:rFonts w:ascii="Times New Roman" w:hAnsi="Times New Roman" w:cs="Times New Roman"/>
                <w:b/>
                <w:bCs/>
                <w:sz w:val="24"/>
                <w:szCs w:val="24"/>
              </w:rPr>
            </w:pPr>
            <w:r w:rsidRPr="00700784">
              <w:rPr>
                <w:rFonts w:ascii="Times New Roman" w:hAnsi="Times New Roman" w:cs="Times New Roman"/>
                <w:b/>
                <w:bCs/>
                <w:sz w:val="24"/>
                <w:szCs w:val="24"/>
              </w:rPr>
              <w:t xml:space="preserve">1. Impactul macro-economic </w:t>
            </w:r>
          </w:p>
          <w:p w:rsidR="00BA725F" w:rsidRPr="00700784" w:rsidRDefault="00BA725F" w:rsidP="00700784">
            <w:pPr>
              <w:spacing w:line="276" w:lineRule="auto"/>
              <w:rPr>
                <w:rFonts w:ascii="Times New Roman" w:hAnsi="Times New Roman" w:cs="Times New Roman"/>
                <w:b/>
                <w:bCs/>
                <w:sz w:val="24"/>
                <w:szCs w:val="24"/>
              </w:rPr>
            </w:pPr>
            <w:r w:rsidRPr="00700784">
              <w:rPr>
                <w:rFonts w:ascii="Times New Roman" w:hAnsi="Times New Roman" w:cs="Times New Roman"/>
                <w:sz w:val="24"/>
                <w:szCs w:val="24"/>
              </w:rPr>
              <w:t xml:space="preserve"> Nu este cazul</w:t>
            </w:r>
          </w:p>
        </w:tc>
      </w:tr>
      <w:tr w:rsidR="00BA725F" w:rsidRPr="00700784" w:rsidTr="00BA725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700784" w:rsidRDefault="00BA725F" w:rsidP="00700784">
            <w:pPr>
              <w:spacing w:line="276" w:lineRule="auto"/>
              <w:ind w:left="0"/>
              <w:rPr>
                <w:rFonts w:ascii="Times New Roman" w:hAnsi="Times New Roman" w:cs="Times New Roman"/>
                <w:sz w:val="24"/>
                <w:szCs w:val="24"/>
              </w:rPr>
            </w:pPr>
            <w:r w:rsidRPr="00700784">
              <w:rPr>
                <w:rFonts w:ascii="Times New Roman" w:hAnsi="Times New Roman" w:cs="Times New Roman"/>
                <w:b/>
                <w:bCs/>
                <w:sz w:val="24"/>
                <w:szCs w:val="24"/>
              </w:rPr>
              <w:t>1</w:t>
            </w:r>
            <w:r w:rsidRPr="00700784">
              <w:rPr>
                <w:rFonts w:ascii="Times New Roman" w:hAnsi="Times New Roman" w:cs="Times New Roman"/>
                <w:b/>
                <w:bCs/>
                <w:sz w:val="24"/>
                <w:szCs w:val="24"/>
                <w:vertAlign w:val="superscript"/>
              </w:rPr>
              <w:t>1</w:t>
            </w:r>
            <w:r w:rsidRPr="00700784">
              <w:rPr>
                <w:rFonts w:ascii="Times New Roman" w:hAnsi="Times New Roman" w:cs="Times New Roman"/>
                <w:b/>
                <w:bCs/>
                <w:sz w:val="24"/>
                <w:szCs w:val="24"/>
              </w:rPr>
              <w:t>. Impactul asupra mediului concurenţial şi domeniului ajutoarelor de stat</w:t>
            </w:r>
          </w:p>
          <w:p w:rsidR="00BA725F" w:rsidRPr="00700784" w:rsidRDefault="00BA725F" w:rsidP="00700784">
            <w:pPr>
              <w:spacing w:line="276" w:lineRule="auto"/>
              <w:ind w:left="0"/>
              <w:rPr>
                <w:rFonts w:ascii="Times New Roman" w:hAnsi="Times New Roman" w:cs="Times New Roman"/>
                <w:sz w:val="24"/>
                <w:szCs w:val="24"/>
              </w:rPr>
            </w:pPr>
            <w:r w:rsidRPr="00700784">
              <w:rPr>
                <w:rFonts w:ascii="Times New Roman" w:hAnsi="Times New Roman" w:cs="Times New Roman"/>
                <w:sz w:val="24"/>
                <w:szCs w:val="24"/>
              </w:rPr>
              <w:t xml:space="preserve">          Nu este cazul</w:t>
            </w:r>
          </w:p>
        </w:tc>
      </w:tr>
      <w:tr w:rsidR="00BA725F" w:rsidRPr="00700784" w:rsidTr="00BA725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700784" w:rsidRDefault="00BA725F" w:rsidP="00700784">
            <w:pPr>
              <w:spacing w:line="276" w:lineRule="auto"/>
              <w:ind w:left="0"/>
              <w:rPr>
                <w:rFonts w:ascii="Times New Roman" w:hAnsi="Times New Roman" w:cs="Times New Roman"/>
                <w:b/>
                <w:bCs/>
                <w:sz w:val="24"/>
                <w:szCs w:val="24"/>
              </w:rPr>
            </w:pPr>
            <w:r w:rsidRPr="00700784">
              <w:rPr>
                <w:rFonts w:ascii="Times New Roman" w:hAnsi="Times New Roman" w:cs="Times New Roman"/>
                <w:b/>
                <w:bCs/>
                <w:sz w:val="24"/>
                <w:szCs w:val="24"/>
              </w:rPr>
              <w:t xml:space="preserve">2. Impactul asupra mediului de afaceri </w:t>
            </w:r>
          </w:p>
          <w:p w:rsidR="00BA725F" w:rsidRPr="00700784" w:rsidRDefault="00BA725F" w:rsidP="00700784">
            <w:pPr>
              <w:tabs>
                <w:tab w:val="center" w:pos="4320"/>
                <w:tab w:val="right" w:pos="8640"/>
              </w:tabs>
              <w:spacing w:line="276" w:lineRule="auto"/>
              <w:ind w:left="0"/>
              <w:rPr>
                <w:rFonts w:ascii="Times New Roman" w:hAnsi="Times New Roman" w:cs="Times New Roman"/>
                <w:sz w:val="24"/>
                <w:szCs w:val="24"/>
              </w:rPr>
            </w:pPr>
            <w:r w:rsidRPr="00700784">
              <w:rPr>
                <w:rFonts w:ascii="Times New Roman" w:hAnsi="Times New Roman" w:cs="Times New Roman"/>
                <w:sz w:val="24"/>
                <w:szCs w:val="24"/>
              </w:rPr>
              <w:t xml:space="preserve">          Nu este cazul</w:t>
            </w:r>
          </w:p>
        </w:tc>
      </w:tr>
      <w:tr w:rsidR="00BA725F" w:rsidRPr="00700784" w:rsidTr="00BA725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700784" w:rsidRDefault="00BA725F" w:rsidP="00700784">
            <w:pPr>
              <w:tabs>
                <w:tab w:val="left" w:pos="567"/>
                <w:tab w:val="left" w:pos="720"/>
              </w:tabs>
              <w:spacing w:line="276" w:lineRule="auto"/>
              <w:ind w:left="0"/>
              <w:rPr>
                <w:rFonts w:ascii="Times New Roman" w:hAnsi="Times New Roman" w:cs="Times New Roman"/>
                <w:b/>
                <w:bCs/>
                <w:sz w:val="24"/>
                <w:szCs w:val="24"/>
              </w:rPr>
            </w:pPr>
            <w:r w:rsidRPr="00700784">
              <w:rPr>
                <w:rFonts w:ascii="Times New Roman" w:hAnsi="Times New Roman" w:cs="Times New Roman"/>
                <w:b/>
                <w:bCs/>
                <w:sz w:val="24"/>
                <w:szCs w:val="24"/>
              </w:rPr>
              <w:t>2</w:t>
            </w:r>
            <w:r w:rsidRPr="00700784">
              <w:rPr>
                <w:rFonts w:ascii="Times New Roman" w:hAnsi="Times New Roman" w:cs="Times New Roman"/>
                <w:b/>
                <w:bCs/>
                <w:sz w:val="24"/>
                <w:szCs w:val="24"/>
                <w:vertAlign w:val="superscript"/>
              </w:rPr>
              <w:t>1</w:t>
            </w:r>
            <w:r w:rsidRPr="00700784">
              <w:rPr>
                <w:rFonts w:ascii="Times New Roman" w:hAnsi="Times New Roman" w:cs="Times New Roman"/>
                <w:b/>
                <w:bCs/>
                <w:sz w:val="24"/>
                <w:szCs w:val="24"/>
              </w:rPr>
              <w:t>. Impactul asupra sarcinilor administrative</w:t>
            </w:r>
          </w:p>
          <w:p w:rsidR="00BA725F" w:rsidRPr="00700784" w:rsidRDefault="00BA725F" w:rsidP="00700784">
            <w:pPr>
              <w:tabs>
                <w:tab w:val="left" w:pos="567"/>
                <w:tab w:val="left" w:pos="720"/>
              </w:tabs>
              <w:spacing w:line="276" w:lineRule="auto"/>
              <w:ind w:left="0"/>
              <w:rPr>
                <w:rFonts w:ascii="Times New Roman" w:hAnsi="Times New Roman" w:cs="Times New Roman"/>
                <w:bCs/>
                <w:sz w:val="24"/>
                <w:szCs w:val="24"/>
              </w:rPr>
            </w:pPr>
            <w:r w:rsidRPr="00700784">
              <w:rPr>
                <w:rFonts w:ascii="Times New Roman" w:hAnsi="Times New Roman" w:cs="Times New Roman"/>
                <w:bCs/>
                <w:sz w:val="24"/>
                <w:szCs w:val="24"/>
              </w:rPr>
              <w:t xml:space="preserve">           Nu este cazul</w:t>
            </w:r>
          </w:p>
        </w:tc>
      </w:tr>
      <w:tr w:rsidR="00BA725F" w:rsidRPr="00700784" w:rsidTr="00BA725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700784" w:rsidRDefault="00BA725F" w:rsidP="00700784">
            <w:pPr>
              <w:tabs>
                <w:tab w:val="left" w:pos="567"/>
                <w:tab w:val="left" w:pos="720"/>
              </w:tabs>
              <w:spacing w:line="276" w:lineRule="auto"/>
              <w:ind w:left="0"/>
              <w:rPr>
                <w:rFonts w:ascii="Times New Roman" w:hAnsi="Times New Roman" w:cs="Times New Roman"/>
                <w:b/>
                <w:bCs/>
                <w:sz w:val="24"/>
                <w:szCs w:val="24"/>
              </w:rPr>
            </w:pPr>
            <w:r w:rsidRPr="00700784">
              <w:rPr>
                <w:rFonts w:ascii="Times New Roman" w:hAnsi="Times New Roman" w:cs="Times New Roman"/>
                <w:b/>
                <w:bCs/>
                <w:sz w:val="24"/>
                <w:szCs w:val="24"/>
              </w:rPr>
              <w:t>2</w:t>
            </w:r>
            <w:r w:rsidRPr="00700784">
              <w:rPr>
                <w:rFonts w:ascii="Times New Roman" w:hAnsi="Times New Roman" w:cs="Times New Roman"/>
                <w:b/>
                <w:bCs/>
                <w:sz w:val="24"/>
                <w:szCs w:val="24"/>
                <w:vertAlign w:val="superscript"/>
              </w:rPr>
              <w:t>2</w:t>
            </w:r>
            <w:r w:rsidRPr="00700784">
              <w:rPr>
                <w:rFonts w:ascii="Times New Roman" w:hAnsi="Times New Roman" w:cs="Times New Roman"/>
                <w:b/>
                <w:bCs/>
                <w:sz w:val="24"/>
                <w:szCs w:val="24"/>
              </w:rPr>
              <w:t>. Impactul asupra întreprinderilor mici și mijlocii</w:t>
            </w:r>
          </w:p>
          <w:p w:rsidR="00BA725F" w:rsidRPr="00700784" w:rsidRDefault="00BA725F" w:rsidP="00700784">
            <w:pPr>
              <w:tabs>
                <w:tab w:val="left" w:pos="567"/>
                <w:tab w:val="left" w:pos="720"/>
              </w:tabs>
              <w:spacing w:line="276" w:lineRule="auto"/>
              <w:ind w:left="0"/>
              <w:rPr>
                <w:rFonts w:ascii="Times New Roman" w:hAnsi="Times New Roman" w:cs="Times New Roman"/>
                <w:b/>
                <w:bCs/>
                <w:sz w:val="24"/>
                <w:szCs w:val="24"/>
              </w:rPr>
            </w:pPr>
            <w:r w:rsidRPr="00700784">
              <w:rPr>
                <w:rFonts w:ascii="Times New Roman" w:hAnsi="Times New Roman" w:cs="Times New Roman"/>
                <w:b/>
                <w:bCs/>
                <w:sz w:val="24"/>
                <w:szCs w:val="24"/>
              </w:rPr>
              <w:t xml:space="preserve">           </w:t>
            </w:r>
            <w:r w:rsidRPr="00700784">
              <w:rPr>
                <w:rFonts w:ascii="Times New Roman" w:hAnsi="Times New Roman" w:cs="Times New Roman"/>
                <w:bCs/>
                <w:sz w:val="24"/>
                <w:szCs w:val="24"/>
              </w:rPr>
              <w:t>Nu este cazul</w:t>
            </w:r>
            <w:r w:rsidRPr="00700784">
              <w:rPr>
                <w:rFonts w:ascii="Times New Roman" w:hAnsi="Times New Roman" w:cs="Times New Roman"/>
                <w:b/>
                <w:bCs/>
                <w:sz w:val="24"/>
                <w:szCs w:val="24"/>
              </w:rPr>
              <w:t xml:space="preserve">   </w:t>
            </w:r>
          </w:p>
        </w:tc>
      </w:tr>
      <w:tr w:rsidR="00BA725F" w:rsidRPr="00700784" w:rsidTr="00BA725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700784" w:rsidRDefault="00BA725F" w:rsidP="00700784">
            <w:pPr>
              <w:spacing w:line="276" w:lineRule="auto"/>
              <w:ind w:left="0"/>
              <w:rPr>
                <w:rFonts w:ascii="Times New Roman" w:hAnsi="Times New Roman" w:cs="Times New Roman"/>
                <w:b/>
                <w:bCs/>
                <w:sz w:val="24"/>
                <w:szCs w:val="24"/>
              </w:rPr>
            </w:pPr>
            <w:r w:rsidRPr="00700784">
              <w:rPr>
                <w:rFonts w:ascii="Times New Roman" w:hAnsi="Times New Roman" w:cs="Times New Roman"/>
                <w:b/>
                <w:bCs/>
                <w:sz w:val="24"/>
                <w:szCs w:val="24"/>
              </w:rPr>
              <w:t>3. Impactul social</w:t>
            </w:r>
          </w:p>
          <w:p w:rsidR="00BA725F" w:rsidRPr="00700784" w:rsidRDefault="00BA725F" w:rsidP="00700784">
            <w:pPr>
              <w:spacing w:line="276" w:lineRule="auto"/>
              <w:ind w:left="0"/>
              <w:rPr>
                <w:rFonts w:ascii="Times New Roman" w:hAnsi="Times New Roman" w:cs="Times New Roman"/>
                <w:sz w:val="24"/>
                <w:szCs w:val="24"/>
              </w:rPr>
            </w:pPr>
            <w:r w:rsidRPr="00700784">
              <w:rPr>
                <w:rFonts w:ascii="Times New Roman" w:hAnsi="Times New Roman" w:cs="Times New Roman"/>
                <w:sz w:val="24"/>
                <w:szCs w:val="24"/>
              </w:rPr>
              <w:t xml:space="preserve">           </w:t>
            </w:r>
            <w:r w:rsidRPr="00700784">
              <w:rPr>
                <w:rFonts w:ascii="Times New Roman" w:hAnsi="Times New Roman" w:cs="Times New Roman"/>
                <w:bCs/>
                <w:sz w:val="24"/>
                <w:szCs w:val="24"/>
              </w:rPr>
              <w:t xml:space="preserve"> Nu este cazul</w:t>
            </w:r>
            <w:r w:rsidRPr="00700784">
              <w:rPr>
                <w:rFonts w:ascii="Times New Roman" w:hAnsi="Times New Roman" w:cs="Times New Roman"/>
                <w:b/>
                <w:bCs/>
                <w:sz w:val="24"/>
                <w:szCs w:val="24"/>
              </w:rPr>
              <w:t xml:space="preserve">   </w:t>
            </w:r>
          </w:p>
        </w:tc>
      </w:tr>
      <w:tr w:rsidR="00BA725F" w:rsidRPr="00700784" w:rsidTr="00BA725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700784" w:rsidRDefault="00BA725F" w:rsidP="00700784">
            <w:pPr>
              <w:spacing w:line="276" w:lineRule="auto"/>
              <w:ind w:left="0"/>
              <w:rPr>
                <w:rFonts w:ascii="Times New Roman" w:hAnsi="Times New Roman" w:cs="Times New Roman"/>
                <w:sz w:val="24"/>
                <w:szCs w:val="24"/>
              </w:rPr>
            </w:pPr>
            <w:r w:rsidRPr="00700784">
              <w:rPr>
                <w:rFonts w:ascii="Times New Roman" w:hAnsi="Times New Roman" w:cs="Times New Roman"/>
                <w:b/>
                <w:bCs/>
                <w:sz w:val="24"/>
                <w:szCs w:val="24"/>
              </w:rPr>
              <w:t xml:space="preserve">4. Impactul asupra mediului </w:t>
            </w:r>
          </w:p>
          <w:p w:rsidR="00BA725F" w:rsidRPr="00700784" w:rsidRDefault="00BA725F" w:rsidP="00700784">
            <w:pPr>
              <w:spacing w:line="276" w:lineRule="auto"/>
              <w:ind w:left="0"/>
              <w:rPr>
                <w:rFonts w:ascii="Times New Roman" w:hAnsi="Times New Roman" w:cs="Times New Roman"/>
                <w:sz w:val="24"/>
                <w:szCs w:val="24"/>
              </w:rPr>
            </w:pPr>
            <w:r w:rsidRPr="00700784">
              <w:rPr>
                <w:rFonts w:ascii="Times New Roman" w:hAnsi="Times New Roman" w:cs="Times New Roman"/>
                <w:sz w:val="24"/>
                <w:szCs w:val="24"/>
              </w:rPr>
              <w:t xml:space="preserve">          Nu este cazul.</w:t>
            </w:r>
          </w:p>
        </w:tc>
      </w:tr>
      <w:tr w:rsidR="00BA725F" w:rsidRPr="00700784" w:rsidTr="009E45D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531C91" w:rsidRDefault="00531C91" w:rsidP="00700784">
            <w:pPr>
              <w:spacing w:line="276" w:lineRule="auto"/>
              <w:ind w:left="0"/>
              <w:jc w:val="center"/>
              <w:rPr>
                <w:rFonts w:ascii="Times New Roman" w:hAnsi="Times New Roman" w:cs="Times New Roman"/>
                <w:b/>
                <w:bCs/>
                <w:sz w:val="24"/>
                <w:szCs w:val="24"/>
              </w:rPr>
            </w:pPr>
          </w:p>
          <w:p w:rsidR="00531C91" w:rsidRDefault="00531C91" w:rsidP="00700784">
            <w:pPr>
              <w:spacing w:line="276" w:lineRule="auto"/>
              <w:ind w:left="0"/>
              <w:jc w:val="center"/>
              <w:rPr>
                <w:rFonts w:ascii="Times New Roman" w:hAnsi="Times New Roman" w:cs="Times New Roman"/>
                <w:b/>
                <w:bCs/>
                <w:sz w:val="24"/>
                <w:szCs w:val="24"/>
              </w:rPr>
            </w:pPr>
          </w:p>
          <w:p w:rsidR="00531C91" w:rsidRDefault="00531C91" w:rsidP="00700784">
            <w:pPr>
              <w:spacing w:line="276" w:lineRule="auto"/>
              <w:ind w:left="0"/>
              <w:jc w:val="center"/>
              <w:rPr>
                <w:rFonts w:ascii="Times New Roman" w:hAnsi="Times New Roman" w:cs="Times New Roman"/>
                <w:b/>
                <w:bCs/>
                <w:sz w:val="24"/>
                <w:szCs w:val="24"/>
              </w:rPr>
            </w:pPr>
          </w:p>
          <w:p w:rsidR="00531C91" w:rsidRDefault="00531C91" w:rsidP="00700784">
            <w:pPr>
              <w:spacing w:line="276" w:lineRule="auto"/>
              <w:ind w:left="0"/>
              <w:jc w:val="center"/>
              <w:rPr>
                <w:rFonts w:ascii="Times New Roman" w:hAnsi="Times New Roman" w:cs="Times New Roman"/>
                <w:b/>
                <w:bCs/>
                <w:sz w:val="24"/>
                <w:szCs w:val="24"/>
              </w:rPr>
            </w:pPr>
          </w:p>
          <w:p w:rsidR="00531C91" w:rsidRDefault="00531C91" w:rsidP="00700784">
            <w:pPr>
              <w:spacing w:line="276" w:lineRule="auto"/>
              <w:ind w:left="0"/>
              <w:jc w:val="center"/>
              <w:rPr>
                <w:rFonts w:ascii="Times New Roman" w:hAnsi="Times New Roman" w:cs="Times New Roman"/>
                <w:b/>
                <w:bCs/>
                <w:sz w:val="24"/>
                <w:szCs w:val="24"/>
              </w:rPr>
            </w:pPr>
          </w:p>
          <w:p w:rsidR="00531C91" w:rsidRDefault="00531C91" w:rsidP="00700784">
            <w:pPr>
              <w:spacing w:line="276" w:lineRule="auto"/>
              <w:ind w:left="0"/>
              <w:jc w:val="center"/>
              <w:rPr>
                <w:rFonts w:ascii="Times New Roman" w:hAnsi="Times New Roman" w:cs="Times New Roman"/>
                <w:b/>
                <w:bCs/>
                <w:sz w:val="24"/>
                <w:szCs w:val="24"/>
              </w:rPr>
            </w:pPr>
          </w:p>
          <w:p w:rsidR="00531C91" w:rsidRDefault="00531C91" w:rsidP="00700784">
            <w:pPr>
              <w:spacing w:line="276" w:lineRule="auto"/>
              <w:ind w:left="0"/>
              <w:jc w:val="center"/>
              <w:rPr>
                <w:rFonts w:ascii="Times New Roman" w:hAnsi="Times New Roman" w:cs="Times New Roman"/>
                <w:b/>
                <w:bCs/>
                <w:sz w:val="24"/>
                <w:szCs w:val="24"/>
              </w:rPr>
            </w:pPr>
          </w:p>
          <w:p w:rsidR="00BA725F" w:rsidRPr="00700784" w:rsidRDefault="00BA725F" w:rsidP="00700784">
            <w:pPr>
              <w:spacing w:line="276" w:lineRule="auto"/>
              <w:ind w:left="0"/>
              <w:jc w:val="center"/>
              <w:rPr>
                <w:rFonts w:ascii="Times New Roman" w:hAnsi="Times New Roman" w:cs="Times New Roman"/>
                <w:b/>
                <w:bCs/>
                <w:sz w:val="24"/>
                <w:szCs w:val="24"/>
              </w:rPr>
            </w:pPr>
            <w:r w:rsidRPr="00700784">
              <w:rPr>
                <w:rFonts w:ascii="Times New Roman" w:hAnsi="Times New Roman" w:cs="Times New Roman"/>
                <w:b/>
                <w:bCs/>
                <w:sz w:val="24"/>
                <w:szCs w:val="24"/>
              </w:rPr>
              <w:t>Secţiunea a 4-a</w:t>
            </w:r>
          </w:p>
          <w:p w:rsidR="00BA725F" w:rsidRPr="00700784" w:rsidRDefault="00BA725F" w:rsidP="00700784">
            <w:pPr>
              <w:spacing w:line="276" w:lineRule="auto"/>
              <w:ind w:left="0"/>
              <w:jc w:val="center"/>
              <w:rPr>
                <w:rFonts w:ascii="Times New Roman" w:hAnsi="Times New Roman" w:cs="Times New Roman"/>
                <w:b/>
                <w:bCs/>
                <w:sz w:val="24"/>
                <w:szCs w:val="24"/>
              </w:rPr>
            </w:pPr>
            <w:r w:rsidRPr="00700784">
              <w:rPr>
                <w:rFonts w:ascii="Times New Roman" w:hAnsi="Times New Roman" w:cs="Times New Roman"/>
                <w:b/>
                <w:bCs/>
                <w:sz w:val="24"/>
                <w:szCs w:val="24"/>
              </w:rPr>
              <w:t>Impactul financiar asupra bugetului general consolidat,</w:t>
            </w:r>
          </w:p>
          <w:p w:rsidR="00BA725F" w:rsidRPr="00700784" w:rsidRDefault="00BA725F" w:rsidP="00700784">
            <w:pPr>
              <w:spacing w:line="276" w:lineRule="auto"/>
              <w:ind w:left="0"/>
              <w:jc w:val="center"/>
              <w:rPr>
                <w:rFonts w:ascii="Times New Roman" w:hAnsi="Times New Roman" w:cs="Times New Roman"/>
                <w:b/>
                <w:bCs/>
                <w:sz w:val="24"/>
                <w:szCs w:val="24"/>
              </w:rPr>
            </w:pPr>
            <w:r w:rsidRPr="00700784">
              <w:rPr>
                <w:rFonts w:ascii="Times New Roman" w:hAnsi="Times New Roman" w:cs="Times New Roman"/>
                <w:b/>
                <w:bCs/>
                <w:color w:val="FF0000"/>
                <w:sz w:val="24"/>
                <w:szCs w:val="24"/>
              </w:rPr>
              <w:t xml:space="preserve"> </w:t>
            </w:r>
            <w:r w:rsidRPr="00700784">
              <w:rPr>
                <w:rFonts w:ascii="Times New Roman" w:hAnsi="Times New Roman" w:cs="Times New Roman"/>
                <w:b/>
                <w:bCs/>
                <w:sz w:val="24"/>
                <w:szCs w:val="24"/>
              </w:rPr>
              <w:t>atât pe termen scurt, cât și pe termen lung (5 ani)</w:t>
            </w:r>
          </w:p>
        </w:tc>
      </w:tr>
      <w:tr w:rsidR="00BA725F" w:rsidRPr="00700784" w:rsidTr="00531C91">
        <w:trPr>
          <w:trHeight w:val="7446"/>
        </w:trPr>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700784" w:rsidRDefault="00BA725F" w:rsidP="00700784">
            <w:pPr>
              <w:spacing w:line="276" w:lineRule="auto"/>
              <w:ind w:left="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1536"/>
              <w:gridCol w:w="936"/>
              <w:gridCol w:w="1056"/>
              <w:gridCol w:w="1056"/>
              <w:gridCol w:w="1056"/>
              <w:gridCol w:w="1056"/>
            </w:tblGrid>
            <w:tr w:rsidR="00BA725F" w:rsidRPr="00700784" w:rsidTr="008D592D">
              <w:tc>
                <w:tcPr>
                  <w:tcW w:w="5000" w:type="pct"/>
                  <w:gridSpan w:val="7"/>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jc w:val="right"/>
                    <w:rPr>
                      <w:rFonts w:ascii="Times New Roman" w:hAnsi="Times New Roman" w:cs="Times New Roman"/>
                      <w:color w:val="000000"/>
                      <w:sz w:val="24"/>
                      <w:szCs w:val="24"/>
                    </w:rPr>
                  </w:pPr>
                  <w:r w:rsidRPr="00700784">
                    <w:rPr>
                      <w:rFonts w:ascii="Times New Roman" w:hAnsi="Times New Roman" w:cs="Times New Roman"/>
                      <w:color w:val="000000"/>
                      <w:sz w:val="24"/>
                      <w:szCs w:val="24"/>
                    </w:rPr>
                    <w:t>- în mii lei (RON) -</w:t>
                  </w:r>
                </w:p>
              </w:tc>
            </w:tr>
            <w:tr w:rsidR="00BA725F" w:rsidRPr="00700784" w:rsidTr="008D592D">
              <w:trPr>
                <w:trHeight w:val="1243"/>
              </w:trPr>
              <w:tc>
                <w:tcPr>
                  <w:tcW w:w="1306"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jc w:val="center"/>
                    <w:rPr>
                      <w:rFonts w:ascii="Times New Roman" w:hAnsi="Times New Roman" w:cs="Times New Roman"/>
                      <w:color w:val="000000"/>
                      <w:sz w:val="24"/>
                      <w:szCs w:val="24"/>
                    </w:rPr>
                  </w:pPr>
                  <w:r w:rsidRPr="00700784">
                    <w:rPr>
                      <w:rFonts w:ascii="Times New Roman" w:hAnsi="Times New Roman" w:cs="Times New Roman"/>
                      <w:color w:val="000000"/>
                      <w:sz w:val="24"/>
                      <w:szCs w:val="24"/>
                    </w:rPr>
                    <w:t>Indicatori</w:t>
                  </w:r>
                </w:p>
              </w:tc>
              <w:tc>
                <w:tcPr>
                  <w:tcW w:w="847"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r w:rsidRPr="00700784">
                    <w:rPr>
                      <w:rFonts w:ascii="Times New Roman" w:hAnsi="Times New Roman" w:cs="Times New Roman"/>
                      <w:color w:val="000000"/>
                      <w:sz w:val="24"/>
                      <w:szCs w:val="24"/>
                    </w:rPr>
                    <w:t>Anul curent</w:t>
                  </w:r>
                </w:p>
              </w:tc>
              <w:tc>
                <w:tcPr>
                  <w:tcW w:w="2264" w:type="pct"/>
                  <w:gridSpan w:val="4"/>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jc w:val="center"/>
                    <w:rPr>
                      <w:rFonts w:ascii="Times New Roman" w:hAnsi="Times New Roman" w:cs="Times New Roman"/>
                      <w:color w:val="000000"/>
                      <w:sz w:val="24"/>
                      <w:szCs w:val="24"/>
                    </w:rPr>
                  </w:pPr>
                  <w:r w:rsidRPr="00700784">
                    <w:rPr>
                      <w:rFonts w:ascii="Times New Roman" w:hAnsi="Times New Roman" w:cs="Times New Roman"/>
                      <w:color w:val="000000"/>
                      <w:sz w:val="24"/>
                      <w:szCs w:val="24"/>
                    </w:rPr>
                    <w:t>Următorii patru ani</w:t>
                  </w:r>
                </w:p>
              </w:tc>
              <w:tc>
                <w:tcPr>
                  <w:tcW w:w="583"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ind w:left="0"/>
                    <w:rPr>
                      <w:rFonts w:ascii="Times New Roman" w:hAnsi="Times New Roman" w:cs="Times New Roman"/>
                      <w:color w:val="000000"/>
                      <w:sz w:val="24"/>
                      <w:szCs w:val="24"/>
                    </w:rPr>
                  </w:pPr>
                  <w:r w:rsidRPr="00700784">
                    <w:rPr>
                      <w:rFonts w:ascii="Times New Roman" w:hAnsi="Times New Roman" w:cs="Times New Roman"/>
                      <w:color w:val="000000"/>
                      <w:sz w:val="24"/>
                      <w:szCs w:val="24"/>
                    </w:rPr>
                    <w:t xml:space="preserve">Media pe cinci ani </w:t>
                  </w:r>
                </w:p>
              </w:tc>
            </w:tr>
            <w:tr w:rsidR="00BA725F" w:rsidRPr="00700784" w:rsidTr="008D592D">
              <w:tc>
                <w:tcPr>
                  <w:tcW w:w="1306"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jc w:val="center"/>
                    <w:rPr>
                      <w:rFonts w:ascii="Times New Roman" w:hAnsi="Times New Roman" w:cs="Times New Roman"/>
                      <w:color w:val="000000"/>
                      <w:sz w:val="24"/>
                      <w:szCs w:val="24"/>
                    </w:rPr>
                  </w:pPr>
                  <w:r w:rsidRPr="00700784">
                    <w:rPr>
                      <w:rFonts w:ascii="Times New Roman" w:hAnsi="Times New Roman" w:cs="Times New Roman"/>
                      <w:color w:val="000000"/>
                      <w:sz w:val="24"/>
                      <w:szCs w:val="24"/>
                    </w:rPr>
                    <w:t>1</w:t>
                  </w:r>
                </w:p>
              </w:tc>
              <w:tc>
                <w:tcPr>
                  <w:tcW w:w="847"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jc w:val="center"/>
                    <w:rPr>
                      <w:rFonts w:ascii="Times New Roman" w:hAnsi="Times New Roman" w:cs="Times New Roman"/>
                      <w:color w:val="000000"/>
                      <w:sz w:val="24"/>
                      <w:szCs w:val="24"/>
                    </w:rPr>
                  </w:pPr>
                  <w:r w:rsidRPr="00700784">
                    <w:rPr>
                      <w:rFonts w:ascii="Times New Roman" w:hAnsi="Times New Roman" w:cs="Times New Roman"/>
                      <w:color w:val="000000"/>
                      <w:sz w:val="24"/>
                      <w:szCs w:val="24"/>
                    </w:rPr>
                    <w:t>2</w:t>
                  </w:r>
                </w:p>
              </w:tc>
              <w:tc>
                <w:tcPr>
                  <w:tcW w:w="516"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ind w:left="0"/>
                    <w:rPr>
                      <w:rFonts w:ascii="Times New Roman" w:hAnsi="Times New Roman" w:cs="Times New Roman"/>
                      <w:color w:val="000000"/>
                      <w:sz w:val="24"/>
                      <w:szCs w:val="24"/>
                    </w:rPr>
                  </w:pPr>
                  <w:r w:rsidRPr="00700784">
                    <w:rPr>
                      <w:rFonts w:ascii="Times New Roman" w:hAnsi="Times New Roman" w:cs="Times New Roman"/>
                      <w:color w:val="000000"/>
                      <w:sz w:val="24"/>
                      <w:szCs w:val="24"/>
                    </w:rPr>
                    <w:t xml:space="preserve">         3</w:t>
                  </w:r>
                </w:p>
              </w:tc>
              <w:tc>
                <w:tcPr>
                  <w:tcW w:w="583"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jc w:val="center"/>
                    <w:rPr>
                      <w:rFonts w:ascii="Times New Roman" w:hAnsi="Times New Roman" w:cs="Times New Roman"/>
                      <w:color w:val="000000"/>
                      <w:sz w:val="24"/>
                      <w:szCs w:val="24"/>
                    </w:rPr>
                  </w:pPr>
                  <w:r w:rsidRPr="00700784">
                    <w:rPr>
                      <w:rFonts w:ascii="Times New Roman" w:hAnsi="Times New Roman" w:cs="Times New Roman"/>
                      <w:color w:val="000000"/>
                      <w:sz w:val="24"/>
                      <w:szCs w:val="24"/>
                    </w:rPr>
                    <w:t>4</w:t>
                  </w:r>
                </w:p>
              </w:tc>
              <w:tc>
                <w:tcPr>
                  <w:tcW w:w="583"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jc w:val="center"/>
                    <w:rPr>
                      <w:rFonts w:ascii="Times New Roman" w:hAnsi="Times New Roman" w:cs="Times New Roman"/>
                      <w:color w:val="000000"/>
                      <w:sz w:val="24"/>
                      <w:szCs w:val="24"/>
                    </w:rPr>
                  </w:pPr>
                  <w:r w:rsidRPr="00700784">
                    <w:rPr>
                      <w:rFonts w:ascii="Times New Roman" w:hAnsi="Times New Roman" w:cs="Times New Roman"/>
                      <w:color w:val="000000"/>
                      <w:sz w:val="24"/>
                      <w:szCs w:val="24"/>
                    </w:rPr>
                    <w:t>5</w:t>
                  </w:r>
                </w:p>
              </w:tc>
              <w:tc>
                <w:tcPr>
                  <w:tcW w:w="583"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jc w:val="center"/>
                    <w:rPr>
                      <w:rFonts w:ascii="Times New Roman" w:hAnsi="Times New Roman" w:cs="Times New Roman"/>
                      <w:color w:val="000000"/>
                      <w:sz w:val="24"/>
                      <w:szCs w:val="24"/>
                    </w:rPr>
                  </w:pPr>
                  <w:r w:rsidRPr="00700784">
                    <w:rPr>
                      <w:rFonts w:ascii="Times New Roman" w:hAnsi="Times New Roman" w:cs="Times New Roman"/>
                      <w:color w:val="000000"/>
                      <w:sz w:val="24"/>
                      <w:szCs w:val="24"/>
                    </w:rPr>
                    <w:t>6</w:t>
                  </w:r>
                </w:p>
              </w:tc>
              <w:tc>
                <w:tcPr>
                  <w:tcW w:w="583"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jc w:val="center"/>
                    <w:rPr>
                      <w:rFonts w:ascii="Times New Roman" w:hAnsi="Times New Roman" w:cs="Times New Roman"/>
                      <w:color w:val="000000"/>
                      <w:sz w:val="24"/>
                      <w:szCs w:val="24"/>
                    </w:rPr>
                  </w:pPr>
                  <w:r w:rsidRPr="00700784">
                    <w:rPr>
                      <w:rFonts w:ascii="Times New Roman" w:hAnsi="Times New Roman" w:cs="Times New Roman"/>
                      <w:color w:val="000000"/>
                      <w:sz w:val="24"/>
                      <w:szCs w:val="24"/>
                    </w:rPr>
                    <w:t>7</w:t>
                  </w:r>
                </w:p>
              </w:tc>
            </w:tr>
            <w:tr w:rsidR="00BA725F" w:rsidRPr="00700784" w:rsidTr="008D592D">
              <w:tc>
                <w:tcPr>
                  <w:tcW w:w="1306"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ind w:left="0"/>
                    <w:rPr>
                      <w:rFonts w:ascii="Times New Roman" w:hAnsi="Times New Roman" w:cs="Times New Roman"/>
                      <w:color w:val="000000"/>
                      <w:sz w:val="24"/>
                      <w:szCs w:val="24"/>
                    </w:rPr>
                  </w:pPr>
                  <w:r w:rsidRPr="00700784">
                    <w:rPr>
                      <w:rFonts w:ascii="Times New Roman" w:hAnsi="Times New Roman" w:cs="Times New Roman"/>
                      <w:color w:val="000000"/>
                      <w:sz w:val="24"/>
                      <w:szCs w:val="24"/>
                    </w:rPr>
                    <w:t>1. Modificări ale veniturilor bugetare, în plus/minus, din care:</w:t>
                  </w:r>
                </w:p>
                <w:p w:rsidR="00BA725F" w:rsidRPr="00700784" w:rsidRDefault="00BA725F" w:rsidP="006E1AF0">
                  <w:pPr>
                    <w:framePr w:hSpace="180" w:wrap="around" w:vAnchor="text" w:hAnchor="margin" w:y="320"/>
                    <w:spacing w:line="276" w:lineRule="auto"/>
                    <w:ind w:left="0"/>
                    <w:rPr>
                      <w:rFonts w:ascii="Times New Roman" w:hAnsi="Times New Roman" w:cs="Times New Roman"/>
                      <w:color w:val="000000"/>
                      <w:sz w:val="24"/>
                      <w:szCs w:val="24"/>
                    </w:rPr>
                  </w:pPr>
                  <w:r w:rsidRPr="00700784">
                    <w:rPr>
                      <w:rFonts w:ascii="Times New Roman" w:hAnsi="Times New Roman" w:cs="Times New Roman"/>
                      <w:color w:val="000000"/>
                      <w:sz w:val="24"/>
                      <w:szCs w:val="24"/>
                    </w:rPr>
                    <w:t>a) buget de stat, din acesta:</w:t>
                  </w:r>
                </w:p>
                <w:p w:rsidR="00BA725F" w:rsidRPr="00700784" w:rsidRDefault="00BA725F" w:rsidP="006E1AF0">
                  <w:pPr>
                    <w:framePr w:hSpace="180" w:wrap="around" w:vAnchor="text" w:hAnchor="margin" w:y="320"/>
                    <w:numPr>
                      <w:ilvl w:val="0"/>
                      <w:numId w:val="22"/>
                    </w:numPr>
                    <w:spacing w:line="276" w:lineRule="auto"/>
                    <w:ind w:left="567"/>
                    <w:rPr>
                      <w:rFonts w:ascii="Times New Roman" w:hAnsi="Times New Roman" w:cs="Times New Roman"/>
                      <w:color w:val="000000"/>
                      <w:sz w:val="24"/>
                      <w:szCs w:val="24"/>
                    </w:rPr>
                  </w:pPr>
                  <w:r w:rsidRPr="00700784">
                    <w:rPr>
                      <w:rFonts w:ascii="Times New Roman" w:hAnsi="Times New Roman" w:cs="Times New Roman"/>
                      <w:color w:val="000000"/>
                      <w:sz w:val="24"/>
                      <w:szCs w:val="24"/>
                    </w:rPr>
                    <w:t>impozit pe profit</w:t>
                  </w:r>
                </w:p>
                <w:p w:rsidR="00BA725F" w:rsidRPr="00700784" w:rsidRDefault="00BA725F" w:rsidP="006E1AF0">
                  <w:pPr>
                    <w:framePr w:hSpace="180" w:wrap="around" w:vAnchor="text" w:hAnchor="margin" w:y="320"/>
                    <w:numPr>
                      <w:ilvl w:val="0"/>
                      <w:numId w:val="22"/>
                    </w:numPr>
                    <w:spacing w:line="276" w:lineRule="auto"/>
                    <w:ind w:left="567"/>
                    <w:rPr>
                      <w:rFonts w:ascii="Times New Roman" w:hAnsi="Times New Roman" w:cs="Times New Roman"/>
                      <w:color w:val="000000"/>
                      <w:sz w:val="24"/>
                      <w:szCs w:val="24"/>
                    </w:rPr>
                  </w:pPr>
                  <w:r w:rsidRPr="00700784">
                    <w:rPr>
                      <w:rFonts w:ascii="Times New Roman" w:hAnsi="Times New Roman" w:cs="Times New Roman"/>
                      <w:color w:val="000000"/>
                      <w:sz w:val="24"/>
                      <w:szCs w:val="24"/>
                    </w:rPr>
                    <w:t>impozit pe venit</w:t>
                  </w:r>
                </w:p>
                <w:p w:rsidR="00BA725F" w:rsidRPr="00700784" w:rsidRDefault="00BA725F" w:rsidP="006E1AF0">
                  <w:pPr>
                    <w:framePr w:hSpace="180" w:wrap="around" w:vAnchor="text" w:hAnchor="margin" w:y="320"/>
                    <w:numPr>
                      <w:ilvl w:val="0"/>
                      <w:numId w:val="22"/>
                    </w:numPr>
                    <w:spacing w:line="276" w:lineRule="auto"/>
                    <w:ind w:left="567"/>
                    <w:rPr>
                      <w:rFonts w:ascii="Times New Roman" w:hAnsi="Times New Roman" w:cs="Times New Roman"/>
                      <w:color w:val="000000"/>
                      <w:sz w:val="24"/>
                      <w:szCs w:val="24"/>
                    </w:rPr>
                  </w:pPr>
                  <w:r w:rsidRPr="00700784">
                    <w:rPr>
                      <w:rFonts w:ascii="Times New Roman" w:hAnsi="Times New Roman" w:cs="Times New Roman"/>
                      <w:color w:val="000000"/>
                      <w:sz w:val="24"/>
                      <w:szCs w:val="24"/>
                    </w:rPr>
                    <w:t>TVA</w:t>
                  </w:r>
                </w:p>
                <w:p w:rsidR="00BA725F" w:rsidRPr="00700784" w:rsidRDefault="00BA725F" w:rsidP="006E1AF0">
                  <w:pPr>
                    <w:framePr w:hSpace="180" w:wrap="around" w:vAnchor="text" w:hAnchor="margin" w:y="320"/>
                    <w:spacing w:line="276" w:lineRule="auto"/>
                    <w:ind w:left="0"/>
                    <w:rPr>
                      <w:rFonts w:ascii="Times New Roman" w:hAnsi="Times New Roman" w:cs="Times New Roman"/>
                      <w:color w:val="000000"/>
                      <w:sz w:val="24"/>
                      <w:szCs w:val="24"/>
                    </w:rPr>
                  </w:pPr>
                  <w:r w:rsidRPr="00700784">
                    <w:rPr>
                      <w:rFonts w:ascii="Times New Roman" w:hAnsi="Times New Roman" w:cs="Times New Roman"/>
                      <w:color w:val="000000"/>
                      <w:sz w:val="24"/>
                      <w:szCs w:val="24"/>
                    </w:rPr>
                    <w:t>b) bugete locale</w:t>
                  </w:r>
                </w:p>
                <w:p w:rsidR="00BA725F" w:rsidRPr="00700784" w:rsidRDefault="00BA725F" w:rsidP="006E1AF0">
                  <w:pPr>
                    <w:framePr w:hSpace="180" w:wrap="around" w:vAnchor="text" w:hAnchor="margin" w:y="320"/>
                    <w:numPr>
                      <w:ilvl w:val="0"/>
                      <w:numId w:val="23"/>
                    </w:numPr>
                    <w:spacing w:line="276" w:lineRule="auto"/>
                    <w:ind w:left="567"/>
                    <w:rPr>
                      <w:rFonts w:ascii="Times New Roman" w:hAnsi="Times New Roman" w:cs="Times New Roman"/>
                      <w:color w:val="000000"/>
                      <w:sz w:val="24"/>
                      <w:szCs w:val="24"/>
                    </w:rPr>
                  </w:pPr>
                  <w:r w:rsidRPr="00700784">
                    <w:rPr>
                      <w:rFonts w:ascii="Times New Roman" w:hAnsi="Times New Roman" w:cs="Times New Roman"/>
                      <w:color w:val="000000"/>
                      <w:sz w:val="24"/>
                      <w:szCs w:val="24"/>
                    </w:rPr>
                    <w:t>impozit pe profit</w:t>
                  </w:r>
                </w:p>
                <w:p w:rsidR="00BA725F" w:rsidRPr="00700784" w:rsidRDefault="00BA725F" w:rsidP="006E1AF0">
                  <w:pPr>
                    <w:framePr w:hSpace="180" w:wrap="around" w:vAnchor="text" w:hAnchor="margin" w:y="320"/>
                    <w:spacing w:line="276" w:lineRule="auto"/>
                    <w:ind w:left="0"/>
                    <w:rPr>
                      <w:rFonts w:ascii="Times New Roman" w:hAnsi="Times New Roman" w:cs="Times New Roman"/>
                      <w:color w:val="000000"/>
                      <w:sz w:val="24"/>
                      <w:szCs w:val="24"/>
                    </w:rPr>
                  </w:pPr>
                  <w:r w:rsidRPr="00700784">
                    <w:rPr>
                      <w:rFonts w:ascii="Times New Roman" w:hAnsi="Times New Roman" w:cs="Times New Roman"/>
                      <w:color w:val="000000"/>
                      <w:sz w:val="24"/>
                      <w:szCs w:val="24"/>
                    </w:rPr>
                    <w:t>c) bugetul asigurărilor sociale de stat:</w:t>
                  </w:r>
                </w:p>
                <w:p w:rsidR="00BA725F" w:rsidRPr="00700784" w:rsidRDefault="00BA725F" w:rsidP="006E1AF0">
                  <w:pPr>
                    <w:framePr w:hSpace="180" w:wrap="around" w:vAnchor="text" w:hAnchor="margin" w:y="320"/>
                    <w:numPr>
                      <w:ilvl w:val="0"/>
                      <w:numId w:val="24"/>
                    </w:numPr>
                    <w:spacing w:line="276" w:lineRule="auto"/>
                    <w:ind w:left="567"/>
                    <w:rPr>
                      <w:rFonts w:ascii="Times New Roman" w:hAnsi="Times New Roman" w:cs="Times New Roman"/>
                      <w:color w:val="000000"/>
                      <w:sz w:val="24"/>
                      <w:szCs w:val="24"/>
                    </w:rPr>
                  </w:pPr>
                  <w:r w:rsidRPr="00700784">
                    <w:rPr>
                      <w:rFonts w:ascii="Times New Roman" w:hAnsi="Times New Roman" w:cs="Times New Roman"/>
                      <w:color w:val="000000"/>
                      <w:sz w:val="24"/>
                      <w:szCs w:val="24"/>
                    </w:rPr>
                    <w:t>contribuţii de asigurări</w:t>
                  </w:r>
                </w:p>
              </w:tc>
              <w:tc>
                <w:tcPr>
                  <w:tcW w:w="847"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tc>
              <w:tc>
                <w:tcPr>
                  <w:tcW w:w="516"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pStyle w:val="Header"/>
                    <w:framePr w:hSpace="180" w:wrap="around" w:vAnchor="text" w:hAnchor="margin" w:y="320"/>
                    <w:tabs>
                      <w:tab w:val="left" w:pos="720"/>
                    </w:tabs>
                    <w:spacing w:line="276" w:lineRule="auto"/>
                    <w:jc w:val="center"/>
                    <w:rPr>
                      <w:rFonts w:ascii="Times New Roman" w:eastAsia="Times New Roman" w:hAnsi="Times New Roman"/>
                      <w:color w:val="000000"/>
                      <w:sz w:val="24"/>
                      <w:szCs w:val="24"/>
                    </w:rPr>
                  </w:pPr>
                </w:p>
              </w:tc>
              <w:tc>
                <w:tcPr>
                  <w:tcW w:w="583"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jc w:val="right"/>
                    <w:rPr>
                      <w:rFonts w:ascii="Times New Roman" w:hAnsi="Times New Roman" w:cs="Times New Roman"/>
                      <w:color w:val="000000"/>
                      <w:sz w:val="24"/>
                      <w:szCs w:val="24"/>
                    </w:rPr>
                  </w:pPr>
                </w:p>
              </w:tc>
              <w:tc>
                <w:tcPr>
                  <w:tcW w:w="583"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jc w:val="right"/>
                    <w:rPr>
                      <w:rFonts w:ascii="Times New Roman" w:hAnsi="Times New Roman" w:cs="Times New Roman"/>
                      <w:color w:val="000000"/>
                      <w:sz w:val="24"/>
                      <w:szCs w:val="24"/>
                    </w:rPr>
                  </w:pPr>
                </w:p>
              </w:tc>
              <w:tc>
                <w:tcPr>
                  <w:tcW w:w="583"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jc w:val="right"/>
                    <w:rPr>
                      <w:rFonts w:ascii="Times New Roman" w:hAnsi="Times New Roman" w:cs="Times New Roman"/>
                      <w:color w:val="000000"/>
                      <w:sz w:val="24"/>
                      <w:szCs w:val="24"/>
                    </w:rPr>
                  </w:pPr>
                </w:p>
              </w:tc>
              <w:tc>
                <w:tcPr>
                  <w:tcW w:w="583"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jc w:val="right"/>
                    <w:rPr>
                      <w:rFonts w:ascii="Times New Roman" w:hAnsi="Times New Roman" w:cs="Times New Roman"/>
                      <w:color w:val="000000"/>
                      <w:sz w:val="24"/>
                      <w:szCs w:val="24"/>
                    </w:rPr>
                  </w:pPr>
                </w:p>
              </w:tc>
            </w:tr>
            <w:tr w:rsidR="00BA725F" w:rsidRPr="00700784" w:rsidTr="008D592D">
              <w:trPr>
                <w:trHeight w:val="344"/>
              </w:trPr>
              <w:tc>
                <w:tcPr>
                  <w:tcW w:w="1306"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ind w:left="0"/>
                    <w:rPr>
                      <w:rFonts w:ascii="Times New Roman" w:hAnsi="Times New Roman" w:cs="Times New Roman"/>
                      <w:color w:val="000000"/>
                      <w:sz w:val="24"/>
                      <w:szCs w:val="24"/>
                    </w:rPr>
                  </w:pPr>
                  <w:r w:rsidRPr="00700784">
                    <w:rPr>
                      <w:rFonts w:ascii="Times New Roman" w:hAnsi="Times New Roman" w:cs="Times New Roman"/>
                      <w:bCs/>
                      <w:color w:val="000000"/>
                      <w:sz w:val="24"/>
                      <w:szCs w:val="24"/>
                    </w:rPr>
                    <w:t xml:space="preserve">2. </w:t>
                  </w:r>
                  <w:r w:rsidRPr="00700784">
                    <w:rPr>
                      <w:rFonts w:ascii="Times New Roman" w:hAnsi="Times New Roman" w:cs="Times New Roman"/>
                      <w:color w:val="000000"/>
                      <w:sz w:val="24"/>
                      <w:szCs w:val="24"/>
                    </w:rPr>
                    <w:t>Modificări ale cheltuielilor bugetare, în plus, din care:</w:t>
                  </w:r>
                </w:p>
                <w:p w:rsidR="00BA725F" w:rsidRPr="00700784" w:rsidRDefault="00BA725F" w:rsidP="006E1AF0">
                  <w:pPr>
                    <w:framePr w:hSpace="180" w:wrap="around" w:vAnchor="text" w:hAnchor="margin" w:y="320"/>
                    <w:spacing w:line="276" w:lineRule="auto"/>
                    <w:ind w:left="0"/>
                    <w:rPr>
                      <w:rFonts w:ascii="Times New Roman" w:hAnsi="Times New Roman" w:cs="Times New Roman"/>
                      <w:color w:val="000000"/>
                      <w:sz w:val="24"/>
                      <w:szCs w:val="24"/>
                    </w:rPr>
                  </w:pPr>
                  <w:r w:rsidRPr="00700784">
                    <w:rPr>
                      <w:rFonts w:ascii="Times New Roman" w:hAnsi="Times New Roman" w:cs="Times New Roman"/>
                      <w:color w:val="000000"/>
                      <w:sz w:val="24"/>
                      <w:szCs w:val="24"/>
                    </w:rPr>
                    <w:t>a) buget de stat, din acesta:</w:t>
                  </w:r>
                </w:p>
                <w:p w:rsidR="00BA725F" w:rsidRPr="00700784" w:rsidRDefault="00BA725F" w:rsidP="006E1AF0">
                  <w:pPr>
                    <w:framePr w:hSpace="180" w:wrap="around" w:vAnchor="text" w:hAnchor="margin" w:y="320"/>
                    <w:numPr>
                      <w:ilvl w:val="0"/>
                      <w:numId w:val="25"/>
                    </w:numPr>
                    <w:spacing w:line="276" w:lineRule="auto"/>
                    <w:ind w:left="567"/>
                    <w:rPr>
                      <w:rFonts w:ascii="Times New Roman" w:hAnsi="Times New Roman" w:cs="Times New Roman"/>
                      <w:color w:val="000000"/>
                      <w:sz w:val="24"/>
                      <w:szCs w:val="24"/>
                    </w:rPr>
                  </w:pPr>
                  <w:r w:rsidRPr="00700784">
                    <w:rPr>
                      <w:rFonts w:ascii="Times New Roman" w:hAnsi="Times New Roman" w:cs="Times New Roman"/>
                      <w:color w:val="000000"/>
                      <w:sz w:val="24"/>
                      <w:szCs w:val="24"/>
                    </w:rPr>
                    <w:t>cheltuieli de personal</w:t>
                  </w:r>
                </w:p>
                <w:p w:rsidR="00BA725F" w:rsidRPr="00700784" w:rsidRDefault="00BA725F" w:rsidP="006E1AF0">
                  <w:pPr>
                    <w:framePr w:hSpace="180" w:wrap="around" w:vAnchor="text" w:hAnchor="margin" w:y="320"/>
                    <w:numPr>
                      <w:ilvl w:val="0"/>
                      <w:numId w:val="25"/>
                    </w:numPr>
                    <w:spacing w:line="276" w:lineRule="auto"/>
                    <w:ind w:left="567"/>
                    <w:rPr>
                      <w:rFonts w:ascii="Times New Roman" w:hAnsi="Times New Roman" w:cs="Times New Roman"/>
                      <w:color w:val="000000"/>
                      <w:sz w:val="24"/>
                      <w:szCs w:val="24"/>
                    </w:rPr>
                  </w:pPr>
                  <w:r w:rsidRPr="00700784">
                    <w:rPr>
                      <w:rFonts w:ascii="Times New Roman" w:hAnsi="Times New Roman" w:cs="Times New Roman"/>
                      <w:color w:val="000000"/>
                      <w:sz w:val="24"/>
                      <w:szCs w:val="24"/>
                    </w:rPr>
                    <w:lastRenderedPageBreak/>
                    <w:t>bunuri şi servicii</w:t>
                  </w:r>
                </w:p>
                <w:p w:rsidR="00BA725F" w:rsidRPr="00700784" w:rsidRDefault="00BA725F" w:rsidP="006E1AF0">
                  <w:pPr>
                    <w:framePr w:hSpace="180" w:wrap="around" w:vAnchor="text" w:hAnchor="margin" w:y="320"/>
                    <w:numPr>
                      <w:ilvl w:val="0"/>
                      <w:numId w:val="25"/>
                    </w:numPr>
                    <w:spacing w:line="276" w:lineRule="auto"/>
                    <w:ind w:left="567"/>
                    <w:rPr>
                      <w:rFonts w:ascii="Times New Roman" w:hAnsi="Times New Roman" w:cs="Times New Roman"/>
                      <w:color w:val="000000"/>
                      <w:sz w:val="24"/>
                      <w:szCs w:val="24"/>
                    </w:rPr>
                  </w:pPr>
                  <w:r w:rsidRPr="00700784">
                    <w:rPr>
                      <w:rFonts w:ascii="Times New Roman" w:hAnsi="Times New Roman" w:cs="Times New Roman"/>
                      <w:color w:val="000000"/>
                      <w:sz w:val="24"/>
                      <w:szCs w:val="24"/>
                    </w:rPr>
                    <w:t>asistenţă socială</w:t>
                  </w:r>
                </w:p>
                <w:p w:rsidR="00BA725F" w:rsidRPr="00700784" w:rsidRDefault="00BA725F" w:rsidP="006E1AF0">
                  <w:pPr>
                    <w:framePr w:hSpace="180" w:wrap="around" w:vAnchor="text" w:hAnchor="margin" w:y="320"/>
                    <w:spacing w:line="276" w:lineRule="auto"/>
                    <w:ind w:left="0"/>
                    <w:rPr>
                      <w:rFonts w:ascii="Times New Roman" w:hAnsi="Times New Roman" w:cs="Times New Roman"/>
                      <w:color w:val="000000"/>
                      <w:sz w:val="24"/>
                      <w:szCs w:val="24"/>
                    </w:rPr>
                  </w:pPr>
                  <w:r w:rsidRPr="00700784">
                    <w:rPr>
                      <w:rFonts w:ascii="Times New Roman" w:hAnsi="Times New Roman" w:cs="Times New Roman"/>
                      <w:color w:val="000000"/>
                      <w:sz w:val="24"/>
                      <w:szCs w:val="24"/>
                    </w:rPr>
                    <w:t>b) bugete locale:</w:t>
                  </w:r>
                </w:p>
                <w:p w:rsidR="00BA725F" w:rsidRPr="00700784" w:rsidRDefault="00BA725F" w:rsidP="006E1AF0">
                  <w:pPr>
                    <w:framePr w:hSpace="180" w:wrap="around" w:vAnchor="text" w:hAnchor="margin" w:y="320"/>
                    <w:numPr>
                      <w:ilvl w:val="0"/>
                      <w:numId w:val="26"/>
                    </w:numPr>
                    <w:spacing w:line="276" w:lineRule="auto"/>
                    <w:ind w:left="567"/>
                    <w:rPr>
                      <w:rFonts w:ascii="Times New Roman" w:hAnsi="Times New Roman" w:cs="Times New Roman"/>
                      <w:color w:val="000000"/>
                      <w:sz w:val="24"/>
                      <w:szCs w:val="24"/>
                    </w:rPr>
                  </w:pPr>
                  <w:r w:rsidRPr="00700784">
                    <w:rPr>
                      <w:rFonts w:ascii="Times New Roman" w:hAnsi="Times New Roman" w:cs="Times New Roman"/>
                      <w:color w:val="000000"/>
                      <w:sz w:val="24"/>
                      <w:szCs w:val="24"/>
                    </w:rPr>
                    <w:t>cheltuieli de personal</w:t>
                  </w:r>
                </w:p>
                <w:p w:rsidR="00BA725F" w:rsidRPr="00700784" w:rsidRDefault="00BA725F" w:rsidP="006E1AF0">
                  <w:pPr>
                    <w:framePr w:hSpace="180" w:wrap="around" w:vAnchor="text" w:hAnchor="margin" w:y="320"/>
                    <w:numPr>
                      <w:ilvl w:val="0"/>
                      <w:numId w:val="26"/>
                    </w:numPr>
                    <w:spacing w:line="276" w:lineRule="auto"/>
                    <w:ind w:left="567"/>
                    <w:rPr>
                      <w:rFonts w:ascii="Times New Roman" w:hAnsi="Times New Roman" w:cs="Times New Roman"/>
                      <w:color w:val="000000"/>
                      <w:sz w:val="24"/>
                      <w:szCs w:val="24"/>
                    </w:rPr>
                  </w:pPr>
                  <w:r w:rsidRPr="00700784">
                    <w:rPr>
                      <w:rFonts w:ascii="Times New Roman" w:hAnsi="Times New Roman" w:cs="Times New Roman"/>
                      <w:color w:val="000000"/>
                      <w:sz w:val="24"/>
                      <w:szCs w:val="24"/>
                    </w:rPr>
                    <w:t>bunuri şi servicii</w:t>
                  </w:r>
                </w:p>
                <w:p w:rsidR="00BA725F" w:rsidRPr="00700784" w:rsidRDefault="00BA725F" w:rsidP="006E1AF0">
                  <w:pPr>
                    <w:framePr w:hSpace="180" w:wrap="around" w:vAnchor="text" w:hAnchor="margin" w:y="320"/>
                    <w:numPr>
                      <w:ilvl w:val="0"/>
                      <w:numId w:val="26"/>
                    </w:numPr>
                    <w:spacing w:line="276" w:lineRule="auto"/>
                    <w:ind w:left="567"/>
                    <w:rPr>
                      <w:rFonts w:ascii="Times New Roman" w:hAnsi="Times New Roman" w:cs="Times New Roman"/>
                      <w:color w:val="000000"/>
                      <w:sz w:val="24"/>
                      <w:szCs w:val="24"/>
                    </w:rPr>
                  </w:pPr>
                  <w:r w:rsidRPr="00700784">
                    <w:rPr>
                      <w:rFonts w:ascii="Times New Roman" w:hAnsi="Times New Roman" w:cs="Times New Roman"/>
                      <w:color w:val="000000"/>
                      <w:sz w:val="24"/>
                      <w:szCs w:val="24"/>
                    </w:rPr>
                    <w:t>asistenţă socială</w:t>
                  </w:r>
                </w:p>
                <w:p w:rsidR="00BA725F" w:rsidRPr="00700784" w:rsidRDefault="00BA725F" w:rsidP="006E1AF0">
                  <w:pPr>
                    <w:framePr w:hSpace="180" w:wrap="around" w:vAnchor="text" w:hAnchor="margin" w:y="320"/>
                    <w:spacing w:line="276" w:lineRule="auto"/>
                    <w:ind w:left="0"/>
                    <w:rPr>
                      <w:rFonts w:ascii="Times New Roman" w:hAnsi="Times New Roman" w:cs="Times New Roman"/>
                      <w:color w:val="000000"/>
                      <w:sz w:val="24"/>
                      <w:szCs w:val="24"/>
                    </w:rPr>
                  </w:pPr>
                  <w:r w:rsidRPr="00700784">
                    <w:rPr>
                      <w:rFonts w:ascii="Times New Roman" w:hAnsi="Times New Roman" w:cs="Times New Roman"/>
                      <w:color w:val="000000"/>
                      <w:sz w:val="24"/>
                      <w:szCs w:val="24"/>
                    </w:rPr>
                    <w:t>c) bugetul asigurărilor sociale de stat:</w:t>
                  </w:r>
                </w:p>
                <w:p w:rsidR="00BA725F" w:rsidRPr="00700784" w:rsidRDefault="00BA725F" w:rsidP="006E1AF0">
                  <w:pPr>
                    <w:framePr w:hSpace="180" w:wrap="around" w:vAnchor="text" w:hAnchor="margin" w:y="320"/>
                    <w:numPr>
                      <w:ilvl w:val="0"/>
                      <w:numId w:val="27"/>
                    </w:numPr>
                    <w:spacing w:line="276" w:lineRule="auto"/>
                    <w:ind w:left="567"/>
                    <w:rPr>
                      <w:rFonts w:ascii="Times New Roman" w:hAnsi="Times New Roman" w:cs="Times New Roman"/>
                      <w:color w:val="000000"/>
                      <w:sz w:val="24"/>
                      <w:szCs w:val="24"/>
                    </w:rPr>
                  </w:pPr>
                  <w:r w:rsidRPr="00700784">
                    <w:rPr>
                      <w:rFonts w:ascii="Times New Roman" w:hAnsi="Times New Roman" w:cs="Times New Roman"/>
                      <w:color w:val="000000"/>
                      <w:sz w:val="24"/>
                      <w:szCs w:val="24"/>
                    </w:rPr>
                    <w:t>cheltuieli de personal</w:t>
                  </w:r>
                </w:p>
                <w:p w:rsidR="00BA725F" w:rsidRPr="00700784" w:rsidRDefault="00BA725F" w:rsidP="006E1AF0">
                  <w:pPr>
                    <w:framePr w:hSpace="180" w:wrap="around" w:vAnchor="text" w:hAnchor="margin" w:y="320"/>
                    <w:numPr>
                      <w:ilvl w:val="0"/>
                      <w:numId w:val="27"/>
                    </w:numPr>
                    <w:spacing w:line="276" w:lineRule="auto"/>
                    <w:ind w:left="567"/>
                    <w:rPr>
                      <w:rFonts w:ascii="Times New Roman" w:hAnsi="Times New Roman" w:cs="Times New Roman"/>
                      <w:color w:val="000000"/>
                      <w:sz w:val="24"/>
                      <w:szCs w:val="24"/>
                    </w:rPr>
                  </w:pPr>
                  <w:r w:rsidRPr="00700784">
                    <w:rPr>
                      <w:rFonts w:ascii="Times New Roman" w:hAnsi="Times New Roman" w:cs="Times New Roman"/>
                      <w:color w:val="000000"/>
                      <w:sz w:val="24"/>
                      <w:szCs w:val="24"/>
                    </w:rPr>
                    <w:t>bunuri şi servicii</w:t>
                  </w:r>
                  <w:r w:rsidRPr="00700784">
                    <w:rPr>
                      <w:rFonts w:ascii="Times New Roman" w:hAnsi="Times New Roman" w:cs="Times New Roman"/>
                      <w:bCs/>
                      <w:color w:val="000000"/>
                      <w:sz w:val="24"/>
                      <w:szCs w:val="24"/>
                    </w:rPr>
                    <w:t xml:space="preserve"> </w:t>
                  </w:r>
                </w:p>
              </w:tc>
              <w:tc>
                <w:tcPr>
                  <w:tcW w:w="847" w:type="pct"/>
                  <w:tcBorders>
                    <w:top w:val="single" w:sz="4" w:space="0" w:color="auto"/>
                    <w:left w:val="single" w:sz="4" w:space="0" w:color="auto"/>
                    <w:right w:val="single" w:sz="4" w:space="0" w:color="auto"/>
                  </w:tcBorders>
                </w:tcPr>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p w:rsidR="00BA725F" w:rsidRPr="00700784" w:rsidRDefault="00BA725F" w:rsidP="006E1AF0">
                  <w:pPr>
                    <w:framePr w:hSpace="180" w:wrap="around" w:vAnchor="text" w:hAnchor="margin" w:y="320"/>
                    <w:spacing w:line="276" w:lineRule="auto"/>
                    <w:rPr>
                      <w:rFonts w:ascii="Times New Roman" w:hAnsi="Times New Roman" w:cs="Times New Roman"/>
                      <w:b/>
                      <w:color w:val="000000"/>
                      <w:sz w:val="24"/>
                      <w:szCs w:val="24"/>
                    </w:rPr>
                  </w:pPr>
                </w:p>
                <w:p w:rsidR="00BA725F" w:rsidRPr="00700784" w:rsidRDefault="00BA725F" w:rsidP="006E1AF0">
                  <w:pPr>
                    <w:framePr w:hSpace="180" w:wrap="around" w:vAnchor="text" w:hAnchor="margin" w:y="320"/>
                    <w:spacing w:line="276" w:lineRule="auto"/>
                    <w:rPr>
                      <w:rFonts w:ascii="Times New Roman" w:hAnsi="Times New Roman" w:cs="Times New Roman"/>
                      <w:b/>
                      <w:color w:val="000000"/>
                      <w:sz w:val="24"/>
                      <w:szCs w:val="24"/>
                    </w:rPr>
                  </w:pPr>
                </w:p>
                <w:p w:rsidR="00BA725F" w:rsidRPr="00700784" w:rsidRDefault="00BA725F" w:rsidP="006E1AF0">
                  <w:pPr>
                    <w:framePr w:hSpace="180" w:wrap="around" w:vAnchor="text" w:hAnchor="margin" w:y="320"/>
                    <w:spacing w:line="276" w:lineRule="auto"/>
                    <w:rPr>
                      <w:rFonts w:ascii="Times New Roman" w:hAnsi="Times New Roman" w:cs="Times New Roman"/>
                      <w:b/>
                      <w:color w:val="000000"/>
                      <w:sz w:val="24"/>
                      <w:szCs w:val="24"/>
                    </w:rPr>
                  </w:pPr>
                </w:p>
                <w:p w:rsidR="00BA725F" w:rsidRPr="00700784" w:rsidRDefault="00BA725F" w:rsidP="006E1AF0">
                  <w:pPr>
                    <w:framePr w:hSpace="180" w:wrap="around" w:vAnchor="text" w:hAnchor="margin" w:y="320"/>
                    <w:spacing w:line="276" w:lineRule="auto"/>
                    <w:rPr>
                      <w:rFonts w:ascii="Times New Roman" w:hAnsi="Times New Roman" w:cs="Times New Roman"/>
                      <w:b/>
                      <w:color w:val="000000"/>
                      <w:sz w:val="24"/>
                      <w:szCs w:val="24"/>
                    </w:rPr>
                  </w:pPr>
                </w:p>
                <w:p w:rsidR="00BA725F" w:rsidRPr="00700784" w:rsidRDefault="00BA725F" w:rsidP="006E1AF0">
                  <w:pPr>
                    <w:framePr w:hSpace="180" w:wrap="around" w:vAnchor="text" w:hAnchor="margin" w:y="320"/>
                    <w:spacing w:line="276" w:lineRule="auto"/>
                    <w:rPr>
                      <w:rFonts w:ascii="Times New Roman" w:hAnsi="Times New Roman" w:cs="Times New Roman"/>
                      <w:b/>
                      <w:color w:val="000000"/>
                      <w:sz w:val="24"/>
                      <w:szCs w:val="24"/>
                    </w:rPr>
                  </w:pPr>
                </w:p>
                <w:p w:rsidR="00BA725F" w:rsidRPr="00700784" w:rsidRDefault="00BA725F" w:rsidP="006E1AF0">
                  <w:pPr>
                    <w:framePr w:hSpace="180" w:wrap="around" w:vAnchor="text" w:hAnchor="margin" w:y="320"/>
                    <w:spacing w:line="276" w:lineRule="auto"/>
                    <w:ind w:left="-65"/>
                    <w:rPr>
                      <w:rFonts w:ascii="Times New Roman" w:hAnsi="Times New Roman" w:cs="Times New Roman"/>
                      <w:b/>
                      <w:color w:val="000000"/>
                      <w:sz w:val="24"/>
                      <w:szCs w:val="24"/>
                    </w:rPr>
                  </w:pPr>
                </w:p>
              </w:tc>
              <w:tc>
                <w:tcPr>
                  <w:tcW w:w="516" w:type="pct"/>
                  <w:tcBorders>
                    <w:top w:val="single" w:sz="4" w:space="0" w:color="auto"/>
                    <w:left w:val="single" w:sz="4" w:space="0" w:color="auto"/>
                    <w:right w:val="single" w:sz="4" w:space="0" w:color="auto"/>
                  </w:tcBorders>
                </w:tcPr>
                <w:p w:rsidR="00BA725F" w:rsidRPr="00700784" w:rsidRDefault="00BA725F" w:rsidP="006E1AF0">
                  <w:pPr>
                    <w:pStyle w:val="Header"/>
                    <w:framePr w:hSpace="180" w:wrap="around" w:vAnchor="text" w:hAnchor="margin" w:y="320"/>
                    <w:tabs>
                      <w:tab w:val="left" w:pos="720"/>
                    </w:tabs>
                    <w:spacing w:line="276" w:lineRule="auto"/>
                    <w:jc w:val="center"/>
                    <w:rPr>
                      <w:rFonts w:ascii="Times New Roman" w:eastAsia="Times New Roman" w:hAnsi="Times New Roman"/>
                      <w:color w:val="000000"/>
                      <w:sz w:val="24"/>
                      <w:szCs w:val="24"/>
                    </w:rPr>
                  </w:pPr>
                </w:p>
                <w:p w:rsidR="00BA725F" w:rsidRPr="00700784" w:rsidRDefault="00BA725F" w:rsidP="006E1AF0">
                  <w:pPr>
                    <w:pStyle w:val="Header"/>
                    <w:framePr w:hSpace="180" w:wrap="around" w:vAnchor="text" w:hAnchor="margin" w:y="320"/>
                    <w:tabs>
                      <w:tab w:val="left" w:pos="720"/>
                    </w:tabs>
                    <w:spacing w:line="276" w:lineRule="auto"/>
                    <w:jc w:val="center"/>
                    <w:rPr>
                      <w:rFonts w:ascii="Times New Roman" w:eastAsia="Times New Roman" w:hAnsi="Times New Roman"/>
                      <w:color w:val="000000"/>
                      <w:sz w:val="24"/>
                      <w:szCs w:val="24"/>
                    </w:rPr>
                  </w:pPr>
                </w:p>
                <w:p w:rsidR="00BA725F" w:rsidRPr="00700784" w:rsidRDefault="00BA725F" w:rsidP="006E1AF0">
                  <w:pPr>
                    <w:pStyle w:val="Header"/>
                    <w:framePr w:hSpace="180" w:wrap="around" w:vAnchor="text" w:hAnchor="margin" w:y="320"/>
                    <w:tabs>
                      <w:tab w:val="left" w:pos="720"/>
                    </w:tabs>
                    <w:spacing w:line="276" w:lineRule="auto"/>
                    <w:jc w:val="center"/>
                    <w:rPr>
                      <w:rFonts w:ascii="Times New Roman" w:eastAsia="Times New Roman" w:hAnsi="Times New Roman"/>
                      <w:color w:val="000000"/>
                      <w:sz w:val="24"/>
                      <w:szCs w:val="24"/>
                    </w:rPr>
                  </w:pPr>
                </w:p>
                <w:p w:rsidR="00BA725F" w:rsidRPr="00700784" w:rsidRDefault="00BA725F" w:rsidP="006E1AF0">
                  <w:pPr>
                    <w:pStyle w:val="Header"/>
                    <w:framePr w:hSpace="180" w:wrap="around" w:vAnchor="text" w:hAnchor="margin" w:y="320"/>
                    <w:tabs>
                      <w:tab w:val="left" w:pos="720"/>
                    </w:tabs>
                    <w:spacing w:line="276" w:lineRule="auto"/>
                    <w:jc w:val="center"/>
                    <w:rPr>
                      <w:rFonts w:ascii="Times New Roman" w:eastAsia="Times New Roman" w:hAnsi="Times New Roman"/>
                      <w:color w:val="000000"/>
                      <w:sz w:val="24"/>
                      <w:szCs w:val="24"/>
                    </w:rPr>
                  </w:pPr>
                </w:p>
                <w:p w:rsidR="00BA725F" w:rsidRPr="00700784" w:rsidRDefault="00BA725F" w:rsidP="006E1AF0">
                  <w:pPr>
                    <w:pStyle w:val="Header"/>
                    <w:framePr w:hSpace="180" w:wrap="around" w:vAnchor="text" w:hAnchor="margin" w:y="320"/>
                    <w:tabs>
                      <w:tab w:val="left" w:pos="720"/>
                    </w:tabs>
                    <w:spacing w:line="276" w:lineRule="auto"/>
                    <w:jc w:val="center"/>
                    <w:rPr>
                      <w:rFonts w:ascii="Times New Roman" w:eastAsia="Times New Roman" w:hAnsi="Times New Roman"/>
                      <w:color w:val="000000"/>
                      <w:sz w:val="24"/>
                      <w:szCs w:val="24"/>
                    </w:rPr>
                  </w:pPr>
                </w:p>
                <w:p w:rsidR="00BA725F" w:rsidRPr="00700784" w:rsidRDefault="00BA725F" w:rsidP="006E1AF0">
                  <w:pPr>
                    <w:pStyle w:val="Header"/>
                    <w:framePr w:hSpace="180" w:wrap="around" w:vAnchor="text" w:hAnchor="margin" w:y="320"/>
                    <w:tabs>
                      <w:tab w:val="left" w:pos="720"/>
                    </w:tabs>
                    <w:spacing w:line="276" w:lineRule="auto"/>
                    <w:jc w:val="center"/>
                    <w:rPr>
                      <w:rFonts w:ascii="Times New Roman" w:eastAsia="Times New Roman" w:hAnsi="Times New Roman"/>
                      <w:color w:val="000000"/>
                      <w:sz w:val="24"/>
                      <w:szCs w:val="24"/>
                    </w:rPr>
                  </w:pPr>
                </w:p>
                <w:p w:rsidR="00BA725F" w:rsidRPr="00700784" w:rsidRDefault="00BA725F" w:rsidP="006E1AF0">
                  <w:pPr>
                    <w:pStyle w:val="Header"/>
                    <w:framePr w:hSpace="180" w:wrap="around" w:vAnchor="text" w:hAnchor="margin" w:y="320"/>
                    <w:tabs>
                      <w:tab w:val="left" w:pos="720"/>
                    </w:tabs>
                    <w:spacing w:line="276" w:lineRule="auto"/>
                    <w:jc w:val="center"/>
                    <w:rPr>
                      <w:rFonts w:ascii="Times New Roman" w:eastAsia="Times New Roman" w:hAnsi="Times New Roman"/>
                      <w:color w:val="000000"/>
                      <w:sz w:val="24"/>
                      <w:szCs w:val="24"/>
                    </w:rPr>
                  </w:pPr>
                </w:p>
                <w:p w:rsidR="00BA725F" w:rsidRPr="00700784" w:rsidRDefault="00BA725F" w:rsidP="006E1AF0">
                  <w:pPr>
                    <w:pStyle w:val="Header"/>
                    <w:framePr w:hSpace="180" w:wrap="around" w:vAnchor="text" w:hAnchor="margin" w:y="320"/>
                    <w:tabs>
                      <w:tab w:val="left" w:pos="720"/>
                    </w:tabs>
                    <w:spacing w:line="276" w:lineRule="auto"/>
                    <w:jc w:val="center"/>
                    <w:rPr>
                      <w:rFonts w:ascii="Times New Roman" w:eastAsia="Times New Roman" w:hAnsi="Times New Roman"/>
                      <w:color w:val="000000"/>
                      <w:sz w:val="24"/>
                      <w:szCs w:val="24"/>
                    </w:rPr>
                  </w:pPr>
                </w:p>
                <w:p w:rsidR="00BA725F" w:rsidRPr="00700784" w:rsidRDefault="00BA725F" w:rsidP="006E1AF0">
                  <w:pPr>
                    <w:pStyle w:val="Header"/>
                    <w:framePr w:hSpace="180" w:wrap="around" w:vAnchor="text" w:hAnchor="margin" w:y="320"/>
                    <w:tabs>
                      <w:tab w:val="left" w:pos="720"/>
                    </w:tabs>
                    <w:spacing w:line="276" w:lineRule="auto"/>
                    <w:jc w:val="center"/>
                    <w:rPr>
                      <w:rFonts w:ascii="Times New Roman" w:eastAsia="Times New Roman" w:hAnsi="Times New Roman"/>
                      <w:b/>
                      <w:color w:val="000000"/>
                      <w:sz w:val="24"/>
                      <w:szCs w:val="24"/>
                    </w:rPr>
                  </w:pPr>
                </w:p>
                <w:p w:rsidR="00BA725F" w:rsidRPr="00700784" w:rsidRDefault="00BA725F" w:rsidP="006E1AF0">
                  <w:pPr>
                    <w:pStyle w:val="Header"/>
                    <w:framePr w:hSpace="180" w:wrap="around" w:vAnchor="text" w:hAnchor="margin" w:y="320"/>
                    <w:tabs>
                      <w:tab w:val="left" w:pos="720"/>
                    </w:tabs>
                    <w:spacing w:line="276" w:lineRule="auto"/>
                    <w:jc w:val="center"/>
                    <w:rPr>
                      <w:rFonts w:ascii="Times New Roman" w:eastAsia="Times New Roman" w:hAnsi="Times New Roman"/>
                      <w:b/>
                      <w:color w:val="000000"/>
                      <w:sz w:val="24"/>
                      <w:szCs w:val="24"/>
                    </w:rPr>
                  </w:pPr>
                </w:p>
                <w:p w:rsidR="00BA725F" w:rsidRPr="00700784" w:rsidRDefault="00BA725F" w:rsidP="006E1AF0">
                  <w:pPr>
                    <w:pStyle w:val="Header"/>
                    <w:framePr w:hSpace="180" w:wrap="around" w:vAnchor="text" w:hAnchor="margin" w:y="320"/>
                    <w:tabs>
                      <w:tab w:val="left" w:pos="720"/>
                    </w:tabs>
                    <w:spacing w:line="276" w:lineRule="auto"/>
                    <w:jc w:val="center"/>
                    <w:rPr>
                      <w:rFonts w:ascii="Times New Roman" w:eastAsia="Times New Roman" w:hAnsi="Times New Roman"/>
                      <w:b/>
                      <w:color w:val="000000"/>
                      <w:sz w:val="24"/>
                      <w:szCs w:val="24"/>
                    </w:rPr>
                  </w:pPr>
                </w:p>
                <w:p w:rsidR="00BA725F" w:rsidRPr="00700784" w:rsidRDefault="00BA725F" w:rsidP="006E1AF0">
                  <w:pPr>
                    <w:pStyle w:val="Header"/>
                    <w:framePr w:hSpace="180" w:wrap="around" w:vAnchor="text" w:hAnchor="margin" w:y="320"/>
                    <w:tabs>
                      <w:tab w:val="left" w:pos="720"/>
                    </w:tabs>
                    <w:spacing w:line="276" w:lineRule="auto"/>
                    <w:jc w:val="center"/>
                    <w:rPr>
                      <w:rFonts w:ascii="Times New Roman" w:eastAsia="Times New Roman" w:hAnsi="Times New Roman"/>
                      <w:b/>
                      <w:color w:val="000000"/>
                      <w:sz w:val="24"/>
                      <w:szCs w:val="24"/>
                    </w:rPr>
                  </w:pPr>
                </w:p>
                <w:p w:rsidR="00BA725F" w:rsidRPr="00700784" w:rsidRDefault="00BA725F" w:rsidP="006E1AF0">
                  <w:pPr>
                    <w:pStyle w:val="Header"/>
                    <w:framePr w:hSpace="180" w:wrap="around" w:vAnchor="text" w:hAnchor="margin" w:y="320"/>
                    <w:tabs>
                      <w:tab w:val="left" w:pos="720"/>
                    </w:tabs>
                    <w:spacing w:line="276" w:lineRule="auto"/>
                    <w:jc w:val="center"/>
                    <w:rPr>
                      <w:rFonts w:ascii="Times New Roman" w:eastAsia="Times New Roman" w:hAnsi="Times New Roman"/>
                      <w:color w:val="000000"/>
                      <w:sz w:val="24"/>
                      <w:szCs w:val="24"/>
                    </w:rPr>
                  </w:pPr>
                </w:p>
              </w:tc>
              <w:tc>
                <w:tcPr>
                  <w:tcW w:w="583" w:type="pct"/>
                  <w:tcBorders>
                    <w:top w:val="single" w:sz="4" w:space="0" w:color="auto"/>
                    <w:left w:val="single" w:sz="4" w:space="0" w:color="auto"/>
                    <w:right w:val="single" w:sz="4" w:space="0" w:color="auto"/>
                  </w:tcBorders>
                </w:tcPr>
                <w:p w:rsidR="00BA725F" w:rsidRPr="00700784" w:rsidRDefault="00BA725F" w:rsidP="006E1AF0">
                  <w:pPr>
                    <w:framePr w:hSpace="180" w:wrap="around" w:vAnchor="text" w:hAnchor="margin" w:y="320"/>
                    <w:spacing w:line="276" w:lineRule="auto"/>
                    <w:jc w:val="right"/>
                    <w:rPr>
                      <w:rFonts w:ascii="Times New Roman" w:hAnsi="Times New Roman" w:cs="Times New Roman"/>
                      <w:color w:val="000000"/>
                      <w:sz w:val="24"/>
                      <w:szCs w:val="24"/>
                    </w:rPr>
                  </w:pPr>
                </w:p>
              </w:tc>
              <w:tc>
                <w:tcPr>
                  <w:tcW w:w="583" w:type="pct"/>
                  <w:tcBorders>
                    <w:top w:val="single" w:sz="4" w:space="0" w:color="auto"/>
                    <w:left w:val="single" w:sz="4" w:space="0" w:color="auto"/>
                    <w:right w:val="single" w:sz="4" w:space="0" w:color="auto"/>
                  </w:tcBorders>
                </w:tcPr>
                <w:p w:rsidR="00BA725F" w:rsidRPr="00700784" w:rsidRDefault="00BA725F" w:rsidP="006E1AF0">
                  <w:pPr>
                    <w:framePr w:hSpace="180" w:wrap="around" w:vAnchor="text" w:hAnchor="margin" w:y="320"/>
                    <w:spacing w:line="276" w:lineRule="auto"/>
                    <w:jc w:val="right"/>
                    <w:rPr>
                      <w:rFonts w:ascii="Times New Roman" w:hAnsi="Times New Roman" w:cs="Times New Roman"/>
                      <w:color w:val="000000"/>
                      <w:sz w:val="24"/>
                      <w:szCs w:val="24"/>
                    </w:rPr>
                  </w:pPr>
                </w:p>
              </w:tc>
              <w:tc>
                <w:tcPr>
                  <w:tcW w:w="583" w:type="pct"/>
                  <w:tcBorders>
                    <w:top w:val="single" w:sz="4" w:space="0" w:color="auto"/>
                    <w:left w:val="single" w:sz="4" w:space="0" w:color="auto"/>
                    <w:right w:val="single" w:sz="4" w:space="0" w:color="auto"/>
                  </w:tcBorders>
                </w:tcPr>
                <w:p w:rsidR="00BA725F" w:rsidRPr="00700784" w:rsidRDefault="00BA725F" w:rsidP="006E1AF0">
                  <w:pPr>
                    <w:framePr w:hSpace="180" w:wrap="around" w:vAnchor="text" w:hAnchor="margin" w:y="320"/>
                    <w:spacing w:line="276" w:lineRule="auto"/>
                    <w:jc w:val="right"/>
                    <w:rPr>
                      <w:rFonts w:ascii="Times New Roman" w:hAnsi="Times New Roman" w:cs="Times New Roman"/>
                      <w:color w:val="000000"/>
                      <w:sz w:val="24"/>
                      <w:szCs w:val="24"/>
                    </w:rPr>
                  </w:pPr>
                </w:p>
              </w:tc>
              <w:tc>
                <w:tcPr>
                  <w:tcW w:w="583"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jc w:val="right"/>
                    <w:rPr>
                      <w:rFonts w:ascii="Times New Roman" w:hAnsi="Times New Roman" w:cs="Times New Roman"/>
                      <w:color w:val="000000"/>
                      <w:sz w:val="24"/>
                      <w:szCs w:val="24"/>
                    </w:rPr>
                  </w:pPr>
                </w:p>
              </w:tc>
            </w:tr>
            <w:tr w:rsidR="00BA725F" w:rsidRPr="00700784" w:rsidTr="008D592D">
              <w:tc>
                <w:tcPr>
                  <w:tcW w:w="1306"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ind w:left="0"/>
                    <w:rPr>
                      <w:rFonts w:ascii="Times New Roman" w:hAnsi="Times New Roman" w:cs="Times New Roman"/>
                      <w:color w:val="000000"/>
                      <w:sz w:val="24"/>
                      <w:szCs w:val="24"/>
                    </w:rPr>
                  </w:pPr>
                  <w:r w:rsidRPr="00700784">
                    <w:rPr>
                      <w:rFonts w:ascii="Times New Roman" w:hAnsi="Times New Roman" w:cs="Times New Roman"/>
                      <w:bCs/>
                      <w:color w:val="000000"/>
                      <w:sz w:val="24"/>
                      <w:szCs w:val="24"/>
                    </w:rPr>
                    <w:lastRenderedPageBreak/>
                    <w:t xml:space="preserve">3. </w:t>
                  </w:r>
                  <w:r w:rsidRPr="00700784">
                    <w:rPr>
                      <w:rFonts w:ascii="Times New Roman" w:hAnsi="Times New Roman" w:cs="Times New Roman"/>
                      <w:color w:val="000000"/>
                      <w:sz w:val="24"/>
                      <w:szCs w:val="24"/>
                    </w:rPr>
                    <w:t>Impact financiar, plus/minus, din care:</w:t>
                  </w:r>
                </w:p>
                <w:p w:rsidR="00BA725F" w:rsidRPr="00700784" w:rsidRDefault="00BA725F" w:rsidP="006E1AF0">
                  <w:pPr>
                    <w:framePr w:hSpace="180" w:wrap="around" w:vAnchor="text" w:hAnchor="margin" w:y="320"/>
                    <w:spacing w:line="276" w:lineRule="auto"/>
                    <w:ind w:left="0"/>
                    <w:rPr>
                      <w:rFonts w:ascii="Times New Roman" w:hAnsi="Times New Roman" w:cs="Times New Roman"/>
                      <w:color w:val="000000"/>
                      <w:sz w:val="24"/>
                      <w:szCs w:val="24"/>
                    </w:rPr>
                  </w:pPr>
                  <w:r w:rsidRPr="00700784">
                    <w:rPr>
                      <w:rFonts w:ascii="Times New Roman" w:hAnsi="Times New Roman" w:cs="Times New Roman"/>
                      <w:color w:val="000000"/>
                      <w:sz w:val="24"/>
                      <w:szCs w:val="24"/>
                    </w:rPr>
                    <w:t>a)</w:t>
                  </w:r>
                  <w:r w:rsidRPr="00700784">
                    <w:rPr>
                      <w:rFonts w:ascii="Times New Roman" w:hAnsi="Times New Roman" w:cs="Times New Roman"/>
                      <w:color w:val="000000"/>
                      <w:sz w:val="24"/>
                      <w:szCs w:val="24"/>
                      <w:vertAlign w:val="superscript"/>
                    </w:rPr>
                    <w:t xml:space="preserve"> </w:t>
                  </w:r>
                  <w:r w:rsidRPr="00700784">
                    <w:rPr>
                      <w:rFonts w:ascii="Times New Roman" w:hAnsi="Times New Roman" w:cs="Times New Roman"/>
                      <w:color w:val="000000"/>
                      <w:sz w:val="24"/>
                      <w:szCs w:val="24"/>
                    </w:rPr>
                    <w:t>buget de stat</w:t>
                  </w:r>
                </w:p>
                <w:p w:rsidR="00BA725F" w:rsidRPr="00700784" w:rsidRDefault="00BA725F" w:rsidP="006E1AF0">
                  <w:pPr>
                    <w:framePr w:hSpace="180" w:wrap="around" w:vAnchor="text" w:hAnchor="margin" w:y="320"/>
                    <w:spacing w:line="276" w:lineRule="auto"/>
                    <w:ind w:left="0"/>
                    <w:rPr>
                      <w:rFonts w:ascii="Times New Roman" w:hAnsi="Times New Roman" w:cs="Times New Roman"/>
                      <w:bCs/>
                      <w:color w:val="000000"/>
                      <w:sz w:val="24"/>
                      <w:szCs w:val="24"/>
                    </w:rPr>
                  </w:pPr>
                  <w:r w:rsidRPr="00700784">
                    <w:rPr>
                      <w:rFonts w:ascii="Times New Roman" w:hAnsi="Times New Roman" w:cs="Times New Roman"/>
                      <w:color w:val="000000"/>
                      <w:sz w:val="24"/>
                      <w:szCs w:val="24"/>
                    </w:rPr>
                    <w:t>b) bugete locale</w:t>
                  </w:r>
                </w:p>
              </w:tc>
              <w:tc>
                <w:tcPr>
                  <w:tcW w:w="847"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tc>
              <w:tc>
                <w:tcPr>
                  <w:tcW w:w="516"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pStyle w:val="Header"/>
                    <w:framePr w:hSpace="180" w:wrap="around" w:vAnchor="text" w:hAnchor="margin" w:y="320"/>
                    <w:tabs>
                      <w:tab w:val="left" w:pos="720"/>
                    </w:tabs>
                    <w:spacing w:line="276" w:lineRule="auto"/>
                    <w:jc w:val="center"/>
                    <w:rPr>
                      <w:rFonts w:ascii="Times New Roman" w:eastAsia="Times New Roman" w:hAnsi="Times New Roman"/>
                      <w:color w:val="000000"/>
                      <w:sz w:val="24"/>
                      <w:szCs w:val="24"/>
                    </w:rPr>
                  </w:pPr>
                </w:p>
              </w:tc>
              <w:tc>
                <w:tcPr>
                  <w:tcW w:w="583"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jc w:val="right"/>
                    <w:rPr>
                      <w:rFonts w:ascii="Times New Roman" w:hAnsi="Times New Roman" w:cs="Times New Roman"/>
                      <w:color w:val="000000"/>
                      <w:sz w:val="24"/>
                      <w:szCs w:val="24"/>
                    </w:rPr>
                  </w:pPr>
                </w:p>
              </w:tc>
              <w:tc>
                <w:tcPr>
                  <w:tcW w:w="583"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jc w:val="right"/>
                    <w:rPr>
                      <w:rFonts w:ascii="Times New Roman" w:hAnsi="Times New Roman" w:cs="Times New Roman"/>
                      <w:color w:val="000000"/>
                      <w:sz w:val="24"/>
                      <w:szCs w:val="24"/>
                    </w:rPr>
                  </w:pPr>
                </w:p>
              </w:tc>
              <w:tc>
                <w:tcPr>
                  <w:tcW w:w="583"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jc w:val="right"/>
                    <w:rPr>
                      <w:rFonts w:ascii="Times New Roman" w:hAnsi="Times New Roman" w:cs="Times New Roman"/>
                      <w:color w:val="000000"/>
                      <w:sz w:val="24"/>
                      <w:szCs w:val="24"/>
                    </w:rPr>
                  </w:pPr>
                </w:p>
              </w:tc>
              <w:tc>
                <w:tcPr>
                  <w:tcW w:w="583"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jc w:val="right"/>
                    <w:rPr>
                      <w:rFonts w:ascii="Times New Roman" w:hAnsi="Times New Roman" w:cs="Times New Roman"/>
                      <w:color w:val="000000"/>
                      <w:sz w:val="24"/>
                      <w:szCs w:val="24"/>
                    </w:rPr>
                  </w:pPr>
                </w:p>
              </w:tc>
            </w:tr>
            <w:tr w:rsidR="00BA725F" w:rsidRPr="00700784" w:rsidTr="008D592D">
              <w:tc>
                <w:tcPr>
                  <w:tcW w:w="1306"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ind w:left="0"/>
                    <w:rPr>
                      <w:rFonts w:ascii="Times New Roman" w:hAnsi="Times New Roman" w:cs="Times New Roman"/>
                      <w:bCs/>
                      <w:color w:val="000000"/>
                      <w:sz w:val="24"/>
                      <w:szCs w:val="24"/>
                    </w:rPr>
                  </w:pPr>
                  <w:r w:rsidRPr="00700784">
                    <w:rPr>
                      <w:rFonts w:ascii="Times New Roman" w:hAnsi="Times New Roman" w:cs="Times New Roman"/>
                      <w:bCs/>
                      <w:color w:val="000000"/>
                      <w:sz w:val="24"/>
                      <w:szCs w:val="24"/>
                    </w:rPr>
                    <w:t>4.</w:t>
                  </w:r>
                  <w:r w:rsidRPr="00700784">
                    <w:rPr>
                      <w:rFonts w:ascii="Times New Roman" w:hAnsi="Times New Roman" w:cs="Times New Roman"/>
                      <w:color w:val="000000"/>
                      <w:sz w:val="24"/>
                      <w:szCs w:val="24"/>
                    </w:rPr>
                    <w:t xml:space="preserve"> Propuneri pentru acoperirea creşterii cheltuielilor bugetare</w:t>
                  </w:r>
                </w:p>
              </w:tc>
              <w:tc>
                <w:tcPr>
                  <w:tcW w:w="847"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tc>
              <w:tc>
                <w:tcPr>
                  <w:tcW w:w="516"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tc>
              <w:tc>
                <w:tcPr>
                  <w:tcW w:w="583"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tc>
              <w:tc>
                <w:tcPr>
                  <w:tcW w:w="583"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tc>
              <w:tc>
                <w:tcPr>
                  <w:tcW w:w="583"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tc>
              <w:tc>
                <w:tcPr>
                  <w:tcW w:w="583"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tc>
            </w:tr>
            <w:tr w:rsidR="00BA725F" w:rsidRPr="00700784" w:rsidTr="008D592D">
              <w:tc>
                <w:tcPr>
                  <w:tcW w:w="1306"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ind w:left="0"/>
                    <w:rPr>
                      <w:rFonts w:ascii="Times New Roman" w:hAnsi="Times New Roman" w:cs="Times New Roman"/>
                      <w:color w:val="000000"/>
                      <w:sz w:val="24"/>
                      <w:szCs w:val="24"/>
                    </w:rPr>
                  </w:pPr>
                  <w:r w:rsidRPr="00700784">
                    <w:rPr>
                      <w:rFonts w:ascii="Times New Roman" w:hAnsi="Times New Roman" w:cs="Times New Roman"/>
                      <w:color w:val="000000"/>
                      <w:sz w:val="24"/>
                      <w:szCs w:val="24"/>
                    </w:rPr>
                    <w:t>5. Propuneri pentru a compensa reducerea veniturilor bugetare</w:t>
                  </w:r>
                </w:p>
              </w:tc>
              <w:tc>
                <w:tcPr>
                  <w:tcW w:w="847"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tc>
              <w:tc>
                <w:tcPr>
                  <w:tcW w:w="516"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tc>
              <w:tc>
                <w:tcPr>
                  <w:tcW w:w="583"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tc>
              <w:tc>
                <w:tcPr>
                  <w:tcW w:w="583"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tc>
              <w:tc>
                <w:tcPr>
                  <w:tcW w:w="583"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tc>
              <w:tc>
                <w:tcPr>
                  <w:tcW w:w="583"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tc>
            </w:tr>
            <w:tr w:rsidR="00BA725F" w:rsidRPr="00700784" w:rsidTr="008D592D">
              <w:trPr>
                <w:trHeight w:val="558"/>
              </w:trPr>
              <w:tc>
                <w:tcPr>
                  <w:tcW w:w="1306" w:type="pct"/>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ind w:left="0"/>
                    <w:rPr>
                      <w:rFonts w:ascii="Times New Roman" w:hAnsi="Times New Roman" w:cs="Times New Roman"/>
                      <w:color w:val="000000"/>
                      <w:sz w:val="24"/>
                      <w:szCs w:val="24"/>
                    </w:rPr>
                  </w:pPr>
                  <w:r w:rsidRPr="00700784">
                    <w:rPr>
                      <w:rFonts w:ascii="Times New Roman" w:hAnsi="Times New Roman" w:cs="Times New Roman"/>
                      <w:color w:val="000000"/>
                      <w:sz w:val="24"/>
                      <w:szCs w:val="24"/>
                    </w:rPr>
                    <w:t>6. Calcule detaliate privind fundamentarea modificărilor veniturilor şi/sau cheltuielilor bugetare</w:t>
                  </w:r>
                </w:p>
              </w:tc>
              <w:tc>
                <w:tcPr>
                  <w:tcW w:w="3694" w:type="pct"/>
                  <w:gridSpan w:val="6"/>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rPr>
                      <w:rFonts w:ascii="Times New Roman" w:hAnsi="Times New Roman" w:cs="Times New Roman"/>
                      <w:color w:val="000000"/>
                      <w:sz w:val="24"/>
                      <w:szCs w:val="24"/>
                    </w:rPr>
                  </w:pPr>
                </w:p>
              </w:tc>
            </w:tr>
            <w:tr w:rsidR="00BA725F" w:rsidRPr="00700784" w:rsidTr="008D592D">
              <w:tc>
                <w:tcPr>
                  <w:tcW w:w="5000" w:type="pct"/>
                  <w:gridSpan w:val="7"/>
                  <w:tcBorders>
                    <w:top w:val="single" w:sz="4" w:space="0" w:color="auto"/>
                    <w:left w:val="single" w:sz="4" w:space="0" w:color="auto"/>
                    <w:bottom w:val="single" w:sz="4" w:space="0" w:color="auto"/>
                    <w:right w:val="single" w:sz="4" w:space="0" w:color="auto"/>
                  </w:tcBorders>
                </w:tcPr>
                <w:p w:rsidR="00BA725F" w:rsidRPr="00700784" w:rsidRDefault="00BA725F" w:rsidP="006E1AF0">
                  <w:pPr>
                    <w:framePr w:hSpace="180" w:wrap="around" w:vAnchor="text" w:hAnchor="margin" w:y="320"/>
                    <w:spacing w:line="276" w:lineRule="auto"/>
                    <w:rPr>
                      <w:rFonts w:ascii="Times New Roman" w:hAnsi="Times New Roman" w:cs="Times New Roman"/>
                      <w:b/>
                      <w:color w:val="000000"/>
                      <w:sz w:val="24"/>
                      <w:szCs w:val="24"/>
                    </w:rPr>
                  </w:pPr>
                  <w:r w:rsidRPr="00700784">
                    <w:rPr>
                      <w:rFonts w:ascii="Times New Roman" w:hAnsi="Times New Roman" w:cs="Times New Roman"/>
                      <w:b/>
                      <w:color w:val="000000"/>
                      <w:sz w:val="24"/>
                      <w:szCs w:val="24"/>
                    </w:rPr>
                    <w:t>Alte informaţii</w:t>
                  </w:r>
                </w:p>
              </w:tc>
            </w:tr>
          </w:tbl>
          <w:p w:rsidR="00BA725F" w:rsidRPr="00700784" w:rsidRDefault="00BA725F" w:rsidP="00700784">
            <w:pPr>
              <w:spacing w:line="276" w:lineRule="auto"/>
              <w:ind w:left="0"/>
              <w:rPr>
                <w:rFonts w:ascii="Times New Roman" w:hAnsi="Times New Roman" w:cs="Times New Roman"/>
                <w:sz w:val="24"/>
                <w:szCs w:val="24"/>
              </w:rPr>
            </w:pPr>
          </w:p>
        </w:tc>
      </w:tr>
      <w:tr w:rsidR="00BA725F" w:rsidRPr="00700784" w:rsidTr="00A452B7">
        <w:trPr>
          <w:trHeight w:val="867"/>
        </w:trPr>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0E3B6C" w:rsidRDefault="000E3B6C" w:rsidP="00700784">
            <w:pPr>
              <w:spacing w:line="276" w:lineRule="auto"/>
              <w:ind w:left="0"/>
              <w:jc w:val="center"/>
              <w:rPr>
                <w:rFonts w:ascii="Times New Roman" w:hAnsi="Times New Roman" w:cs="Times New Roman"/>
                <w:b/>
                <w:bCs/>
                <w:sz w:val="24"/>
                <w:szCs w:val="24"/>
              </w:rPr>
            </w:pPr>
          </w:p>
          <w:p w:rsidR="00BA725F" w:rsidRPr="00700784" w:rsidRDefault="00BA725F" w:rsidP="00700784">
            <w:pPr>
              <w:spacing w:line="276" w:lineRule="auto"/>
              <w:ind w:left="0"/>
              <w:jc w:val="center"/>
              <w:rPr>
                <w:rFonts w:ascii="Times New Roman" w:hAnsi="Times New Roman" w:cs="Times New Roman"/>
                <w:b/>
                <w:bCs/>
                <w:sz w:val="24"/>
                <w:szCs w:val="24"/>
              </w:rPr>
            </w:pPr>
            <w:r w:rsidRPr="00700784">
              <w:rPr>
                <w:rFonts w:ascii="Times New Roman" w:hAnsi="Times New Roman" w:cs="Times New Roman"/>
                <w:b/>
                <w:bCs/>
                <w:sz w:val="24"/>
                <w:szCs w:val="24"/>
              </w:rPr>
              <w:t>Secţiunea a 5-a</w:t>
            </w:r>
          </w:p>
          <w:p w:rsidR="00BA725F" w:rsidRPr="00700784" w:rsidRDefault="00BA725F" w:rsidP="00700784">
            <w:pPr>
              <w:spacing w:line="276" w:lineRule="auto"/>
              <w:ind w:left="0"/>
              <w:jc w:val="center"/>
              <w:rPr>
                <w:rFonts w:ascii="Times New Roman" w:hAnsi="Times New Roman" w:cs="Times New Roman"/>
                <w:b/>
                <w:bCs/>
                <w:sz w:val="24"/>
                <w:szCs w:val="24"/>
              </w:rPr>
            </w:pPr>
            <w:r w:rsidRPr="00700784">
              <w:rPr>
                <w:rFonts w:ascii="Times New Roman" w:hAnsi="Times New Roman" w:cs="Times New Roman"/>
                <w:b/>
                <w:bCs/>
                <w:sz w:val="24"/>
                <w:szCs w:val="24"/>
              </w:rPr>
              <w:t>Efectele proiectului de act normativ asupra legislaţiei în vigoare</w:t>
            </w:r>
          </w:p>
        </w:tc>
      </w:tr>
      <w:tr w:rsidR="00BA725F" w:rsidRPr="00700784" w:rsidTr="00BA725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700784" w:rsidRDefault="00BA725F" w:rsidP="00700784">
            <w:pPr>
              <w:spacing w:line="276" w:lineRule="auto"/>
              <w:ind w:left="0"/>
              <w:rPr>
                <w:rFonts w:ascii="Times New Roman" w:hAnsi="Times New Roman" w:cs="Times New Roman"/>
                <w:b/>
                <w:bCs/>
                <w:sz w:val="24"/>
                <w:szCs w:val="24"/>
              </w:rPr>
            </w:pPr>
            <w:r w:rsidRPr="00700784">
              <w:rPr>
                <w:rFonts w:ascii="Times New Roman" w:hAnsi="Times New Roman" w:cs="Times New Roman"/>
                <w:b/>
                <w:bCs/>
                <w:sz w:val="24"/>
                <w:szCs w:val="24"/>
              </w:rPr>
              <w:t>1. Măsuri normative necesare pentru aplicarea prevederilor proiectului de act normativ:</w:t>
            </w:r>
          </w:p>
          <w:p w:rsidR="00A452B7" w:rsidRPr="00700784" w:rsidRDefault="00A452B7" w:rsidP="00700784">
            <w:pPr>
              <w:pStyle w:val="ListParagraph"/>
              <w:spacing w:after="0"/>
              <w:ind w:left="0"/>
              <w:jc w:val="both"/>
              <w:rPr>
                <w:rFonts w:ascii="Times New Roman" w:hAnsi="Times New Roman" w:cs="Times New Roman"/>
                <w:b/>
                <w:bCs/>
                <w:sz w:val="24"/>
                <w:szCs w:val="24"/>
              </w:rPr>
            </w:pPr>
          </w:p>
          <w:p w:rsidR="00BA725F" w:rsidRPr="00700784" w:rsidRDefault="00BA725F" w:rsidP="00700784">
            <w:pPr>
              <w:pStyle w:val="ListParagraph"/>
              <w:spacing w:after="0"/>
              <w:ind w:left="0"/>
              <w:jc w:val="both"/>
              <w:rPr>
                <w:rFonts w:ascii="Times New Roman" w:hAnsi="Times New Roman" w:cs="Times New Roman"/>
                <w:b/>
                <w:bCs/>
                <w:sz w:val="24"/>
                <w:szCs w:val="24"/>
              </w:rPr>
            </w:pPr>
            <w:r w:rsidRPr="00700784">
              <w:rPr>
                <w:rFonts w:ascii="Times New Roman" w:hAnsi="Times New Roman" w:cs="Times New Roman"/>
                <w:b/>
                <w:bCs/>
                <w:sz w:val="24"/>
                <w:szCs w:val="24"/>
              </w:rPr>
              <w:t xml:space="preserve">     a) Prevederi ce urmează a fi abrogate sau modificate ca urmare a intrării în vigoare a acestui proiect de </w:t>
            </w:r>
            <w:r w:rsidR="00997954">
              <w:rPr>
                <w:rFonts w:ascii="Times New Roman" w:hAnsi="Times New Roman" w:cs="Times New Roman"/>
                <w:b/>
                <w:bCs/>
                <w:sz w:val="24"/>
                <w:szCs w:val="24"/>
              </w:rPr>
              <w:t>Ordonanță de urgență</w:t>
            </w:r>
            <w:r w:rsidRPr="00700784">
              <w:rPr>
                <w:rFonts w:ascii="Times New Roman" w:hAnsi="Times New Roman" w:cs="Times New Roman"/>
                <w:b/>
                <w:bCs/>
                <w:sz w:val="24"/>
                <w:szCs w:val="24"/>
              </w:rPr>
              <w:t xml:space="preserve"> </w:t>
            </w:r>
          </w:p>
          <w:p w:rsidR="00BA725F" w:rsidRPr="00700784" w:rsidRDefault="00BA725F" w:rsidP="00700784">
            <w:pPr>
              <w:spacing w:line="276" w:lineRule="auto"/>
              <w:ind w:left="0" w:firstLine="567"/>
              <w:rPr>
                <w:rFonts w:ascii="Times New Roman" w:hAnsi="Times New Roman" w:cs="Times New Roman"/>
                <w:sz w:val="24"/>
                <w:szCs w:val="24"/>
              </w:rPr>
            </w:pPr>
            <w:r w:rsidRPr="00700784">
              <w:rPr>
                <w:rFonts w:ascii="Times New Roman" w:hAnsi="Times New Roman" w:cs="Times New Roman"/>
                <w:sz w:val="24"/>
                <w:szCs w:val="24"/>
              </w:rPr>
              <w:t xml:space="preserve">Proiectul de </w:t>
            </w:r>
            <w:r w:rsidR="00997954">
              <w:rPr>
                <w:rFonts w:ascii="Times New Roman" w:hAnsi="Times New Roman" w:cs="Times New Roman"/>
                <w:sz w:val="24"/>
                <w:szCs w:val="24"/>
              </w:rPr>
              <w:t>Ordonanță de urgență</w:t>
            </w:r>
            <w:r w:rsidRPr="00700784">
              <w:rPr>
                <w:rFonts w:ascii="Times New Roman" w:hAnsi="Times New Roman" w:cs="Times New Roman"/>
                <w:sz w:val="24"/>
                <w:szCs w:val="24"/>
              </w:rPr>
              <w:t xml:space="preserve"> abrogă art</w:t>
            </w:r>
            <w:r w:rsidR="00773565" w:rsidRPr="00700784">
              <w:rPr>
                <w:rFonts w:ascii="Times New Roman" w:hAnsi="Times New Roman" w:cs="Times New Roman"/>
                <w:sz w:val="24"/>
                <w:szCs w:val="24"/>
              </w:rPr>
              <w:t xml:space="preserve">. 22 și 23 </w:t>
            </w:r>
            <w:r w:rsidRPr="00700784">
              <w:rPr>
                <w:rFonts w:ascii="Times New Roman" w:hAnsi="Times New Roman" w:cs="Times New Roman"/>
                <w:sz w:val="24"/>
                <w:szCs w:val="24"/>
              </w:rPr>
              <w:t xml:space="preserve">din Legea nr. 503/2014 </w:t>
            </w:r>
            <w:r w:rsidRPr="00700784">
              <w:rPr>
                <w:rFonts w:ascii="Times New Roman" w:hAnsi="Times New Roman" w:cs="Times New Roman"/>
                <w:bCs/>
                <w:sz w:val="24"/>
                <w:szCs w:val="24"/>
              </w:rPr>
              <w:t xml:space="preserve">privind redresarea financiară, falimentul, dizolvarea şi lichidarea voluntară în activitatea de asigurări, republicată, cu modificările ulterioare, </w:t>
            </w:r>
            <w:r w:rsidR="00773565" w:rsidRPr="00700784">
              <w:rPr>
                <w:rFonts w:ascii="Times New Roman" w:hAnsi="Times New Roman" w:cs="Times New Roman"/>
                <w:bCs/>
                <w:sz w:val="24"/>
                <w:szCs w:val="24"/>
              </w:rPr>
              <w:t>și</w:t>
            </w:r>
            <w:r w:rsidR="00773565" w:rsidRPr="00700784">
              <w:rPr>
                <w:rFonts w:ascii="Times New Roman" w:hAnsi="Times New Roman" w:cs="Times New Roman"/>
                <w:sz w:val="24"/>
                <w:szCs w:val="24"/>
                <w:lang w:eastAsia="ro-RO"/>
              </w:rPr>
              <w:t xml:space="preserve"> art. 155 din Legea nr. 246/2015</w:t>
            </w:r>
            <w:r w:rsidR="00773565" w:rsidRPr="00700784">
              <w:rPr>
                <w:rFonts w:ascii="Times New Roman" w:hAnsi="Times New Roman" w:cs="Times New Roman"/>
                <w:sz w:val="24"/>
                <w:szCs w:val="24"/>
              </w:rPr>
              <w:t xml:space="preserve"> </w:t>
            </w:r>
            <w:r w:rsidR="00773565" w:rsidRPr="00700784">
              <w:rPr>
                <w:rFonts w:ascii="Times New Roman" w:hAnsi="Times New Roman" w:cs="Times New Roman"/>
                <w:sz w:val="24"/>
                <w:szCs w:val="24"/>
                <w:lang w:eastAsia="ro-RO"/>
              </w:rPr>
              <w:t xml:space="preserve">privind redresarea şi rezoluţia asigurătorilor, </w:t>
            </w:r>
            <w:r w:rsidRPr="00700784">
              <w:rPr>
                <w:rFonts w:ascii="Times New Roman" w:hAnsi="Times New Roman" w:cs="Times New Roman"/>
                <w:sz w:val="24"/>
                <w:szCs w:val="24"/>
              </w:rPr>
              <w:t xml:space="preserve">care au fost preluate și adaptate în proiectul de </w:t>
            </w:r>
            <w:r w:rsidR="003554A8">
              <w:rPr>
                <w:rFonts w:ascii="Times New Roman" w:hAnsi="Times New Roman" w:cs="Times New Roman"/>
                <w:sz w:val="24"/>
                <w:szCs w:val="24"/>
              </w:rPr>
              <w:t>Ordonanță de urgență</w:t>
            </w:r>
            <w:r w:rsidRPr="00700784">
              <w:rPr>
                <w:rFonts w:ascii="Times New Roman" w:hAnsi="Times New Roman" w:cs="Times New Roman"/>
                <w:sz w:val="24"/>
                <w:szCs w:val="24"/>
              </w:rPr>
              <w:t>.</w:t>
            </w:r>
          </w:p>
          <w:p w:rsidR="00BA725F" w:rsidRPr="00700784" w:rsidRDefault="00BA725F" w:rsidP="00700784">
            <w:pPr>
              <w:spacing w:line="276" w:lineRule="auto"/>
              <w:ind w:left="0" w:firstLine="567"/>
              <w:rPr>
                <w:rFonts w:ascii="Times New Roman" w:hAnsi="Times New Roman" w:cs="Times New Roman"/>
                <w:sz w:val="24"/>
                <w:szCs w:val="24"/>
              </w:rPr>
            </w:pPr>
            <w:r w:rsidRPr="00700784">
              <w:rPr>
                <w:rFonts w:ascii="Times New Roman" w:hAnsi="Times New Roman" w:cs="Times New Roman"/>
                <w:sz w:val="24"/>
                <w:szCs w:val="24"/>
              </w:rPr>
              <w:t xml:space="preserve">Proiectul de </w:t>
            </w:r>
            <w:r w:rsidR="00997954">
              <w:rPr>
                <w:rFonts w:ascii="Times New Roman" w:hAnsi="Times New Roman" w:cs="Times New Roman"/>
                <w:sz w:val="24"/>
                <w:szCs w:val="24"/>
              </w:rPr>
              <w:t>Ordonanță de urgență</w:t>
            </w:r>
            <w:r w:rsidRPr="00700784">
              <w:rPr>
                <w:rFonts w:ascii="Times New Roman" w:hAnsi="Times New Roman" w:cs="Times New Roman"/>
                <w:sz w:val="24"/>
                <w:szCs w:val="24"/>
              </w:rPr>
              <w:t xml:space="preserve"> modifică alin. (1) de la art. 14 din Ordonanţa de urgenţă nr. 80/2013 privind taxele judiciare de timbru, cu modificările și completările ulterioare.</w:t>
            </w:r>
          </w:p>
          <w:p w:rsidR="00A452B7" w:rsidRPr="00700784" w:rsidRDefault="00A452B7" w:rsidP="00700784">
            <w:pPr>
              <w:spacing w:line="276" w:lineRule="auto"/>
              <w:ind w:left="0" w:firstLine="567"/>
              <w:rPr>
                <w:rFonts w:ascii="Times New Roman" w:hAnsi="Times New Roman" w:cs="Times New Roman"/>
                <w:bCs/>
                <w:i/>
                <w:sz w:val="24"/>
                <w:szCs w:val="24"/>
              </w:rPr>
            </w:pPr>
          </w:p>
          <w:p w:rsidR="00BA725F" w:rsidRPr="00700784" w:rsidRDefault="00BA725F" w:rsidP="00700784">
            <w:pPr>
              <w:pStyle w:val="ListParagraph"/>
              <w:spacing w:after="0"/>
              <w:ind w:left="0"/>
              <w:jc w:val="both"/>
              <w:rPr>
                <w:rFonts w:ascii="Times New Roman" w:hAnsi="Times New Roman" w:cs="Times New Roman"/>
                <w:b/>
                <w:bCs/>
                <w:sz w:val="24"/>
                <w:szCs w:val="24"/>
              </w:rPr>
            </w:pPr>
            <w:r w:rsidRPr="00700784">
              <w:rPr>
                <w:rFonts w:ascii="Times New Roman" w:hAnsi="Times New Roman" w:cs="Times New Roman"/>
                <w:b/>
                <w:bCs/>
                <w:sz w:val="24"/>
                <w:szCs w:val="24"/>
              </w:rPr>
              <w:t xml:space="preserve">     b) Acte normative care urmează a fi elaborate în vederea implementării noilor dispoziţii</w:t>
            </w:r>
          </w:p>
          <w:p w:rsidR="00BA725F" w:rsidRPr="00700784" w:rsidRDefault="00BA725F" w:rsidP="00997954">
            <w:pPr>
              <w:spacing w:line="276" w:lineRule="auto"/>
              <w:ind w:left="0"/>
              <w:rPr>
                <w:rFonts w:ascii="Times New Roman" w:hAnsi="Times New Roman" w:cs="Times New Roman"/>
                <w:sz w:val="24"/>
                <w:szCs w:val="24"/>
              </w:rPr>
            </w:pPr>
            <w:r w:rsidRPr="00700784">
              <w:rPr>
                <w:rFonts w:ascii="Times New Roman" w:hAnsi="Times New Roman" w:cs="Times New Roman"/>
                <w:sz w:val="24"/>
                <w:szCs w:val="24"/>
              </w:rPr>
              <w:t xml:space="preserve">         Legislația secundară emisă de A.S.F. în aplicarea Legii nr. 213/2015 va fi revizuită în vederea punerii în acord cu prevederile proiectului de </w:t>
            </w:r>
            <w:r w:rsidR="00997954">
              <w:rPr>
                <w:rFonts w:ascii="Times New Roman" w:hAnsi="Times New Roman" w:cs="Times New Roman"/>
                <w:sz w:val="24"/>
                <w:szCs w:val="24"/>
              </w:rPr>
              <w:t>Ordonanță de urgență</w:t>
            </w:r>
          </w:p>
        </w:tc>
      </w:tr>
      <w:tr w:rsidR="00BA725F" w:rsidRPr="00700784" w:rsidTr="00BA725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700784" w:rsidRDefault="00BA725F" w:rsidP="00700784">
            <w:pPr>
              <w:spacing w:line="276" w:lineRule="auto"/>
              <w:ind w:left="0"/>
              <w:rPr>
                <w:rFonts w:ascii="Times New Roman" w:hAnsi="Times New Roman" w:cs="Times New Roman"/>
                <w:b/>
                <w:bCs/>
                <w:sz w:val="24"/>
                <w:szCs w:val="24"/>
              </w:rPr>
            </w:pPr>
            <w:r w:rsidRPr="00700784">
              <w:rPr>
                <w:rFonts w:ascii="Times New Roman" w:hAnsi="Times New Roman" w:cs="Times New Roman"/>
                <w:b/>
                <w:bCs/>
                <w:sz w:val="24"/>
                <w:szCs w:val="24"/>
              </w:rPr>
              <w:lastRenderedPageBreak/>
              <w:t>2. Conformitatea proiectului de act normativ cu legislația comunitară în cazul proiectelor care transpun prevederi comunitare</w:t>
            </w:r>
          </w:p>
          <w:p w:rsidR="00BA725F" w:rsidRPr="00700784" w:rsidRDefault="00BA725F" w:rsidP="00700784">
            <w:pPr>
              <w:spacing w:line="276" w:lineRule="auto"/>
              <w:ind w:left="0"/>
              <w:rPr>
                <w:rFonts w:ascii="Times New Roman" w:hAnsi="Times New Roman" w:cs="Times New Roman"/>
                <w:bCs/>
                <w:i/>
                <w:sz w:val="24"/>
                <w:szCs w:val="24"/>
              </w:rPr>
            </w:pPr>
            <w:r w:rsidRPr="00700784">
              <w:rPr>
                <w:rFonts w:ascii="Times New Roman" w:hAnsi="Times New Roman" w:cs="Times New Roman"/>
                <w:sz w:val="24"/>
                <w:szCs w:val="24"/>
              </w:rPr>
              <w:t xml:space="preserve">     Nu este cazul.</w:t>
            </w:r>
          </w:p>
        </w:tc>
      </w:tr>
      <w:tr w:rsidR="00BA725F" w:rsidRPr="00700784" w:rsidTr="00BA725F">
        <w:trPr>
          <w:trHeight w:val="701"/>
        </w:trPr>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700784" w:rsidRDefault="00BA725F" w:rsidP="00700784">
            <w:pPr>
              <w:spacing w:line="276" w:lineRule="auto"/>
              <w:ind w:left="0"/>
              <w:rPr>
                <w:rFonts w:ascii="Times New Roman" w:hAnsi="Times New Roman" w:cs="Times New Roman"/>
                <w:b/>
                <w:bCs/>
                <w:sz w:val="24"/>
                <w:szCs w:val="24"/>
              </w:rPr>
            </w:pPr>
            <w:r w:rsidRPr="00700784">
              <w:rPr>
                <w:rFonts w:ascii="Times New Roman" w:hAnsi="Times New Roman" w:cs="Times New Roman"/>
                <w:b/>
                <w:bCs/>
                <w:sz w:val="24"/>
                <w:szCs w:val="24"/>
              </w:rPr>
              <w:t>3. Măsuri normative necesare aplicării directe a actelor normative comunitare</w:t>
            </w:r>
          </w:p>
          <w:p w:rsidR="00BA725F" w:rsidRPr="00700784" w:rsidRDefault="00BA725F" w:rsidP="00700784">
            <w:pPr>
              <w:spacing w:line="276" w:lineRule="auto"/>
              <w:ind w:left="0"/>
              <w:rPr>
                <w:rFonts w:ascii="Times New Roman" w:hAnsi="Times New Roman" w:cs="Times New Roman"/>
                <w:sz w:val="24"/>
                <w:szCs w:val="24"/>
              </w:rPr>
            </w:pPr>
            <w:r w:rsidRPr="00700784">
              <w:rPr>
                <w:rFonts w:ascii="Times New Roman" w:hAnsi="Times New Roman" w:cs="Times New Roman"/>
                <w:sz w:val="24"/>
                <w:szCs w:val="24"/>
              </w:rPr>
              <w:t xml:space="preserve">      Nu este cazul.</w:t>
            </w:r>
          </w:p>
        </w:tc>
      </w:tr>
      <w:tr w:rsidR="00BA725F" w:rsidRPr="00700784" w:rsidTr="00BA725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700784" w:rsidRDefault="00BA725F" w:rsidP="00700784">
            <w:pPr>
              <w:spacing w:line="276" w:lineRule="auto"/>
              <w:ind w:left="0"/>
              <w:rPr>
                <w:rFonts w:ascii="Times New Roman" w:hAnsi="Times New Roman" w:cs="Times New Roman"/>
                <w:b/>
                <w:bCs/>
                <w:sz w:val="24"/>
                <w:szCs w:val="24"/>
              </w:rPr>
            </w:pPr>
            <w:r w:rsidRPr="00700784">
              <w:rPr>
                <w:rFonts w:ascii="Times New Roman" w:hAnsi="Times New Roman" w:cs="Times New Roman"/>
                <w:b/>
                <w:bCs/>
                <w:sz w:val="24"/>
                <w:szCs w:val="24"/>
              </w:rPr>
              <w:t>4. Hotărâri ale Curţii Europene de Justiţie a Uniunii Europene</w:t>
            </w:r>
          </w:p>
          <w:p w:rsidR="00BA725F" w:rsidRPr="00700784" w:rsidRDefault="00BA725F" w:rsidP="00700784">
            <w:pPr>
              <w:spacing w:line="276" w:lineRule="auto"/>
              <w:ind w:left="0"/>
              <w:rPr>
                <w:rFonts w:ascii="Times New Roman" w:hAnsi="Times New Roman" w:cs="Times New Roman"/>
                <w:sz w:val="24"/>
                <w:szCs w:val="24"/>
              </w:rPr>
            </w:pPr>
            <w:r w:rsidRPr="00700784">
              <w:rPr>
                <w:rFonts w:ascii="Times New Roman" w:hAnsi="Times New Roman" w:cs="Times New Roman"/>
                <w:sz w:val="24"/>
                <w:szCs w:val="24"/>
              </w:rPr>
              <w:t xml:space="preserve">      Nu este cazul. </w:t>
            </w:r>
          </w:p>
        </w:tc>
      </w:tr>
      <w:tr w:rsidR="00BA725F" w:rsidRPr="00700784" w:rsidTr="00BA725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700784" w:rsidRDefault="00BA725F" w:rsidP="00700784">
            <w:pPr>
              <w:spacing w:line="276" w:lineRule="auto"/>
              <w:ind w:left="0"/>
              <w:rPr>
                <w:rFonts w:ascii="Times New Roman" w:hAnsi="Times New Roman" w:cs="Times New Roman"/>
                <w:b/>
                <w:bCs/>
                <w:sz w:val="24"/>
                <w:szCs w:val="24"/>
              </w:rPr>
            </w:pPr>
            <w:r w:rsidRPr="00700784">
              <w:rPr>
                <w:rFonts w:ascii="Times New Roman" w:hAnsi="Times New Roman" w:cs="Times New Roman"/>
                <w:b/>
                <w:bCs/>
                <w:sz w:val="24"/>
                <w:szCs w:val="24"/>
              </w:rPr>
              <w:t>5. Alte acte normative şi/sau documente internaţionale din care decurg angajamente</w:t>
            </w:r>
          </w:p>
          <w:p w:rsidR="00BA725F" w:rsidRPr="00700784" w:rsidRDefault="00BA725F" w:rsidP="00700784">
            <w:pPr>
              <w:spacing w:line="276" w:lineRule="auto"/>
              <w:ind w:left="0"/>
              <w:rPr>
                <w:rFonts w:ascii="Times New Roman" w:hAnsi="Times New Roman" w:cs="Times New Roman"/>
                <w:sz w:val="24"/>
                <w:szCs w:val="24"/>
              </w:rPr>
            </w:pPr>
            <w:r w:rsidRPr="00700784">
              <w:rPr>
                <w:rFonts w:ascii="Times New Roman" w:hAnsi="Times New Roman" w:cs="Times New Roman"/>
                <w:sz w:val="24"/>
                <w:szCs w:val="24"/>
              </w:rPr>
              <w:t xml:space="preserve">      Nu este cazul.</w:t>
            </w:r>
          </w:p>
        </w:tc>
      </w:tr>
      <w:tr w:rsidR="00BA725F" w:rsidRPr="00700784" w:rsidTr="00BA725F">
        <w:trPr>
          <w:trHeight w:val="621"/>
        </w:trPr>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700784" w:rsidRDefault="00BA725F" w:rsidP="00700784">
            <w:pPr>
              <w:spacing w:line="276" w:lineRule="auto"/>
              <w:ind w:left="0"/>
              <w:rPr>
                <w:rFonts w:ascii="Times New Roman" w:hAnsi="Times New Roman" w:cs="Times New Roman"/>
                <w:b/>
                <w:bCs/>
                <w:sz w:val="24"/>
                <w:szCs w:val="24"/>
              </w:rPr>
            </w:pPr>
            <w:r w:rsidRPr="00700784">
              <w:rPr>
                <w:rFonts w:ascii="Times New Roman" w:hAnsi="Times New Roman" w:cs="Times New Roman"/>
                <w:b/>
                <w:bCs/>
                <w:sz w:val="24"/>
                <w:szCs w:val="24"/>
              </w:rPr>
              <w:t>6.  Alte informaţii</w:t>
            </w:r>
          </w:p>
          <w:p w:rsidR="00BA725F" w:rsidRPr="00700784" w:rsidRDefault="00BA725F" w:rsidP="00700784">
            <w:pPr>
              <w:spacing w:line="276" w:lineRule="auto"/>
              <w:ind w:left="0"/>
              <w:rPr>
                <w:rFonts w:ascii="Times New Roman" w:hAnsi="Times New Roman" w:cs="Times New Roman"/>
                <w:sz w:val="24"/>
                <w:szCs w:val="24"/>
              </w:rPr>
            </w:pPr>
            <w:r w:rsidRPr="00700784">
              <w:rPr>
                <w:rFonts w:ascii="Times New Roman" w:hAnsi="Times New Roman" w:cs="Times New Roman"/>
                <w:sz w:val="24"/>
                <w:szCs w:val="24"/>
              </w:rPr>
              <w:t xml:space="preserve">       Nu este cazul.</w:t>
            </w:r>
          </w:p>
        </w:tc>
      </w:tr>
      <w:tr w:rsidR="00BA725F" w:rsidRPr="00700784" w:rsidTr="00BA725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0E3B6C" w:rsidRDefault="000E3B6C" w:rsidP="00700784">
            <w:pPr>
              <w:spacing w:line="276" w:lineRule="auto"/>
              <w:ind w:left="0"/>
              <w:jc w:val="center"/>
              <w:rPr>
                <w:rFonts w:ascii="Times New Roman" w:hAnsi="Times New Roman" w:cs="Times New Roman"/>
                <w:b/>
                <w:bCs/>
                <w:sz w:val="24"/>
                <w:szCs w:val="24"/>
              </w:rPr>
            </w:pPr>
          </w:p>
          <w:p w:rsidR="00BA725F" w:rsidRPr="00700784" w:rsidRDefault="00BA725F" w:rsidP="00700784">
            <w:pPr>
              <w:spacing w:line="276" w:lineRule="auto"/>
              <w:ind w:left="0"/>
              <w:jc w:val="center"/>
              <w:rPr>
                <w:rFonts w:ascii="Times New Roman" w:hAnsi="Times New Roman" w:cs="Times New Roman"/>
                <w:b/>
                <w:bCs/>
                <w:sz w:val="24"/>
                <w:szCs w:val="24"/>
              </w:rPr>
            </w:pPr>
            <w:r w:rsidRPr="00700784">
              <w:rPr>
                <w:rFonts w:ascii="Times New Roman" w:hAnsi="Times New Roman" w:cs="Times New Roman"/>
                <w:b/>
                <w:bCs/>
                <w:sz w:val="24"/>
                <w:szCs w:val="24"/>
              </w:rPr>
              <w:t>Secţiunea a 6-a</w:t>
            </w:r>
          </w:p>
          <w:p w:rsidR="00BA725F" w:rsidRPr="00700784" w:rsidRDefault="00BA725F" w:rsidP="00700784">
            <w:pPr>
              <w:spacing w:line="276" w:lineRule="auto"/>
              <w:ind w:left="0"/>
              <w:jc w:val="center"/>
              <w:rPr>
                <w:rFonts w:ascii="Times New Roman" w:hAnsi="Times New Roman" w:cs="Times New Roman"/>
                <w:b/>
                <w:bCs/>
                <w:sz w:val="24"/>
                <w:szCs w:val="24"/>
              </w:rPr>
            </w:pPr>
            <w:r w:rsidRPr="00700784">
              <w:rPr>
                <w:rFonts w:ascii="Times New Roman" w:hAnsi="Times New Roman" w:cs="Times New Roman"/>
                <w:b/>
                <w:bCs/>
                <w:sz w:val="24"/>
                <w:szCs w:val="24"/>
              </w:rPr>
              <w:t>Consultările efectuate în vederea elaborării proiectului de act normativ</w:t>
            </w:r>
          </w:p>
        </w:tc>
      </w:tr>
      <w:tr w:rsidR="00BA725F" w:rsidRPr="00700784" w:rsidTr="009A6573">
        <w:trPr>
          <w:trHeight w:val="733"/>
        </w:trPr>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642279" w:rsidRPr="00700784" w:rsidRDefault="00BA725F" w:rsidP="00700784">
            <w:pPr>
              <w:spacing w:line="276" w:lineRule="auto"/>
              <w:ind w:left="0"/>
              <w:rPr>
                <w:rFonts w:ascii="Times New Roman" w:hAnsi="Times New Roman" w:cs="Times New Roman"/>
                <w:b/>
                <w:bCs/>
                <w:sz w:val="24"/>
                <w:szCs w:val="24"/>
              </w:rPr>
            </w:pPr>
            <w:r w:rsidRPr="00700784">
              <w:rPr>
                <w:rFonts w:ascii="Times New Roman" w:hAnsi="Times New Roman" w:cs="Times New Roman"/>
                <w:b/>
                <w:bCs/>
                <w:sz w:val="24"/>
                <w:szCs w:val="24"/>
              </w:rPr>
              <w:t xml:space="preserve">1. Informaţii privind procesul de consultare cu organizaţiile neguvernamentale, institute de cercetare şi alte organisme implicate </w:t>
            </w:r>
          </w:p>
          <w:p w:rsidR="00A452B7" w:rsidRPr="00700784" w:rsidRDefault="00642279" w:rsidP="003554A8">
            <w:pPr>
              <w:spacing w:line="276" w:lineRule="auto"/>
              <w:ind w:left="0"/>
              <w:rPr>
                <w:rFonts w:ascii="Times New Roman" w:hAnsi="Times New Roman" w:cs="Times New Roman"/>
                <w:sz w:val="24"/>
                <w:szCs w:val="24"/>
              </w:rPr>
            </w:pPr>
            <w:r w:rsidRPr="000E3B6C">
              <w:rPr>
                <w:rFonts w:ascii="Times New Roman" w:hAnsi="Times New Roman" w:cs="Times New Roman"/>
                <w:sz w:val="24"/>
                <w:szCs w:val="24"/>
              </w:rPr>
              <w:t xml:space="preserve">Prezentul proiect de </w:t>
            </w:r>
            <w:r w:rsidR="003554A8">
              <w:rPr>
                <w:rFonts w:ascii="Times New Roman" w:hAnsi="Times New Roman" w:cs="Times New Roman"/>
                <w:sz w:val="24"/>
                <w:szCs w:val="24"/>
              </w:rPr>
              <w:t>Ordonanță de urgență</w:t>
            </w:r>
            <w:r w:rsidRPr="000E3B6C">
              <w:rPr>
                <w:rFonts w:ascii="Times New Roman" w:hAnsi="Times New Roman" w:cs="Times New Roman"/>
                <w:sz w:val="24"/>
                <w:szCs w:val="24"/>
              </w:rPr>
              <w:t xml:space="preserve"> va fi publicat, pentru consultare publică, pe site-ul Ministerului Finanțelor</w:t>
            </w:r>
            <w:r w:rsidRPr="00700784">
              <w:rPr>
                <w:rFonts w:ascii="Times New Roman" w:hAnsi="Times New Roman" w:cs="Times New Roman"/>
                <w:sz w:val="24"/>
                <w:szCs w:val="24"/>
              </w:rPr>
              <w:t xml:space="preserve"> </w:t>
            </w:r>
            <w:r w:rsidR="00BA725F" w:rsidRPr="00700784">
              <w:rPr>
                <w:rFonts w:ascii="Times New Roman" w:hAnsi="Times New Roman" w:cs="Times New Roman"/>
                <w:sz w:val="24"/>
                <w:szCs w:val="24"/>
              </w:rPr>
              <w:t xml:space="preserve"> </w:t>
            </w:r>
          </w:p>
        </w:tc>
      </w:tr>
      <w:tr w:rsidR="00BA725F" w:rsidRPr="00700784" w:rsidTr="009A6573">
        <w:trPr>
          <w:trHeight w:val="1000"/>
        </w:trPr>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700784" w:rsidRDefault="00BA725F" w:rsidP="00700784">
            <w:pPr>
              <w:spacing w:line="276" w:lineRule="auto"/>
              <w:ind w:left="0"/>
              <w:rPr>
                <w:rFonts w:ascii="Times New Roman" w:hAnsi="Times New Roman" w:cs="Times New Roman"/>
                <w:b/>
                <w:bCs/>
                <w:sz w:val="24"/>
                <w:szCs w:val="24"/>
              </w:rPr>
            </w:pPr>
            <w:r w:rsidRPr="00700784">
              <w:rPr>
                <w:rFonts w:ascii="Times New Roman" w:hAnsi="Times New Roman" w:cs="Times New Roman"/>
                <w:b/>
                <w:bCs/>
                <w:sz w:val="24"/>
                <w:szCs w:val="24"/>
              </w:rPr>
              <w:t>2. Fundamentarea alegerii organizaţiilor cu care a avut loc consultarea, precum şi a modului în care activitatea acestor organizaţii este legată de obiectul proiectului de act normativ</w:t>
            </w:r>
          </w:p>
          <w:p w:rsidR="00642279" w:rsidRPr="00700784" w:rsidRDefault="00642279" w:rsidP="00700784">
            <w:pPr>
              <w:spacing w:line="276" w:lineRule="auto"/>
              <w:ind w:left="0"/>
              <w:rPr>
                <w:rFonts w:ascii="Times New Roman" w:hAnsi="Times New Roman" w:cs="Times New Roman"/>
                <w:bCs/>
                <w:sz w:val="24"/>
                <w:szCs w:val="24"/>
              </w:rPr>
            </w:pPr>
            <w:r w:rsidRPr="00700784">
              <w:rPr>
                <w:rFonts w:ascii="Times New Roman" w:hAnsi="Times New Roman" w:cs="Times New Roman"/>
                <w:bCs/>
                <w:sz w:val="24"/>
                <w:szCs w:val="24"/>
              </w:rPr>
              <w:t>Nu este cazul</w:t>
            </w:r>
          </w:p>
        </w:tc>
      </w:tr>
      <w:tr w:rsidR="00BA725F" w:rsidRPr="00700784" w:rsidTr="00BA725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700784" w:rsidRDefault="00BA725F" w:rsidP="00700784">
            <w:pPr>
              <w:spacing w:line="276" w:lineRule="auto"/>
              <w:ind w:left="0"/>
              <w:rPr>
                <w:rFonts w:ascii="Times New Roman" w:hAnsi="Times New Roman" w:cs="Times New Roman"/>
                <w:sz w:val="24"/>
                <w:szCs w:val="24"/>
              </w:rPr>
            </w:pPr>
            <w:r w:rsidRPr="00700784">
              <w:rPr>
                <w:rFonts w:ascii="Times New Roman" w:hAnsi="Times New Roman" w:cs="Times New Roman"/>
                <w:b/>
                <w:bCs/>
                <w:sz w:val="24"/>
                <w:szCs w:val="24"/>
              </w:rPr>
              <w:t xml:space="preserve">3. Consultările organizate cu autorităţile administraţiei publice locale, în situaţia în care proiectul de act normativ are ca obiect activităţi ale acestor autorităţi, în condiţiile Hotărârii Guvernului nr. 521/2005 privind procedura de consultare a structurilor </w:t>
            </w:r>
            <w:r w:rsidRPr="00700784">
              <w:rPr>
                <w:rFonts w:ascii="Times New Roman" w:hAnsi="Times New Roman" w:cs="Times New Roman"/>
                <w:b/>
                <w:bCs/>
                <w:sz w:val="24"/>
                <w:szCs w:val="24"/>
              </w:rPr>
              <w:lastRenderedPageBreak/>
              <w:t>asociative ale autorităţilor administraţiei publice locale la elaborarea proiectelor de acte normative</w:t>
            </w:r>
            <w:r w:rsidRPr="00700784">
              <w:rPr>
                <w:rFonts w:ascii="Times New Roman" w:hAnsi="Times New Roman" w:cs="Times New Roman"/>
                <w:sz w:val="24"/>
                <w:szCs w:val="24"/>
              </w:rPr>
              <w:t xml:space="preserve"> </w:t>
            </w:r>
          </w:p>
          <w:p w:rsidR="00642279" w:rsidRPr="00700784" w:rsidRDefault="00642279" w:rsidP="00700784">
            <w:pPr>
              <w:spacing w:line="276" w:lineRule="auto"/>
              <w:ind w:left="0"/>
              <w:rPr>
                <w:rFonts w:ascii="Times New Roman" w:hAnsi="Times New Roman" w:cs="Times New Roman"/>
                <w:sz w:val="24"/>
                <w:szCs w:val="24"/>
              </w:rPr>
            </w:pPr>
            <w:r w:rsidRPr="00700784">
              <w:rPr>
                <w:rFonts w:ascii="Times New Roman" w:hAnsi="Times New Roman" w:cs="Times New Roman"/>
                <w:sz w:val="24"/>
                <w:szCs w:val="24"/>
              </w:rPr>
              <w:t>Nu este cazul</w:t>
            </w:r>
          </w:p>
        </w:tc>
      </w:tr>
      <w:tr w:rsidR="00BA725F" w:rsidRPr="00700784" w:rsidTr="00BA725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700784" w:rsidRDefault="00BA725F" w:rsidP="00700784">
            <w:pPr>
              <w:spacing w:line="276" w:lineRule="auto"/>
              <w:ind w:left="0"/>
              <w:rPr>
                <w:rFonts w:ascii="Times New Roman" w:hAnsi="Times New Roman" w:cs="Times New Roman"/>
                <w:b/>
                <w:bCs/>
                <w:sz w:val="24"/>
                <w:szCs w:val="24"/>
              </w:rPr>
            </w:pPr>
            <w:r w:rsidRPr="00700784">
              <w:rPr>
                <w:rFonts w:ascii="Times New Roman" w:hAnsi="Times New Roman" w:cs="Times New Roman"/>
                <w:b/>
                <w:bCs/>
                <w:sz w:val="24"/>
                <w:szCs w:val="24"/>
              </w:rPr>
              <w:lastRenderedPageBreak/>
              <w:t>4. Consultările desfăşurate în cadrul consiliilor interministeriale în conformitate cu prevederile Hotărârii Guvernului nr. 750/2005 privind constituirea consiliilor interministeriale permanente</w:t>
            </w:r>
          </w:p>
          <w:p w:rsidR="00642279" w:rsidRPr="00700784" w:rsidRDefault="00642279" w:rsidP="00700784">
            <w:pPr>
              <w:spacing w:line="276" w:lineRule="auto"/>
              <w:ind w:left="0"/>
              <w:rPr>
                <w:rFonts w:ascii="Times New Roman" w:hAnsi="Times New Roman" w:cs="Times New Roman"/>
                <w:sz w:val="24"/>
                <w:szCs w:val="24"/>
              </w:rPr>
            </w:pPr>
            <w:r w:rsidRPr="00700784">
              <w:rPr>
                <w:rFonts w:ascii="Times New Roman" w:hAnsi="Times New Roman" w:cs="Times New Roman"/>
                <w:bCs/>
                <w:sz w:val="24"/>
                <w:szCs w:val="24"/>
              </w:rPr>
              <w:t>Nu este cazul</w:t>
            </w:r>
          </w:p>
        </w:tc>
      </w:tr>
      <w:tr w:rsidR="00BA725F" w:rsidRPr="00700784" w:rsidTr="009A6573">
        <w:trPr>
          <w:trHeight w:val="489"/>
        </w:trPr>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700784" w:rsidRDefault="00BA725F" w:rsidP="00700784">
            <w:pPr>
              <w:autoSpaceDE w:val="0"/>
              <w:autoSpaceDN w:val="0"/>
              <w:adjustRightInd w:val="0"/>
              <w:spacing w:line="276" w:lineRule="auto"/>
              <w:ind w:left="0"/>
              <w:rPr>
                <w:rFonts w:ascii="Times New Roman" w:hAnsi="Times New Roman" w:cs="Times New Roman"/>
                <w:b/>
                <w:bCs/>
                <w:sz w:val="24"/>
                <w:szCs w:val="24"/>
              </w:rPr>
            </w:pPr>
            <w:r w:rsidRPr="00700784">
              <w:rPr>
                <w:rFonts w:ascii="Times New Roman" w:hAnsi="Times New Roman" w:cs="Times New Roman"/>
                <w:b/>
                <w:bCs/>
                <w:sz w:val="24"/>
                <w:szCs w:val="24"/>
              </w:rPr>
              <w:t>5. Informaţii privind avizarea de către:</w:t>
            </w:r>
          </w:p>
          <w:p w:rsidR="00642279" w:rsidRPr="000E3B6C" w:rsidRDefault="00642279" w:rsidP="00700784">
            <w:pPr>
              <w:tabs>
                <w:tab w:val="left" w:pos="10320"/>
              </w:tabs>
              <w:autoSpaceDE w:val="0"/>
              <w:autoSpaceDN w:val="0"/>
              <w:adjustRightInd w:val="0"/>
              <w:spacing w:line="276" w:lineRule="auto"/>
              <w:ind w:left="0"/>
              <w:rPr>
                <w:rFonts w:ascii="Times New Roman" w:hAnsi="Times New Roman" w:cs="Times New Roman"/>
                <w:b/>
                <w:bCs/>
                <w:sz w:val="24"/>
                <w:szCs w:val="24"/>
              </w:rPr>
            </w:pPr>
            <w:r w:rsidRPr="000E3B6C">
              <w:rPr>
                <w:rFonts w:ascii="Times New Roman" w:hAnsi="Times New Roman" w:cs="Times New Roman"/>
                <w:b/>
                <w:bCs/>
                <w:sz w:val="24"/>
                <w:szCs w:val="24"/>
              </w:rPr>
              <w:t>a) Consiliul Legislativ:</w:t>
            </w:r>
            <w:r w:rsidRPr="000E3B6C">
              <w:rPr>
                <w:rFonts w:ascii="Times New Roman" w:hAnsi="Times New Roman" w:cs="Times New Roman"/>
                <w:sz w:val="24"/>
                <w:szCs w:val="24"/>
              </w:rPr>
              <w:t xml:space="preserve"> Proiectul de </w:t>
            </w:r>
            <w:r w:rsidR="00997954" w:rsidRPr="000E3B6C">
              <w:rPr>
                <w:rFonts w:ascii="Times New Roman" w:hAnsi="Times New Roman" w:cs="Times New Roman"/>
                <w:sz w:val="24"/>
                <w:szCs w:val="24"/>
              </w:rPr>
              <w:t>Ordonanță de urgență</w:t>
            </w:r>
            <w:r w:rsidRPr="000E3B6C">
              <w:rPr>
                <w:rFonts w:ascii="Times New Roman" w:hAnsi="Times New Roman" w:cs="Times New Roman"/>
                <w:sz w:val="24"/>
                <w:szCs w:val="24"/>
              </w:rPr>
              <w:t xml:space="preserve"> va fi supus avizării Consiliului Legislativ.</w:t>
            </w:r>
          </w:p>
          <w:p w:rsidR="00642279" w:rsidRPr="000E3B6C" w:rsidRDefault="00642279" w:rsidP="00700784">
            <w:pPr>
              <w:autoSpaceDE w:val="0"/>
              <w:autoSpaceDN w:val="0"/>
              <w:adjustRightInd w:val="0"/>
              <w:spacing w:line="276" w:lineRule="auto"/>
              <w:ind w:left="0"/>
              <w:rPr>
                <w:rFonts w:ascii="Times New Roman" w:hAnsi="Times New Roman" w:cs="Times New Roman"/>
                <w:sz w:val="24"/>
                <w:szCs w:val="24"/>
              </w:rPr>
            </w:pPr>
            <w:r w:rsidRPr="000E3B6C">
              <w:rPr>
                <w:rFonts w:ascii="Times New Roman" w:hAnsi="Times New Roman" w:cs="Times New Roman"/>
                <w:b/>
                <w:bCs/>
                <w:sz w:val="24"/>
                <w:szCs w:val="24"/>
              </w:rPr>
              <w:t xml:space="preserve">b) Consiliul Suprem de Apărare a Ţării: </w:t>
            </w:r>
            <w:r w:rsidRPr="000E3B6C">
              <w:rPr>
                <w:rFonts w:ascii="Times New Roman" w:hAnsi="Times New Roman" w:cs="Times New Roman"/>
                <w:sz w:val="24"/>
                <w:szCs w:val="24"/>
              </w:rPr>
              <w:t xml:space="preserve"> Nu este cazul</w:t>
            </w:r>
          </w:p>
          <w:p w:rsidR="00642279" w:rsidRPr="00700784" w:rsidRDefault="00642279" w:rsidP="00700784">
            <w:pPr>
              <w:tabs>
                <w:tab w:val="left" w:pos="4745"/>
              </w:tabs>
              <w:autoSpaceDE w:val="0"/>
              <w:autoSpaceDN w:val="0"/>
              <w:adjustRightInd w:val="0"/>
              <w:spacing w:line="276" w:lineRule="auto"/>
              <w:ind w:left="0"/>
              <w:rPr>
                <w:rFonts w:ascii="Times New Roman" w:hAnsi="Times New Roman" w:cs="Times New Roman"/>
                <w:sz w:val="24"/>
                <w:szCs w:val="24"/>
              </w:rPr>
            </w:pPr>
            <w:r w:rsidRPr="000E3B6C">
              <w:rPr>
                <w:rFonts w:ascii="Times New Roman" w:hAnsi="Times New Roman" w:cs="Times New Roman"/>
                <w:b/>
                <w:bCs/>
                <w:sz w:val="24"/>
                <w:szCs w:val="24"/>
              </w:rPr>
              <w:t xml:space="preserve">c) Consiliul Economic şi Social: </w:t>
            </w:r>
            <w:r w:rsidRPr="000E3B6C">
              <w:rPr>
                <w:rFonts w:ascii="Times New Roman" w:hAnsi="Times New Roman" w:cs="Times New Roman"/>
                <w:sz w:val="24"/>
                <w:szCs w:val="24"/>
              </w:rPr>
              <w:t xml:space="preserve"> Proiectul de </w:t>
            </w:r>
            <w:r w:rsidR="00997954" w:rsidRPr="000E3B6C">
              <w:rPr>
                <w:rFonts w:ascii="Times New Roman" w:hAnsi="Times New Roman" w:cs="Times New Roman"/>
                <w:sz w:val="24"/>
                <w:szCs w:val="24"/>
              </w:rPr>
              <w:t>Ordonanță de urgență</w:t>
            </w:r>
            <w:r w:rsidRPr="000E3B6C">
              <w:rPr>
                <w:rFonts w:ascii="Times New Roman" w:hAnsi="Times New Roman" w:cs="Times New Roman"/>
                <w:sz w:val="24"/>
                <w:szCs w:val="24"/>
              </w:rPr>
              <w:t xml:space="preserve"> va fi supus avizării Consiliului Economic și Social.</w:t>
            </w:r>
          </w:p>
          <w:p w:rsidR="00642279" w:rsidRPr="00700784" w:rsidRDefault="00642279" w:rsidP="00700784">
            <w:pPr>
              <w:autoSpaceDE w:val="0"/>
              <w:autoSpaceDN w:val="0"/>
              <w:adjustRightInd w:val="0"/>
              <w:spacing w:line="276" w:lineRule="auto"/>
              <w:ind w:left="0"/>
              <w:rPr>
                <w:rFonts w:ascii="Times New Roman" w:hAnsi="Times New Roman" w:cs="Times New Roman"/>
                <w:b/>
                <w:bCs/>
                <w:sz w:val="24"/>
                <w:szCs w:val="24"/>
              </w:rPr>
            </w:pPr>
            <w:r w:rsidRPr="00700784">
              <w:rPr>
                <w:rFonts w:ascii="Times New Roman" w:hAnsi="Times New Roman" w:cs="Times New Roman"/>
                <w:b/>
                <w:bCs/>
                <w:sz w:val="24"/>
                <w:szCs w:val="24"/>
              </w:rPr>
              <w:t>d) Consiliul Concurenţei</w:t>
            </w:r>
            <w:r w:rsidRPr="00700784">
              <w:rPr>
                <w:rFonts w:ascii="Times New Roman" w:hAnsi="Times New Roman" w:cs="Times New Roman"/>
                <w:sz w:val="24"/>
                <w:szCs w:val="24"/>
              </w:rPr>
              <w:t>:</w:t>
            </w:r>
            <w:r w:rsidRPr="00700784">
              <w:rPr>
                <w:rFonts w:ascii="Times New Roman" w:hAnsi="Times New Roman" w:cs="Times New Roman"/>
                <w:b/>
                <w:bCs/>
                <w:sz w:val="24"/>
                <w:szCs w:val="24"/>
              </w:rPr>
              <w:t xml:space="preserve"> </w:t>
            </w:r>
            <w:r w:rsidRPr="00700784">
              <w:rPr>
                <w:rFonts w:ascii="Times New Roman" w:hAnsi="Times New Roman" w:cs="Times New Roman"/>
                <w:sz w:val="24"/>
                <w:szCs w:val="24"/>
              </w:rPr>
              <w:t>Nu este cazul</w:t>
            </w:r>
            <w:r w:rsidRPr="00700784">
              <w:rPr>
                <w:rFonts w:ascii="Times New Roman" w:hAnsi="Times New Roman" w:cs="Times New Roman"/>
                <w:b/>
                <w:bCs/>
                <w:sz w:val="24"/>
                <w:szCs w:val="24"/>
              </w:rPr>
              <w:t xml:space="preserve"> </w:t>
            </w:r>
          </w:p>
          <w:p w:rsidR="00642279" w:rsidRPr="00700784" w:rsidRDefault="00642279" w:rsidP="00700784">
            <w:pPr>
              <w:autoSpaceDE w:val="0"/>
              <w:autoSpaceDN w:val="0"/>
              <w:adjustRightInd w:val="0"/>
              <w:spacing w:line="276" w:lineRule="auto"/>
              <w:ind w:left="0"/>
              <w:rPr>
                <w:rFonts w:ascii="Times New Roman" w:hAnsi="Times New Roman" w:cs="Times New Roman"/>
                <w:sz w:val="24"/>
                <w:szCs w:val="24"/>
              </w:rPr>
            </w:pPr>
            <w:r w:rsidRPr="00700784">
              <w:rPr>
                <w:rFonts w:ascii="Times New Roman" w:hAnsi="Times New Roman" w:cs="Times New Roman"/>
                <w:b/>
                <w:bCs/>
                <w:sz w:val="24"/>
                <w:szCs w:val="24"/>
              </w:rPr>
              <w:t>e) Curtea de Conturi:</w:t>
            </w:r>
            <w:r w:rsidRPr="00700784">
              <w:rPr>
                <w:rFonts w:ascii="Times New Roman" w:hAnsi="Times New Roman" w:cs="Times New Roman"/>
                <w:sz w:val="24"/>
                <w:szCs w:val="24"/>
              </w:rPr>
              <w:t xml:space="preserve"> Nu este cazul</w:t>
            </w:r>
          </w:p>
        </w:tc>
      </w:tr>
      <w:tr w:rsidR="00BA725F" w:rsidRPr="00700784" w:rsidTr="009A6573">
        <w:trPr>
          <w:trHeight w:val="455"/>
        </w:trPr>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A452B7" w:rsidRPr="00700784" w:rsidRDefault="00BA725F" w:rsidP="00700784">
            <w:pPr>
              <w:spacing w:line="276" w:lineRule="auto"/>
              <w:ind w:left="0"/>
              <w:rPr>
                <w:rFonts w:ascii="Times New Roman" w:hAnsi="Times New Roman" w:cs="Times New Roman"/>
                <w:sz w:val="24"/>
                <w:szCs w:val="24"/>
              </w:rPr>
            </w:pPr>
            <w:r w:rsidRPr="00700784">
              <w:rPr>
                <w:rFonts w:ascii="Times New Roman" w:hAnsi="Times New Roman" w:cs="Times New Roman"/>
                <w:b/>
                <w:bCs/>
                <w:sz w:val="24"/>
                <w:szCs w:val="24"/>
              </w:rPr>
              <w:t>6. Alte informaţii</w:t>
            </w:r>
            <w:r w:rsidRPr="00700784">
              <w:rPr>
                <w:rFonts w:ascii="Times New Roman" w:hAnsi="Times New Roman" w:cs="Times New Roman"/>
                <w:sz w:val="24"/>
                <w:szCs w:val="24"/>
              </w:rPr>
              <w:t xml:space="preserve"> </w:t>
            </w:r>
          </w:p>
          <w:p w:rsidR="00642279" w:rsidRDefault="00642279" w:rsidP="00700784">
            <w:pPr>
              <w:spacing w:line="276" w:lineRule="auto"/>
              <w:ind w:left="0"/>
              <w:rPr>
                <w:rFonts w:ascii="Times New Roman" w:hAnsi="Times New Roman" w:cs="Times New Roman"/>
                <w:sz w:val="24"/>
                <w:szCs w:val="24"/>
              </w:rPr>
            </w:pPr>
            <w:r w:rsidRPr="00700784">
              <w:rPr>
                <w:rFonts w:ascii="Times New Roman" w:hAnsi="Times New Roman" w:cs="Times New Roman"/>
                <w:sz w:val="24"/>
                <w:szCs w:val="24"/>
              </w:rPr>
              <w:t>Nu este cazul</w:t>
            </w:r>
          </w:p>
          <w:p w:rsidR="00531C91" w:rsidRDefault="00531C91" w:rsidP="00700784">
            <w:pPr>
              <w:spacing w:line="276" w:lineRule="auto"/>
              <w:ind w:left="0"/>
              <w:rPr>
                <w:rFonts w:ascii="Times New Roman" w:hAnsi="Times New Roman" w:cs="Times New Roman"/>
                <w:sz w:val="24"/>
                <w:szCs w:val="24"/>
              </w:rPr>
            </w:pPr>
          </w:p>
          <w:p w:rsidR="00531C91" w:rsidRDefault="00531C91" w:rsidP="00700784">
            <w:pPr>
              <w:spacing w:line="276" w:lineRule="auto"/>
              <w:ind w:left="0"/>
              <w:rPr>
                <w:rFonts w:ascii="Times New Roman" w:hAnsi="Times New Roman" w:cs="Times New Roman"/>
                <w:sz w:val="24"/>
                <w:szCs w:val="24"/>
              </w:rPr>
            </w:pPr>
          </w:p>
          <w:p w:rsidR="009E7652" w:rsidRDefault="009E7652" w:rsidP="00700784">
            <w:pPr>
              <w:spacing w:line="276" w:lineRule="auto"/>
              <w:ind w:left="0"/>
              <w:rPr>
                <w:rFonts w:ascii="Times New Roman" w:hAnsi="Times New Roman" w:cs="Times New Roman"/>
                <w:sz w:val="24"/>
                <w:szCs w:val="24"/>
              </w:rPr>
            </w:pPr>
          </w:p>
          <w:p w:rsidR="00531C91" w:rsidRPr="00700784" w:rsidRDefault="00531C91" w:rsidP="00700784">
            <w:pPr>
              <w:spacing w:line="276" w:lineRule="auto"/>
              <w:ind w:left="0"/>
              <w:rPr>
                <w:rFonts w:ascii="Times New Roman" w:hAnsi="Times New Roman" w:cs="Times New Roman"/>
                <w:sz w:val="24"/>
                <w:szCs w:val="24"/>
              </w:rPr>
            </w:pPr>
          </w:p>
        </w:tc>
      </w:tr>
      <w:tr w:rsidR="00BA725F" w:rsidRPr="00FA3912" w:rsidTr="00BA725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0E3B6C" w:rsidRDefault="000E3B6C" w:rsidP="00700784">
            <w:pPr>
              <w:spacing w:line="276" w:lineRule="auto"/>
              <w:ind w:left="0"/>
              <w:jc w:val="center"/>
              <w:rPr>
                <w:rFonts w:ascii="Times New Roman" w:hAnsi="Times New Roman" w:cs="Times New Roman"/>
                <w:b/>
                <w:bCs/>
                <w:sz w:val="24"/>
                <w:szCs w:val="24"/>
              </w:rPr>
            </w:pPr>
          </w:p>
          <w:p w:rsidR="00BA725F" w:rsidRPr="00FA3912" w:rsidRDefault="00BA725F" w:rsidP="00700784">
            <w:pPr>
              <w:spacing w:line="276" w:lineRule="auto"/>
              <w:ind w:left="0"/>
              <w:jc w:val="center"/>
              <w:rPr>
                <w:rFonts w:ascii="Times New Roman" w:hAnsi="Times New Roman" w:cs="Times New Roman"/>
                <w:b/>
                <w:bCs/>
                <w:sz w:val="24"/>
                <w:szCs w:val="24"/>
              </w:rPr>
            </w:pPr>
            <w:r w:rsidRPr="00FA3912">
              <w:rPr>
                <w:rFonts w:ascii="Times New Roman" w:hAnsi="Times New Roman" w:cs="Times New Roman"/>
                <w:b/>
                <w:bCs/>
                <w:sz w:val="24"/>
                <w:szCs w:val="24"/>
              </w:rPr>
              <w:t>Secţiunea a 7-a</w:t>
            </w:r>
          </w:p>
          <w:p w:rsidR="00BA725F" w:rsidRPr="00FA3912" w:rsidRDefault="00BA725F" w:rsidP="00700784">
            <w:pPr>
              <w:spacing w:line="276" w:lineRule="auto"/>
              <w:ind w:left="0"/>
              <w:jc w:val="center"/>
              <w:rPr>
                <w:rFonts w:ascii="Times New Roman" w:hAnsi="Times New Roman" w:cs="Times New Roman"/>
                <w:b/>
                <w:bCs/>
                <w:sz w:val="24"/>
                <w:szCs w:val="24"/>
              </w:rPr>
            </w:pPr>
            <w:r w:rsidRPr="00FA3912">
              <w:rPr>
                <w:rFonts w:ascii="Times New Roman" w:hAnsi="Times New Roman" w:cs="Times New Roman"/>
                <w:b/>
                <w:bCs/>
                <w:sz w:val="24"/>
                <w:szCs w:val="24"/>
              </w:rPr>
              <w:t>Activităţi de informare publică privind elaborarea</w:t>
            </w:r>
          </w:p>
          <w:p w:rsidR="00BA725F" w:rsidRPr="00FA3912" w:rsidRDefault="00BA725F" w:rsidP="00700784">
            <w:pPr>
              <w:spacing w:line="276" w:lineRule="auto"/>
              <w:ind w:left="0"/>
              <w:jc w:val="center"/>
              <w:rPr>
                <w:rFonts w:ascii="Times New Roman" w:hAnsi="Times New Roman" w:cs="Times New Roman"/>
                <w:b/>
                <w:bCs/>
                <w:sz w:val="24"/>
                <w:szCs w:val="24"/>
              </w:rPr>
            </w:pPr>
            <w:r w:rsidRPr="00FA3912">
              <w:rPr>
                <w:rFonts w:ascii="Times New Roman" w:hAnsi="Times New Roman" w:cs="Times New Roman"/>
                <w:b/>
                <w:bCs/>
                <w:sz w:val="24"/>
                <w:szCs w:val="24"/>
              </w:rPr>
              <w:t>şi implementarea proiectului de act normativ</w:t>
            </w:r>
          </w:p>
        </w:tc>
      </w:tr>
      <w:tr w:rsidR="00BA725F" w:rsidRPr="00FA3912" w:rsidTr="00BA725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FA3912" w:rsidRDefault="00BA725F" w:rsidP="00700784">
            <w:pPr>
              <w:spacing w:line="276" w:lineRule="auto"/>
              <w:ind w:left="0"/>
              <w:rPr>
                <w:rFonts w:ascii="Times New Roman" w:hAnsi="Times New Roman" w:cs="Times New Roman"/>
                <w:b/>
                <w:bCs/>
                <w:sz w:val="24"/>
                <w:szCs w:val="24"/>
              </w:rPr>
            </w:pPr>
            <w:r w:rsidRPr="00FA3912">
              <w:rPr>
                <w:rFonts w:ascii="Times New Roman" w:hAnsi="Times New Roman" w:cs="Times New Roman"/>
                <w:b/>
                <w:bCs/>
                <w:sz w:val="24"/>
                <w:szCs w:val="24"/>
              </w:rPr>
              <w:t xml:space="preserve">1. Informarea societăţii civile cu privire la necesitatea elaborării proiectului de act normativ </w:t>
            </w:r>
          </w:p>
          <w:p w:rsidR="00642279" w:rsidRDefault="00642279" w:rsidP="00700784">
            <w:pPr>
              <w:spacing w:line="276" w:lineRule="auto"/>
              <w:ind w:left="0"/>
              <w:rPr>
                <w:rFonts w:ascii="Times New Roman" w:hAnsi="Times New Roman" w:cs="Times New Roman"/>
                <w:bCs/>
                <w:sz w:val="24"/>
                <w:szCs w:val="24"/>
              </w:rPr>
            </w:pPr>
            <w:r w:rsidRPr="000E3B6C">
              <w:rPr>
                <w:rFonts w:ascii="Times New Roman" w:hAnsi="Times New Roman" w:cs="Times New Roman"/>
                <w:bCs/>
                <w:sz w:val="24"/>
                <w:szCs w:val="24"/>
              </w:rPr>
              <w:t>Au fost respectate</w:t>
            </w:r>
            <w:r w:rsidRPr="00FA3912">
              <w:rPr>
                <w:rFonts w:ascii="Times New Roman" w:hAnsi="Times New Roman" w:cs="Times New Roman"/>
                <w:bCs/>
                <w:sz w:val="24"/>
                <w:szCs w:val="24"/>
              </w:rPr>
              <w:t xml:space="preserve"> prevederile din Regulamentul privind procedurile, la nivelul Guvernului, pentru elaborarea, avizarea şi prezentarea proiectelor de documente de politici publice, a proiectelor de acte normative, precum şi a altor documente, în vederea adoptării/aprobării, aprobat prin Hotărârea Guvernului nr. 561/2009. </w:t>
            </w:r>
          </w:p>
          <w:p w:rsidR="000648A1" w:rsidRPr="000648A1" w:rsidRDefault="000648A1" w:rsidP="00700784">
            <w:pPr>
              <w:spacing w:line="276" w:lineRule="auto"/>
              <w:ind w:left="0"/>
              <w:rPr>
                <w:rFonts w:ascii="Times New Roman" w:hAnsi="Times New Roman" w:cs="Times New Roman"/>
                <w:bCs/>
                <w:sz w:val="24"/>
                <w:szCs w:val="24"/>
              </w:rPr>
            </w:pPr>
            <w:r w:rsidRPr="000E3B6C">
              <w:rPr>
                <w:rFonts w:ascii="Times New Roman" w:eastAsia="Arial" w:hAnsi="Times New Roman" w:cs="Times New Roman"/>
                <w:sz w:val="24"/>
                <w:szCs w:val="24"/>
              </w:rPr>
              <w:t>Au fost respectate dispozițiile Legii nr.52/2003 privind transparența decizională în administrația publică, republicată,</w:t>
            </w:r>
            <w:r w:rsidRPr="000E3B6C">
              <w:rPr>
                <w:rFonts w:ascii="Times New Roman" w:hAnsi="Times New Roman" w:cs="Times New Roman"/>
                <w:bCs/>
                <w:sz w:val="24"/>
                <w:szCs w:val="24"/>
              </w:rPr>
              <w:t xml:space="preserve"> prin publicarea proiectului de act normativ şi a notei de fundamentare pe site-ul oficial al Ministerului Finanţelor.</w:t>
            </w:r>
          </w:p>
          <w:p w:rsidR="00642279" w:rsidRPr="00FA3912" w:rsidRDefault="00642279" w:rsidP="00700784">
            <w:pPr>
              <w:spacing w:line="276" w:lineRule="auto"/>
              <w:ind w:left="0"/>
              <w:rPr>
                <w:rFonts w:ascii="Times New Roman" w:hAnsi="Times New Roman" w:cs="Times New Roman"/>
                <w:sz w:val="24"/>
                <w:szCs w:val="24"/>
              </w:rPr>
            </w:pPr>
          </w:p>
        </w:tc>
      </w:tr>
      <w:tr w:rsidR="00BA725F" w:rsidRPr="00FA3912" w:rsidTr="009A6573">
        <w:trPr>
          <w:trHeight w:val="1215"/>
        </w:trPr>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FA3912" w:rsidRDefault="00BA725F" w:rsidP="00700784">
            <w:pPr>
              <w:spacing w:line="276" w:lineRule="auto"/>
              <w:ind w:left="0"/>
              <w:rPr>
                <w:rFonts w:ascii="Times New Roman" w:hAnsi="Times New Roman" w:cs="Times New Roman"/>
                <w:b/>
                <w:bCs/>
                <w:sz w:val="24"/>
                <w:szCs w:val="24"/>
              </w:rPr>
            </w:pPr>
            <w:r w:rsidRPr="00FA3912">
              <w:rPr>
                <w:rFonts w:ascii="Times New Roman" w:hAnsi="Times New Roman" w:cs="Times New Roman"/>
                <w:b/>
                <w:bCs/>
                <w:sz w:val="24"/>
                <w:szCs w:val="24"/>
              </w:rPr>
              <w:t xml:space="preserve">2. Informarea societăţii civile cu privire la eventualul impact asupra mediului în urma implementării proiectului de act normativ, precum şi efectele asupra sănătăţii şi securităţii cetăţenilor sau diversităţii biologice </w:t>
            </w:r>
          </w:p>
          <w:p w:rsidR="00642279" w:rsidRPr="00FA3912" w:rsidRDefault="00642279" w:rsidP="00700784">
            <w:pPr>
              <w:spacing w:line="276" w:lineRule="auto"/>
              <w:ind w:left="0"/>
              <w:rPr>
                <w:rFonts w:ascii="Times New Roman" w:hAnsi="Times New Roman" w:cs="Times New Roman"/>
                <w:sz w:val="24"/>
                <w:szCs w:val="24"/>
              </w:rPr>
            </w:pPr>
            <w:r w:rsidRPr="00FA3912">
              <w:rPr>
                <w:rFonts w:ascii="Times New Roman" w:hAnsi="Times New Roman" w:cs="Times New Roman"/>
                <w:bCs/>
                <w:sz w:val="24"/>
                <w:szCs w:val="24"/>
              </w:rPr>
              <w:t>Nu este cazul</w:t>
            </w:r>
          </w:p>
        </w:tc>
      </w:tr>
      <w:tr w:rsidR="00BA725F" w:rsidRPr="00FA3912" w:rsidTr="00BA725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0E3B6C" w:rsidRDefault="000E3B6C" w:rsidP="00700784">
            <w:pPr>
              <w:spacing w:line="276" w:lineRule="auto"/>
              <w:ind w:left="0"/>
              <w:jc w:val="center"/>
              <w:rPr>
                <w:rFonts w:ascii="Times New Roman" w:hAnsi="Times New Roman" w:cs="Times New Roman"/>
                <w:b/>
                <w:bCs/>
                <w:sz w:val="24"/>
                <w:szCs w:val="24"/>
              </w:rPr>
            </w:pPr>
          </w:p>
          <w:p w:rsidR="00D360B4" w:rsidRDefault="00D360B4" w:rsidP="00700784">
            <w:pPr>
              <w:spacing w:line="276" w:lineRule="auto"/>
              <w:ind w:left="0"/>
              <w:jc w:val="center"/>
              <w:rPr>
                <w:rFonts w:ascii="Times New Roman" w:hAnsi="Times New Roman" w:cs="Times New Roman"/>
                <w:b/>
                <w:bCs/>
                <w:sz w:val="24"/>
                <w:szCs w:val="24"/>
              </w:rPr>
            </w:pPr>
          </w:p>
          <w:p w:rsidR="00D360B4" w:rsidRDefault="00D360B4" w:rsidP="00700784">
            <w:pPr>
              <w:spacing w:line="276" w:lineRule="auto"/>
              <w:ind w:left="0"/>
              <w:jc w:val="center"/>
              <w:rPr>
                <w:rFonts w:ascii="Times New Roman" w:hAnsi="Times New Roman" w:cs="Times New Roman"/>
                <w:b/>
                <w:bCs/>
                <w:sz w:val="24"/>
                <w:szCs w:val="24"/>
              </w:rPr>
            </w:pPr>
          </w:p>
          <w:p w:rsidR="00BA725F" w:rsidRPr="00FA3912" w:rsidRDefault="00BA725F" w:rsidP="00700784">
            <w:pPr>
              <w:spacing w:line="276" w:lineRule="auto"/>
              <w:ind w:left="0"/>
              <w:jc w:val="center"/>
              <w:rPr>
                <w:rFonts w:ascii="Times New Roman" w:hAnsi="Times New Roman" w:cs="Times New Roman"/>
                <w:b/>
                <w:bCs/>
                <w:sz w:val="24"/>
                <w:szCs w:val="24"/>
              </w:rPr>
            </w:pPr>
            <w:r w:rsidRPr="00FA3912">
              <w:rPr>
                <w:rFonts w:ascii="Times New Roman" w:hAnsi="Times New Roman" w:cs="Times New Roman"/>
                <w:b/>
                <w:bCs/>
                <w:sz w:val="24"/>
                <w:szCs w:val="24"/>
              </w:rPr>
              <w:lastRenderedPageBreak/>
              <w:t>Secţiunea a 8-a</w:t>
            </w:r>
          </w:p>
          <w:p w:rsidR="00BA725F" w:rsidRPr="00FA3912" w:rsidRDefault="00BA725F" w:rsidP="00700784">
            <w:pPr>
              <w:spacing w:line="276" w:lineRule="auto"/>
              <w:ind w:left="0"/>
              <w:jc w:val="center"/>
              <w:rPr>
                <w:rFonts w:ascii="Times New Roman" w:hAnsi="Times New Roman" w:cs="Times New Roman"/>
                <w:b/>
                <w:bCs/>
                <w:sz w:val="24"/>
                <w:szCs w:val="24"/>
              </w:rPr>
            </w:pPr>
            <w:r w:rsidRPr="00FA3912">
              <w:rPr>
                <w:rFonts w:ascii="Times New Roman" w:hAnsi="Times New Roman" w:cs="Times New Roman"/>
                <w:b/>
                <w:bCs/>
                <w:sz w:val="24"/>
                <w:szCs w:val="24"/>
              </w:rPr>
              <w:t>Măsuri de implementare</w:t>
            </w:r>
          </w:p>
        </w:tc>
      </w:tr>
      <w:tr w:rsidR="00BA725F" w:rsidRPr="00FA3912" w:rsidTr="00BA725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FA3912" w:rsidRDefault="00BA725F" w:rsidP="00700784">
            <w:pPr>
              <w:spacing w:line="276" w:lineRule="auto"/>
              <w:ind w:left="0"/>
              <w:rPr>
                <w:rFonts w:ascii="Times New Roman" w:hAnsi="Times New Roman" w:cs="Times New Roman"/>
                <w:b/>
                <w:bCs/>
                <w:sz w:val="24"/>
                <w:szCs w:val="24"/>
              </w:rPr>
            </w:pPr>
            <w:r w:rsidRPr="00FA3912">
              <w:rPr>
                <w:rFonts w:ascii="Times New Roman" w:hAnsi="Times New Roman" w:cs="Times New Roman"/>
                <w:b/>
                <w:bCs/>
                <w:sz w:val="24"/>
                <w:szCs w:val="24"/>
              </w:rPr>
              <w:lastRenderedPageBreak/>
              <w:t>1. Măsurile de punere în aplicare a proiectului de act normativ de către autorităţile administraţiei publice centrale şi/sau locale - înfiinţarea unor noi organisme sau extinderea competenţelor instituţiilor existente</w:t>
            </w:r>
          </w:p>
          <w:p w:rsidR="00BA725F" w:rsidRPr="00FA3912" w:rsidRDefault="00BA725F" w:rsidP="00700784">
            <w:pPr>
              <w:spacing w:line="276" w:lineRule="auto"/>
              <w:ind w:left="0"/>
              <w:rPr>
                <w:rFonts w:ascii="Times New Roman" w:hAnsi="Times New Roman" w:cs="Times New Roman"/>
                <w:sz w:val="24"/>
                <w:szCs w:val="24"/>
              </w:rPr>
            </w:pPr>
            <w:r w:rsidRPr="00FA3912">
              <w:rPr>
                <w:rFonts w:ascii="Times New Roman" w:hAnsi="Times New Roman" w:cs="Times New Roman"/>
                <w:sz w:val="24"/>
                <w:szCs w:val="24"/>
              </w:rPr>
              <w:t xml:space="preserve">  Nu este cazul.</w:t>
            </w:r>
          </w:p>
        </w:tc>
      </w:tr>
      <w:tr w:rsidR="00BA725F" w:rsidRPr="00FA3912" w:rsidTr="00BA725F">
        <w:tc>
          <w:tcPr>
            <w:tcW w:w="5000" w:type="pct"/>
            <w:tcBorders>
              <w:top w:val="single" w:sz="4" w:space="0" w:color="auto"/>
              <w:left w:val="single" w:sz="4" w:space="0" w:color="auto"/>
              <w:bottom w:val="single" w:sz="4" w:space="0" w:color="auto"/>
              <w:right w:val="single" w:sz="4" w:space="0" w:color="auto"/>
            </w:tcBorders>
            <w:tcMar>
              <w:top w:w="57" w:type="dxa"/>
              <w:bottom w:w="57" w:type="dxa"/>
            </w:tcMar>
          </w:tcPr>
          <w:p w:rsidR="00BA725F" w:rsidRPr="00FA3912" w:rsidRDefault="00BA725F" w:rsidP="00700784">
            <w:pPr>
              <w:spacing w:line="276" w:lineRule="auto"/>
              <w:ind w:left="0"/>
              <w:rPr>
                <w:rFonts w:ascii="Times New Roman" w:hAnsi="Times New Roman" w:cs="Times New Roman"/>
                <w:b/>
                <w:bCs/>
                <w:sz w:val="24"/>
                <w:szCs w:val="24"/>
              </w:rPr>
            </w:pPr>
            <w:r w:rsidRPr="00FA3912">
              <w:rPr>
                <w:rFonts w:ascii="Times New Roman" w:hAnsi="Times New Roman" w:cs="Times New Roman"/>
                <w:b/>
                <w:bCs/>
                <w:sz w:val="24"/>
                <w:szCs w:val="24"/>
              </w:rPr>
              <w:t>2. Alte informaţii</w:t>
            </w:r>
          </w:p>
          <w:p w:rsidR="00BA725F" w:rsidRPr="00FA3912" w:rsidRDefault="00642279" w:rsidP="00700784">
            <w:pPr>
              <w:spacing w:line="276" w:lineRule="auto"/>
              <w:ind w:left="0"/>
              <w:rPr>
                <w:rFonts w:ascii="Times New Roman" w:hAnsi="Times New Roman" w:cs="Times New Roman"/>
                <w:sz w:val="24"/>
                <w:szCs w:val="24"/>
              </w:rPr>
            </w:pPr>
            <w:r w:rsidRPr="00FA3912">
              <w:rPr>
                <w:rFonts w:ascii="Times New Roman" w:hAnsi="Times New Roman" w:cs="Times New Roman"/>
                <w:sz w:val="24"/>
                <w:szCs w:val="24"/>
              </w:rPr>
              <w:t xml:space="preserve">   </w:t>
            </w:r>
            <w:r w:rsidR="00BA725F" w:rsidRPr="00FA3912">
              <w:rPr>
                <w:rFonts w:ascii="Times New Roman" w:hAnsi="Times New Roman" w:cs="Times New Roman"/>
                <w:sz w:val="24"/>
                <w:szCs w:val="24"/>
              </w:rPr>
              <w:t xml:space="preserve"> Nu este cazul.</w:t>
            </w:r>
          </w:p>
        </w:tc>
      </w:tr>
    </w:tbl>
    <w:p w:rsidR="007F5818" w:rsidRDefault="00E74CE6" w:rsidP="00D360B4">
      <w:pPr>
        <w:spacing w:line="276" w:lineRule="auto"/>
        <w:ind w:left="0"/>
        <w:rPr>
          <w:rFonts w:ascii="Times New Roman" w:hAnsi="Times New Roman" w:cs="Times New Roman"/>
          <w:sz w:val="24"/>
          <w:szCs w:val="24"/>
        </w:rPr>
      </w:pPr>
      <w:r w:rsidRPr="00FA3912">
        <w:rPr>
          <w:rFonts w:ascii="Times New Roman" w:hAnsi="Times New Roman" w:cs="Times New Roman"/>
          <w:sz w:val="24"/>
          <w:szCs w:val="24"/>
        </w:rPr>
        <w:lastRenderedPageBreak/>
        <w:t xml:space="preserve"> </w:t>
      </w:r>
    </w:p>
    <w:p w:rsidR="007F5818" w:rsidRDefault="007F5818" w:rsidP="00700784">
      <w:pPr>
        <w:spacing w:line="276" w:lineRule="auto"/>
        <w:ind w:left="0" w:firstLine="567"/>
        <w:rPr>
          <w:rFonts w:ascii="Times New Roman" w:hAnsi="Times New Roman" w:cs="Times New Roman"/>
          <w:sz w:val="24"/>
          <w:szCs w:val="24"/>
        </w:rPr>
      </w:pPr>
    </w:p>
    <w:p w:rsidR="00E74CE6" w:rsidRDefault="00E74CE6" w:rsidP="00700784">
      <w:pPr>
        <w:spacing w:line="276" w:lineRule="auto"/>
        <w:ind w:left="0" w:firstLine="567"/>
        <w:rPr>
          <w:rFonts w:ascii="Times New Roman" w:hAnsi="Times New Roman" w:cs="Times New Roman"/>
          <w:sz w:val="24"/>
          <w:szCs w:val="24"/>
        </w:rPr>
      </w:pPr>
      <w:r w:rsidRPr="00FA3912">
        <w:rPr>
          <w:rFonts w:ascii="Times New Roman" w:hAnsi="Times New Roman" w:cs="Times New Roman"/>
          <w:sz w:val="24"/>
          <w:szCs w:val="24"/>
        </w:rPr>
        <w:lastRenderedPageBreak/>
        <w:t>Față de cele prezentate, a fost elaborat</w:t>
      </w:r>
      <w:r w:rsidRPr="00FA3912">
        <w:rPr>
          <w:rFonts w:ascii="Times New Roman" w:hAnsi="Times New Roman" w:cs="Times New Roman"/>
          <w:b/>
          <w:bCs/>
          <w:i/>
          <w:sz w:val="24"/>
          <w:szCs w:val="24"/>
        </w:rPr>
        <w:t xml:space="preserve"> </w:t>
      </w:r>
      <w:r w:rsidR="004A1089" w:rsidRPr="004A1089">
        <w:rPr>
          <w:rFonts w:ascii="Times New Roman" w:hAnsi="Times New Roman" w:cs="Times New Roman"/>
          <w:b/>
          <w:i/>
          <w:sz w:val="24"/>
          <w:szCs w:val="24"/>
        </w:rPr>
        <w:t>P</w:t>
      </w:r>
      <w:r w:rsidR="00520FCA" w:rsidRPr="004A1089">
        <w:rPr>
          <w:rFonts w:ascii="Times New Roman" w:hAnsi="Times New Roman" w:cs="Times New Roman"/>
          <w:b/>
          <w:i/>
          <w:sz w:val="24"/>
          <w:szCs w:val="24"/>
        </w:rPr>
        <w:t xml:space="preserve">roiectul de </w:t>
      </w:r>
      <w:r w:rsidR="004A1089" w:rsidRPr="004A1089">
        <w:rPr>
          <w:rFonts w:ascii="Times New Roman" w:hAnsi="Times New Roman" w:cs="Times New Roman"/>
          <w:b/>
          <w:i/>
          <w:sz w:val="24"/>
          <w:szCs w:val="24"/>
        </w:rPr>
        <w:t>Ordonanţă de urgenţă pentru modificarea și completarea Legii nr. 213/2015 privind Fondul de garantare a asiguraților și pentru modificarea altor acte normative</w:t>
      </w:r>
      <w:r w:rsidRPr="00FA3912">
        <w:rPr>
          <w:rFonts w:ascii="Times New Roman" w:hAnsi="Times New Roman" w:cs="Times New Roman"/>
          <w:b/>
          <w:bCs/>
          <w:i/>
          <w:sz w:val="24"/>
          <w:szCs w:val="24"/>
        </w:rPr>
        <w:t>,</w:t>
      </w:r>
      <w:r w:rsidRPr="00FA3912">
        <w:rPr>
          <w:rFonts w:ascii="Times New Roman" w:hAnsi="Times New Roman" w:cs="Times New Roman"/>
          <w:b/>
          <w:bCs/>
          <w:sz w:val="24"/>
          <w:szCs w:val="24"/>
        </w:rPr>
        <w:t xml:space="preserve"> </w:t>
      </w:r>
      <w:r w:rsidRPr="00FA3912">
        <w:rPr>
          <w:rFonts w:ascii="Times New Roman" w:hAnsi="Times New Roman" w:cs="Times New Roman"/>
          <w:sz w:val="24"/>
          <w:szCs w:val="24"/>
        </w:rPr>
        <w:t xml:space="preserve">pe care </w:t>
      </w:r>
      <w:r w:rsidR="00520FCA" w:rsidRPr="00FA3912">
        <w:rPr>
          <w:rFonts w:ascii="Times New Roman" w:hAnsi="Times New Roman" w:cs="Times New Roman"/>
          <w:sz w:val="24"/>
          <w:szCs w:val="24"/>
        </w:rPr>
        <w:t>îl</w:t>
      </w:r>
      <w:r w:rsidRPr="00FA3912">
        <w:rPr>
          <w:rFonts w:ascii="Times New Roman" w:hAnsi="Times New Roman" w:cs="Times New Roman"/>
          <w:sz w:val="24"/>
          <w:szCs w:val="24"/>
        </w:rPr>
        <w:t xml:space="preserve"> supunem aprobării.</w:t>
      </w:r>
    </w:p>
    <w:p w:rsidR="000648A1" w:rsidRPr="000648A1" w:rsidRDefault="000648A1" w:rsidP="00700784">
      <w:pPr>
        <w:spacing w:line="276" w:lineRule="auto"/>
        <w:ind w:left="0" w:firstLine="567"/>
        <w:rPr>
          <w:rFonts w:ascii="Times New Roman" w:hAnsi="Times New Roman" w:cs="Times New Roman"/>
          <w:sz w:val="24"/>
          <w:szCs w:val="24"/>
        </w:rPr>
      </w:pPr>
    </w:p>
    <w:p w:rsidR="000648A1" w:rsidRPr="000648A1" w:rsidRDefault="000648A1" w:rsidP="00700784">
      <w:pPr>
        <w:spacing w:line="276" w:lineRule="auto"/>
        <w:ind w:left="0" w:firstLine="567"/>
        <w:rPr>
          <w:rFonts w:ascii="Times New Roman" w:hAnsi="Times New Roman" w:cs="Times New Roman"/>
          <w:sz w:val="24"/>
          <w:szCs w:val="24"/>
        </w:rPr>
      </w:pPr>
    </w:p>
    <w:tbl>
      <w:tblPr>
        <w:tblW w:w="5103" w:type="pct"/>
        <w:tblInd w:w="108" w:type="dxa"/>
        <w:tblLook w:val="01E0" w:firstRow="1" w:lastRow="1" w:firstColumn="1" w:lastColumn="1" w:noHBand="0" w:noVBand="0"/>
      </w:tblPr>
      <w:tblGrid>
        <w:gridCol w:w="9260"/>
      </w:tblGrid>
      <w:tr w:rsidR="00E74CE6" w:rsidRPr="000648A1" w:rsidTr="00C64B2D">
        <w:trPr>
          <w:trHeight w:val="1412"/>
        </w:trPr>
        <w:tc>
          <w:tcPr>
            <w:tcW w:w="5000" w:type="pct"/>
          </w:tcPr>
          <w:p w:rsidR="00ED18B3" w:rsidRPr="000648A1" w:rsidRDefault="00E74CE6" w:rsidP="00700784">
            <w:pPr>
              <w:spacing w:line="276" w:lineRule="auto"/>
              <w:ind w:left="0"/>
              <w:jc w:val="center"/>
              <w:rPr>
                <w:rFonts w:ascii="Times New Roman" w:hAnsi="Times New Roman" w:cs="Times New Roman"/>
                <w:b/>
                <w:sz w:val="24"/>
                <w:szCs w:val="24"/>
              </w:rPr>
            </w:pPr>
            <w:r w:rsidRPr="000648A1">
              <w:rPr>
                <w:rFonts w:ascii="Times New Roman" w:hAnsi="Times New Roman" w:cs="Times New Roman"/>
                <w:b/>
                <w:sz w:val="24"/>
                <w:szCs w:val="24"/>
              </w:rPr>
              <w:t xml:space="preserve">MINISTRUL FINANŢELOR </w:t>
            </w:r>
          </w:p>
          <w:p w:rsidR="0037301F" w:rsidRPr="000648A1" w:rsidRDefault="00C35BCC" w:rsidP="0037301F">
            <w:pPr>
              <w:spacing w:line="276" w:lineRule="auto"/>
              <w:ind w:left="0"/>
              <w:jc w:val="center"/>
              <w:rPr>
                <w:rFonts w:ascii="Times New Roman" w:hAnsi="Times New Roman" w:cs="Times New Roman"/>
                <w:sz w:val="24"/>
                <w:szCs w:val="24"/>
              </w:rPr>
            </w:pPr>
            <w:r w:rsidRPr="000648A1">
              <w:rPr>
                <w:rFonts w:ascii="Times New Roman" w:hAnsi="Times New Roman" w:cs="Times New Roman"/>
                <w:sz w:val="24"/>
                <w:szCs w:val="24"/>
              </w:rPr>
              <w:t xml:space="preserve"> </w:t>
            </w:r>
            <w:r w:rsidR="0037301F" w:rsidRPr="000648A1">
              <w:rPr>
                <w:rFonts w:ascii="Times New Roman" w:hAnsi="Times New Roman" w:cs="Times New Roman"/>
                <w:b/>
                <w:sz w:val="24"/>
                <w:szCs w:val="24"/>
              </w:rPr>
              <w:t>Dan VÎLCEANU</w:t>
            </w:r>
          </w:p>
          <w:p w:rsidR="002A7B50" w:rsidRPr="000648A1" w:rsidRDefault="002A7B50" w:rsidP="00700784">
            <w:pPr>
              <w:spacing w:line="276" w:lineRule="auto"/>
              <w:ind w:left="0"/>
              <w:jc w:val="center"/>
              <w:rPr>
                <w:rFonts w:ascii="Times New Roman" w:hAnsi="Times New Roman" w:cs="Times New Roman"/>
                <w:sz w:val="24"/>
                <w:szCs w:val="24"/>
              </w:rPr>
            </w:pPr>
          </w:p>
          <w:p w:rsidR="00FA3912" w:rsidRPr="000648A1" w:rsidRDefault="00FA3912" w:rsidP="00700784">
            <w:pPr>
              <w:spacing w:line="276" w:lineRule="auto"/>
              <w:ind w:left="0"/>
              <w:jc w:val="center"/>
              <w:rPr>
                <w:rFonts w:ascii="Times New Roman" w:hAnsi="Times New Roman" w:cs="Times New Roman"/>
                <w:sz w:val="24"/>
                <w:szCs w:val="24"/>
              </w:rPr>
            </w:pPr>
          </w:p>
          <w:p w:rsidR="00E74CE6" w:rsidRPr="000648A1" w:rsidRDefault="00E74CE6" w:rsidP="00C35BCC">
            <w:pPr>
              <w:spacing w:line="276" w:lineRule="auto"/>
              <w:ind w:left="0"/>
              <w:rPr>
                <w:rFonts w:ascii="Times New Roman" w:hAnsi="Times New Roman" w:cs="Times New Roman"/>
                <w:sz w:val="24"/>
                <w:szCs w:val="24"/>
              </w:rPr>
            </w:pPr>
          </w:p>
        </w:tc>
      </w:tr>
    </w:tbl>
    <w:p w:rsidR="00E74CE6" w:rsidRPr="00FA3912" w:rsidRDefault="00E74CE6" w:rsidP="00700784">
      <w:pPr>
        <w:spacing w:line="276" w:lineRule="auto"/>
        <w:ind w:left="0"/>
        <w:rPr>
          <w:rFonts w:ascii="Times New Roman" w:hAnsi="Times New Roman" w:cs="Times New Roman"/>
          <w:sz w:val="24"/>
          <w:szCs w:val="24"/>
        </w:rPr>
      </w:pPr>
      <w:r w:rsidRPr="00FA3912">
        <w:rPr>
          <w:rFonts w:ascii="Times New Roman" w:hAnsi="Times New Roman" w:cs="Times New Roman"/>
          <w:sz w:val="24"/>
          <w:szCs w:val="24"/>
        </w:rPr>
        <w:t>Avizăm favorabil,</w:t>
      </w:r>
    </w:p>
    <w:p w:rsidR="00E74CE6" w:rsidRPr="00FA3912" w:rsidRDefault="00E74CE6" w:rsidP="00700784">
      <w:pPr>
        <w:spacing w:line="276" w:lineRule="auto"/>
        <w:ind w:left="0"/>
        <w:rPr>
          <w:rFonts w:ascii="Times New Roman" w:hAnsi="Times New Roman" w:cs="Times New Roman"/>
          <w:sz w:val="24"/>
          <w:szCs w:val="24"/>
        </w:rPr>
      </w:pPr>
    </w:p>
    <w:tbl>
      <w:tblPr>
        <w:tblStyle w:val="TableGrid"/>
        <w:tblW w:w="10539" w:type="dxa"/>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4"/>
        <w:gridCol w:w="4675"/>
      </w:tblGrid>
      <w:tr w:rsidR="0053642A" w:rsidRPr="00FA3912" w:rsidTr="00304A70">
        <w:tc>
          <w:tcPr>
            <w:tcW w:w="5864" w:type="dxa"/>
            <w:tcMar>
              <w:top w:w="57" w:type="dxa"/>
              <w:left w:w="57" w:type="dxa"/>
              <w:bottom w:w="57" w:type="dxa"/>
              <w:right w:w="57" w:type="dxa"/>
            </w:tcMar>
          </w:tcPr>
          <w:p w:rsidR="009A6573" w:rsidRPr="00FA3912" w:rsidRDefault="0053642A" w:rsidP="00700784">
            <w:pPr>
              <w:spacing w:line="276" w:lineRule="auto"/>
              <w:ind w:left="0"/>
              <w:jc w:val="center"/>
              <w:rPr>
                <w:rFonts w:ascii="Times New Roman" w:hAnsi="Times New Roman" w:cs="Times New Roman"/>
                <w:b/>
                <w:sz w:val="24"/>
                <w:szCs w:val="24"/>
              </w:rPr>
            </w:pPr>
            <w:r w:rsidRPr="00FA3912">
              <w:rPr>
                <w:rFonts w:ascii="Times New Roman" w:hAnsi="Times New Roman" w:cs="Times New Roman"/>
                <w:b/>
                <w:sz w:val="24"/>
                <w:szCs w:val="24"/>
              </w:rPr>
              <w:t xml:space="preserve">PREŞEDINTELE </w:t>
            </w:r>
          </w:p>
          <w:p w:rsidR="0053642A" w:rsidRPr="00FA3912" w:rsidRDefault="0053642A" w:rsidP="00700784">
            <w:pPr>
              <w:spacing w:line="276" w:lineRule="auto"/>
              <w:ind w:left="0"/>
              <w:jc w:val="center"/>
              <w:rPr>
                <w:rFonts w:ascii="Times New Roman" w:hAnsi="Times New Roman" w:cs="Times New Roman"/>
                <w:b/>
                <w:sz w:val="24"/>
                <w:szCs w:val="24"/>
              </w:rPr>
            </w:pPr>
            <w:r w:rsidRPr="00FA3912">
              <w:rPr>
                <w:rFonts w:ascii="Times New Roman" w:hAnsi="Times New Roman" w:cs="Times New Roman"/>
                <w:b/>
                <w:sz w:val="24"/>
                <w:szCs w:val="24"/>
              </w:rPr>
              <w:t>AUTORITĂŢII DE SUPRAVEGHERE FINANCIARĂ</w:t>
            </w:r>
          </w:p>
          <w:p w:rsidR="0053642A" w:rsidRPr="00FA3912" w:rsidRDefault="00700784" w:rsidP="00700784">
            <w:pPr>
              <w:spacing w:line="276" w:lineRule="auto"/>
              <w:ind w:left="0"/>
              <w:jc w:val="center"/>
              <w:rPr>
                <w:rFonts w:ascii="Times New Roman" w:hAnsi="Times New Roman" w:cs="Times New Roman"/>
                <w:b/>
                <w:sz w:val="24"/>
                <w:szCs w:val="24"/>
              </w:rPr>
            </w:pPr>
            <w:r w:rsidRPr="00FA3912">
              <w:rPr>
                <w:rFonts w:ascii="Times New Roman" w:hAnsi="Times New Roman" w:cs="Times New Roman"/>
                <w:b/>
                <w:sz w:val="24"/>
                <w:szCs w:val="24"/>
              </w:rPr>
              <w:t>Nicu</w:t>
            </w:r>
            <w:r w:rsidR="0053642A" w:rsidRPr="00FA3912">
              <w:rPr>
                <w:rFonts w:ascii="Times New Roman" w:hAnsi="Times New Roman" w:cs="Times New Roman"/>
                <w:b/>
                <w:sz w:val="24"/>
                <w:szCs w:val="24"/>
              </w:rPr>
              <w:t xml:space="preserve"> MARCU</w:t>
            </w:r>
          </w:p>
          <w:p w:rsidR="009A6573" w:rsidRPr="00FA3912" w:rsidRDefault="009A6573" w:rsidP="00700784">
            <w:pPr>
              <w:spacing w:line="276" w:lineRule="auto"/>
              <w:ind w:left="0"/>
              <w:rPr>
                <w:rFonts w:ascii="Times New Roman" w:hAnsi="Times New Roman" w:cs="Times New Roman"/>
                <w:sz w:val="24"/>
                <w:szCs w:val="24"/>
              </w:rPr>
            </w:pPr>
          </w:p>
        </w:tc>
        <w:tc>
          <w:tcPr>
            <w:tcW w:w="4675" w:type="dxa"/>
            <w:tcMar>
              <w:top w:w="57" w:type="dxa"/>
              <w:left w:w="57" w:type="dxa"/>
              <w:bottom w:w="57" w:type="dxa"/>
              <w:right w:w="57" w:type="dxa"/>
            </w:tcMar>
          </w:tcPr>
          <w:p w:rsidR="0053642A" w:rsidRPr="00FA3912" w:rsidRDefault="0053642A" w:rsidP="00304A70">
            <w:pPr>
              <w:spacing w:line="276" w:lineRule="auto"/>
              <w:ind w:left="0"/>
              <w:rPr>
                <w:rFonts w:ascii="Times New Roman" w:hAnsi="Times New Roman" w:cs="Times New Roman"/>
                <w:b/>
                <w:sz w:val="24"/>
                <w:szCs w:val="24"/>
              </w:rPr>
            </w:pPr>
            <w:r w:rsidRPr="00FA3912">
              <w:rPr>
                <w:rFonts w:ascii="Times New Roman" w:hAnsi="Times New Roman" w:cs="Times New Roman"/>
                <w:b/>
                <w:sz w:val="24"/>
                <w:szCs w:val="24"/>
              </w:rPr>
              <w:t>MINISTRUL JUSTIȚIEI</w:t>
            </w:r>
            <w:r w:rsidR="00304A70">
              <w:rPr>
                <w:rFonts w:ascii="Times New Roman" w:hAnsi="Times New Roman" w:cs="Times New Roman"/>
                <w:b/>
                <w:sz w:val="24"/>
                <w:szCs w:val="24"/>
              </w:rPr>
              <w:t xml:space="preserve">, </w:t>
            </w:r>
            <w:r w:rsidR="00304A70" w:rsidRPr="00304A70">
              <w:rPr>
                <w:rFonts w:ascii="Times New Roman" w:hAnsi="Times New Roman" w:cs="Times New Roman"/>
                <w:b/>
                <w:sz w:val="24"/>
                <w:szCs w:val="24"/>
              </w:rPr>
              <w:t>INTERIMAR</w:t>
            </w:r>
          </w:p>
          <w:p w:rsidR="0053642A" w:rsidRPr="00FA3912" w:rsidRDefault="004A1089" w:rsidP="00700784">
            <w:pPr>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Lucian Nicolae BODE</w:t>
            </w:r>
          </w:p>
          <w:p w:rsidR="0053642A" w:rsidRPr="00304A70" w:rsidRDefault="00304A70" w:rsidP="00700784">
            <w:pPr>
              <w:spacing w:line="276" w:lineRule="auto"/>
              <w:ind w:left="0"/>
              <w:jc w:val="center"/>
              <w:rPr>
                <w:rFonts w:ascii="Times New Roman" w:hAnsi="Times New Roman" w:cs="Times New Roman"/>
                <w:b/>
                <w:sz w:val="24"/>
                <w:szCs w:val="24"/>
              </w:rPr>
            </w:pPr>
            <w:r w:rsidRPr="00304A70">
              <w:rPr>
                <w:rFonts w:ascii="Times New Roman" w:hAnsi="Times New Roman" w:cs="Times New Roman"/>
                <w:b/>
              </w:rPr>
              <w:t>MINISTRUL AFACERILOR INTERNE</w:t>
            </w:r>
          </w:p>
        </w:tc>
      </w:tr>
    </w:tbl>
    <w:p w:rsidR="00E74CE6" w:rsidRPr="009E7652" w:rsidRDefault="00304A70" w:rsidP="00304A70">
      <w:pPr>
        <w:spacing w:line="276" w:lineRule="auto"/>
        <w:ind w:left="0"/>
        <w:rPr>
          <w:rFonts w:ascii="Times New Roman" w:hAnsi="Times New Roman" w:cs="Times New Roman"/>
        </w:rPr>
      </w:pPr>
      <w:r w:rsidRPr="00304A70">
        <w:rPr>
          <w:rFonts w:ascii="Times New Roman" w:hAnsi="Times New Roman" w:cs="Times New Roman"/>
        </w:rPr>
        <w:t xml:space="preserve">            </w:t>
      </w:r>
    </w:p>
    <w:p w:rsidR="00304A70" w:rsidRPr="009E7652" w:rsidRDefault="00304A70">
      <w:pPr>
        <w:spacing w:line="276" w:lineRule="auto"/>
        <w:ind w:left="0"/>
        <w:rPr>
          <w:rFonts w:ascii="Times New Roman" w:hAnsi="Times New Roman" w:cs="Times New Roman"/>
        </w:rPr>
      </w:pPr>
    </w:p>
    <w:sectPr w:rsidR="00304A70" w:rsidRPr="009E7652" w:rsidSect="00700784">
      <w:headerReference w:type="even" r:id="rId8"/>
      <w:headerReference w:type="default" r:id="rId9"/>
      <w:footerReference w:type="default" r:id="rId10"/>
      <w:headerReference w:type="first" r:id="rId11"/>
      <w:pgSz w:w="11909" w:h="16834" w:code="9"/>
      <w:pgMar w:top="1134" w:right="1418" w:bottom="1134" w:left="1418" w:header="709" w:footer="733"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F90" w:rsidRDefault="00563F90" w:rsidP="007E6A2C">
      <w:r>
        <w:separator/>
      </w:r>
    </w:p>
  </w:endnote>
  <w:endnote w:type="continuationSeparator" w:id="0">
    <w:p w:rsidR="00563F90" w:rsidRDefault="00563F90" w:rsidP="007E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LTBook">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0002EFF" w:usb1="C000247B" w:usb2="00000009" w:usb3="00000000" w:csb0="000001FF" w:csb1="00000000"/>
  </w:font>
  <w:font w:name="EUAlbertina">
    <w:charset w:val="00"/>
    <w:family w:val="roman"/>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209437"/>
      <w:docPartObj>
        <w:docPartGallery w:val="Page Numbers (Bottom of Page)"/>
        <w:docPartUnique/>
      </w:docPartObj>
    </w:sdtPr>
    <w:sdtEndPr>
      <w:rPr>
        <w:b/>
      </w:rPr>
    </w:sdtEndPr>
    <w:sdtContent>
      <w:p w:rsidR="00CE37D9" w:rsidRPr="00DC66B7" w:rsidRDefault="00DC66B7" w:rsidP="00DC66B7">
        <w:pPr>
          <w:pStyle w:val="Footer"/>
          <w:jc w:val="right"/>
          <w:rPr>
            <w:rFonts w:ascii="Times New Roman" w:hAnsi="Times New Roman"/>
            <w:sz w:val="24"/>
            <w:szCs w:val="24"/>
          </w:rPr>
        </w:pPr>
        <w:r>
          <w:rPr>
            <w:rFonts w:ascii="Times New Roman" w:hAnsi="Times New Roman"/>
            <w:sz w:val="20"/>
            <w:szCs w:val="20"/>
          </w:rPr>
          <w:t xml:space="preserve">Pagina </w:t>
        </w:r>
        <w:r w:rsidR="006E2D61" w:rsidRPr="00E36EA4">
          <w:rPr>
            <w:rFonts w:ascii="Times New Roman" w:hAnsi="Times New Roman"/>
            <w:b/>
            <w:bCs/>
            <w:sz w:val="20"/>
            <w:szCs w:val="20"/>
          </w:rPr>
          <w:fldChar w:fldCharType="begin"/>
        </w:r>
        <w:r w:rsidRPr="00E36EA4">
          <w:rPr>
            <w:rFonts w:ascii="Times New Roman" w:hAnsi="Times New Roman"/>
            <w:b/>
            <w:bCs/>
            <w:sz w:val="20"/>
            <w:szCs w:val="20"/>
          </w:rPr>
          <w:instrText xml:space="preserve"> PAGE </w:instrText>
        </w:r>
        <w:r w:rsidR="006E2D61" w:rsidRPr="00E36EA4">
          <w:rPr>
            <w:rFonts w:ascii="Times New Roman" w:hAnsi="Times New Roman"/>
            <w:b/>
            <w:bCs/>
            <w:sz w:val="20"/>
            <w:szCs w:val="20"/>
          </w:rPr>
          <w:fldChar w:fldCharType="separate"/>
        </w:r>
        <w:r w:rsidR="006E1AF0">
          <w:rPr>
            <w:rFonts w:ascii="Times New Roman" w:hAnsi="Times New Roman"/>
            <w:b/>
            <w:bCs/>
            <w:noProof/>
            <w:sz w:val="20"/>
            <w:szCs w:val="20"/>
          </w:rPr>
          <w:t>11</w:t>
        </w:r>
        <w:r w:rsidR="006E2D61" w:rsidRPr="00E36EA4">
          <w:rPr>
            <w:rFonts w:ascii="Times New Roman" w:hAnsi="Times New Roman"/>
            <w:b/>
            <w:bCs/>
            <w:sz w:val="20"/>
            <w:szCs w:val="20"/>
          </w:rPr>
          <w:fldChar w:fldCharType="end"/>
        </w:r>
        <w:r>
          <w:rPr>
            <w:rFonts w:ascii="Times New Roman" w:hAnsi="Times New Roman"/>
            <w:sz w:val="20"/>
            <w:szCs w:val="20"/>
          </w:rPr>
          <w:t xml:space="preserve"> din </w:t>
        </w:r>
        <w:r w:rsidR="006E2D61" w:rsidRPr="00E36EA4">
          <w:rPr>
            <w:rFonts w:ascii="Times New Roman" w:hAnsi="Times New Roman"/>
            <w:b/>
            <w:bCs/>
            <w:sz w:val="20"/>
            <w:szCs w:val="20"/>
          </w:rPr>
          <w:fldChar w:fldCharType="begin"/>
        </w:r>
        <w:r w:rsidRPr="00E36EA4">
          <w:rPr>
            <w:rFonts w:ascii="Times New Roman" w:hAnsi="Times New Roman"/>
            <w:b/>
            <w:bCs/>
            <w:sz w:val="20"/>
            <w:szCs w:val="20"/>
          </w:rPr>
          <w:instrText xml:space="preserve"> NUMPAGES  </w:instrText>
        </w:r>
        <w:r w:rsidR="006E2D61" w:rsidRPr="00E36EA4">
          <w:rPr>
            <w:rFonts w:ascii="Times New Roman" w:hAnsi="Times New Roman"/>
            <w:b/>
            <w:bCs/>
            <w:sz w:val="20"/>
            <w:szCs w:val="20"/>
          </w:rPr>
          <w:fldChar w:fldCharType="separate"/>
        </w:r>
        <w:r w:rsidR="006E1AF0">
          <w:rPr>
            <w:rFonts w:ascii="Times New Roman" w:hAnsi="Times New Roman"/>
            <w:b/>
            <w:bCs/>
            <w:noProof/>
            <w:sz w:val="20"/>
            <w:szCs w:val="20"/>
          </w:rPr>
          <w:t>11</w:t>
        </w:r>
        <w:r w:rsidR="006E2D61" w:rsidRPr="00E36EA4">
          <w:rPr>
            <w:rFonts w:ascii="Times New Roman" w:hAnsi="Times New Roman"/>
            <w:b/>
            <w:bCs/>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F90" w:rsidRDefault="00563F90" w:rsidP="007E6A2C">
      <w:r>
        <w:separator/>
      </w:r>
    </w:p>
  </w:footnote>
  <w:footnote w:type="continuationSeparator" w:id="0">
    <w:p w:rsidR="00563F90" w:rsidRDefault="00563F90" w:rsidP="007E6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ED2" w:rsidRDefault="00480E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A8A" w:rsidRPr="00584A8A" w:rsidRDefault="00584A8A" w:rsidP="00584A8A">
    <w:pPr>
      <w:pStyle w:val="Header"/>
      <w:jc w:val="right"/>
      <w:rPr>
        <w:rFonts w:ascii="Times New Roman" w:hAnsi="Times New Roman"/>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ED2" w:rsidRDefault="00480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5A6"/>
    <w:multiLevelType w:val="hybridMultilevel"/>
    <w:tmpl w:val="56D47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3382866"/>
    <w:multiLevelType w:val="hybridMultilevel"/>
    <w:tmpl w:val="F7DC38B0"/>
    <w:lvl w:ilvl="0" w:tplc="08090001">
      <w:start w:val="1"/>
      <w:numFmt w:val="bullet"/>
      <w:lvlText w:val=""/>
      <w:lvlJc w:val="left"/>
      <w:pPr>
        <w:ind w:left="1849" w:hanging="360"/>
      </w:pPr>
      <w:rPr>
        <w:rFonts w:ascii="Symbol" w:hAnsi="Symbol" w:hint="default"/>
      </w:rPr>
    </w:lvl>
    <w:lvl w:ilvl="1" w:tplc="08090003">
      <w:start w:val="1"/>
      <w:numFmt w:val="bullet"/>
      <w:lvlText w:val="o"/>
      <w:lvlJc w:val="left"/>
      <w:pPr>
        <w:ind w:left="2569" w:hanging="360"/>
      </w:pPr>
      <w:rPr>
        <w:rFonts w:ascii="Courier New" w:hAnsi="Courier New" w:hint="default"/>
      </w:rPr>
    </w:lvl>
    <w:lvl w:ilvl="2" w:tplc="08090005">
      <w:start w:val="1"/>
      <w:numFmt w:val="bullet"/>
      <w:lvlText w:val=""/>
      <w:lvlJc w:val="left"/>
      <w:pPr>
        <w:ind w:left="3289" w:hanging="360"/>
      </w:pPr>
      <w:rPr>
        <w:rFonts w:ascii="Wingdings" w:hAnsi="Wingdings" w:hint="default"/>
      </w:rPr>
    </w:lvl>
    <w:lvl w:ilvl="3" w:tplc="08090001">
      <w:start w:val="1"/>
      <w:numFmt w:val="bullet"/>
      <w:lvlText w:val=""/>
      <w:lvlJc w:val="left"/>
      <w:pPr>
        <w:ind w:left="4009" w:hanging="360"/>
      </w:pPr>
      <w:rPr>
        <w:rFonts w:ascii="Symbol" w:hAnsi="Symbol" w:hint="default"/>
      </w:rPr>
    </w:lvl>
    <w:lvl w:ilvl="4" w:tplc="08090003">
      <w:start w:val="1"/>
      <w:numFmt w:val="bullet"/>
      <w:lvlText w:val="o"/>
      <w:lvlJc w:val="left"/>
      <w:pPr>
        <w:ind w:left="4729" w:hanging="360"/>
      </w:pPr>
      <w:rPr>
        <w:rFonts w:ascii="Courier New" w:hAnsi="Courier New" w:hint="default"/>
      </w:rPr>
    </w:lvl>
    <w:lvl w:ilvl="5" w:tplc="08090005">
      <w:start w:val="1"/>
      <w:numFmt w:val="bullet"/>
      <w:lvlText w:val=""/>
      <w:lvlJc w:val="left"/>
      <w:pPr>
        <w:ind w:left="5449" w:hanging="360"/>
      </w:pPr>
      <w:rPr>
        <w:rFonts w:ascii="Wingdings" w:hAnsi="Wingdings" w:hint="default"/>
      </w:rPr>
    </w:lvl>
    <w:lvl w:ilvl="6" w:tplc="08090001">
      <w:start w:val="1"/>
      <w:numFmt w:val="bullet"/>
      <w:lvlText w:val=""/>
      <w:lvlJc w:val="left"/>
      <w:pPr>
        <w:ind w:left="6169" w:hanging="360"/>
      </w:pPr>
      <w:rPr>
        <w:rFonts w:ascii="Symbol" w:hAnsi="Symbol" w:hint="default"/>
      </w:rPr>
    </w:lvl>
    <w:lvl w:ilvl="7" w:tplc="08090003">
      <w:start w:val="1"/>
      <w:numFmt w:val="bullet"/>
      <w:lvlText w:val="o"/>
      <w:lvlJc w:val="left"/>
      <w:pPr>
        <w:ind w:left="6889" w:hanging="360"/>
      </w:pPr>
      <w:rPr>
        <w:rFonts w:ascii="Courier New" w:hAnsi="Courier New" w:hint="default"/>
      </w:rPr>
    </w:lvl>
    <w:lvl w:ilvl="8" w:tplc="08090005">
      <w:start w:val="1"/>
      <w:numFmt w:val="bullet"/>
      <w:lvlText w:val=""/>
      <w:lvlJc w:val="left"/>
      <w:pPr>
        <w:ind w:left="7609" w:hanging="360"/>
      </w:pPr>
      <w:rPr>
        <w:rFonts w:ascii="Wingdings" w:hAnsi="Wingdings" w:hint="default"/>
      </w:rPr>
    </w:lvl>
  </w:abstractNum>
  <w:abstractNum w:abstractNumId="2">
    <w:nsid w:val="04C36E48"/>
    <w:multiLevelType w:val="multilevel"/>
    <w:tmpl w:val="186E7A4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
    <w:nsid w:val="0D371E23"/>
    <w:multiLevelType w:val="hybridMultilevel"/>
    <w:tmpl w:val="D34A5D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04303A3"/>
    <w:multiLevelType w:val="hybridMultilevel"/>
    <w:tmpl w:val="4E8221B6"/>
    <w:lvl w:ilvl="0" w:tplc="0418000F">
      <w:start w:val="1"/>
      <w:numFmt w:val="decimal"/>
      <w:lvlText w:val="%1."/>
      <w:lvlJc w:val="left"/>
      <w:pPr>
        <w:ind w:left="360" w:hanging="360"/>
      </w:pPr>
      <w:rPr>
        <w:rFonts w:cs="Times New Roman" w:hint="default"/>
      </w:rPr>
    </w:lvl>
    <w:lvl w:ilvl="1" w:tplc="04180019">
      <w:start w:val="1"/>
      <w:numFmt w:val="lowerLetter"/>
      <w:lvlText w:val="%2."/>
      <w:lvlJc w:val="left"/>
      <w:pPr>
        <w:ind w:left="1080" w:hanging="360"/>
      </w:pPr>
      <w:rPr>
        <w:rFonts w:cs="Times New Roman"/>
      </w:rPr>
    </w:lvl>
    <w:lvl w:ilvl="2" w:tplc="0418001B">
      <w:start w:val="1"/>
      <w:numFmt w:val="lowerRoman"/>
      <w:lvlText w:val="%3."/>
      <w:lvlJc w:val="right"/>
      <w:pPr>
        <w:ind w:left="1800" w:hanging="180"/>
      </w:pPr>
      <w:rPr>
        <w:rFonts w:cs="Times New Roman"/>
      </w:rPr>
    </w:lvl>
    <w:lvl w:ilvl="3" w:tplc="0418000F">
      <w:start w:val="1"/>
      <w:numFmt w:val="decimal"/>
      <w:lvlText w:val="%4."/>
      <w:lvlJc w:val="left"/>
      <w:pPr>
        <w:ind w:left="2520" w:hanging="360"/>
      </w:pPr>
      <w:rPr>
        <w:rFonts w:cs="Times New Roman"/>
      </w:rPr>
    </w:lvl>
    <w:lvl w:ilvl="4" w:tplc="04180019">
      <w:start w:val="1"/>
      <w:numFmt w:val="lowerLetter"/>
      <w:lvlText w:val="%5."/>
      <w:lvlJc w:val="left"/>
      <w:pPr>
        <w:ind w:left="3240" w:hanging="360"/>
      </w:pPr>
      <w:rPr>
        <w:rFonts w:cs="Times New Roman"/>
      </w:rPr>
    </w:lvl>
    <w:lvl w:ilvl="5" w:tplc="0418001B">
      <w:start w:val="1"/>
      <w:numFmt w:val="lowerRoman"/>
      <w:lvlText w:val="%6."/>
      <w:lvlJc w:val="right"/>
      <w:pPr>
        <w:ind w:left="3960" w:hanging="180"/>
      </w:pPr>
      <w:rPr>
        <w:rFonts w:cs="Times New Roman"/>
      </w:rPr>
    </w:lvl>
    <w:lvl w:ilvl="6" w:tplc="0418000F">
      <w:start w:val="1"/>
      <w:numFmt w:val="decimal"/>
      <w:lvlText w:val="%7."/>
      <w:lvlJc w:val="left"/>
      <w:pPr>
        <w:ind w:left="4680" w:hanging="360"/>
      </w:pPr>
      <w:rPr>
        <w:rFonts w:cs="Times New Roman"/>
      </w:rPr>
    </w:lvl>
    <w:lvl w:ilvl="7" w:tplc="04180019">
      <w:start w:val="1"/>
      <w:numFmt w:val="lowerLetter"/>
      <w:lvlText w:val="%8."/>
      <w:lvlJc w:val="left"/>
      <w:pPr>
        <w:ind w:left="5400" w:hanging="360"/>
      </w:pPr>
      <w:rPr>
        <w:rFonts w:cs="Times New Roman"/>
      </w:rPr>
    </w:lvl>
    <w:lvl w:ilvl="8" w:tplc="0418001B">
      <w:start w:val="1"/>
      <w:numFmt w:val="lowerRoman"/>
      <w:lvlText w:val="%9."/>
      <w:lvlJc w:val="right"/>
      <w:pPr>
        <w:ind w:left="6120" w:hanging="180"/>
      </w:pPr>
      <w:rPr>
        <w:rFonts w:cs="Times New Roman"/>
      </w:rPr>
    </w:lvl>
  </w:abstractNum>
  <w:abstractNum w:abstractNumId="5">
    <w:nsid w:val="115B14FF"/>
    <w:multiLevelType w:val="hybridMultilevel"/>
    <w:tmpl w:val="6704624A"/>
    <w:lvl w:ilvl="0" w:tplc="17C443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253A5"/>
    <w:multiLevelType w:val="hybridMultilevel"/>
    <w:tmpl w:val="3B6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D83425"/>
    <w:multiLevelType w:val="hybridMultilevel"/>
    <w:tmpl w:val="3E941B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97F63FA"/>
    <w:multiLevelType w:val="hybridMultilevel"/>
    <w:tmpl w:val="889A116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2F72F0"/>
    <w:multiLevelType w:val="hybridMultilevel"/>
    <w:tmpl w:val="100025FC"/>
    <w:lvl w:ilvl="0" w:tplc="E2FC7FCC">
      <w:start w:val="1"/>
      <w:numFmt w:val="bullet"/>
      <w:lvlText w:val="-"/>
      <w:lvlJc w:val="left"/>
      <w:pPr>
        <w:ind w:left="720" w:hanging="360"/>
      </w:pPr>
      <w:rPr>
        <w:rFonts w:ascii="Times New Roman" w:eastAsia="Times New Roman" w:hAnsi="Times New Roman" w:hint="default"/>
        <w:i/>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2D4687D"/>
    <w:multiLevelType w:val="hybridMultilevel"/>
    <w:tmpl w:val="92A2ED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70939DD"/>
    <w:multiLevelType w:val="hybridMultilevel"/>
    <w:tmpl w:val="C8FE73EA"/>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3">
    <w:nsid w:val="29B0028F"/>
    <w:multiLevelType w:val="hybridMultilevel"/>
    <w:tmpl w:val="C23623C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B71C74"/>
    <w:multiLevelType w:val="hybridMultilevel"/>
    <w:tmpl w:val="A5F42340"/>
    <w:lvl w:ilvl="0" w:tplc="07FA681E">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5A1315"/>
    <w:multiLevelType w:val="hybridMultilevel"/>
    <w:tmpl w:val="830CF49C"/>
    <w:lvl w:ilvl="0" w:tplc="0F1AD48C">
      <w:start w:val="2"/>
      <w:numFmt w:val="bullet"/>
      <w:lvlText w:val="-"/>
      <w:lvlJc w:val="left"/>
      <w:pPr>
        <w:ind w:left="4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552B60"/>
    <w:multiLevelType w:val="hybridMultilevel"/>
    <w:tmpl w:val="8D686CB8"/>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19">
    <w:nsid w:val="409A16D3"/>
    <w:multiLevelType w:val="hybridMultilevel"/>
    <w:tmpl w:val="A7607C04"/>
    <w:lvl w:ilvl="0" w:tplc="04180001">
      <w:start w:val="1"/>
      <w:numFmt w:val="bullet"/>
      <w:lvlText w:val=""/>
      <w:lvlJc w:val="left"/>
      <w:pPr>
        <w:ind w:left="928" w:hanging="360"/>
      </w:pPr>
      <w:rPr>
        <w:rFonts w:ascii="Symbol" w:hAnsi="Symbol" w:hint="default"/>
      </w:rPr>
    </w:lvl>
    <w:lvl w:ilvl="1" w:tplc="04180003">
      <w:start w:val="1"/>
      <w:numFmt w:val="bullet"/>
      <w:lvlText w:val="o"/>
      <w:lvlJc w:val="left"/>
      <w:pPr>
        <w:ind w:left="1648" w:hanging="360"/>
      </w:pPr>
      <w:rPr>
        <w:rFonts w:ascii="Courier New" w:hAnsi="Courier New" w:hint="default"/>
      </w:rPr>
    </w:lvl>
    <w:lvl w:ilvl="2" w:tplc="04180005">
      <w:start w:val="1"/>
      <w:numFmt w:val="bullet"/>
      <w:lvlText w:val=""/>
      <w:lvlJc w:val="left"/>
      <w:pPr>
        <w:ind w:left="2368" w:hanging="360"/>
      </w:pPr>
      <w:rPr>
        <w:rFonts w:ascii="Wingdings" w:hAnsi="Wingdings" w:hint="default"/>
      </w:rPr>
    </w:lvl>
    <w:lvl w:ilvl="3" w:tplc="04180001">
      <w:start w:val="1"/>
      <w:numFmt w:val="bullet"/>
      <w:lvlText w:val=""/>
      <w:lvlJc w:val="left"/>
      <w:pPr>
        <w:ind w:left="3088" w:hanging="360"/>
      </w:pPr>
      <w:rPr>
        <w:rFonts w:ascii="Symbol" w:hAnsi="Symbol" w:hint="default"/>
      </w:rPr>
    </w:lvl>
    <w:lvl w:ilvl="4" w:tplc="04180003">
      <w:start w:val="1"/>
      <w:numFmt w:val="bullet"/>
      <w:lvlText w:val="o"/>
      <w:lvlJc w:val="left"/>
      <w:pPr>
        <w:ind w:left="3808" w:hanging="360"/>
      </w:pPr>
      <w:rPr>
        <w:rFonts w:ascii="Courier New" w:hAnsi="Courier New" w:hint="default"/>
      </w:rPr>
    </w:lvl>
    <w:lvl w:ilvl="5" w:tplc="04180005">
      <w:start w:val="1"/>
      <w:numFmt w:val="bullet"/>
      <w:lvlText w:val=""/>
      <w:lvlJc w:val="left"/>
      <w:pPr>
        <w:ind w:left="4528" w:hanging="360"/>
      </w:pPr>
      <w:rPr>
        <w:rFonts w:ascii="Wingdings" w:hAnsi="Wingdings" w:hint="default"/>
      </w:rPr>
    </w:lvl>
    <w:lvl w:ilvl="6" w:tplc="04180001">
      <w:start w:val="1"/>
      <w:numFmt w:val="bullet"/>
      <w:lvlText w:val=""/>
      <w:lvlJc w:val="left"/>
      <w:pPr>
        <w:ind w:left="5248" w:hanging="360"/>
      </w:pPr>
      <w:rPr>
        <w:rFonts w:ascii="Symbol" w:hAnsi="Symbol" w:hint="default"/>
      </w:rPr>
    </w:lvl>
    <w:lvl w:ilvl="7" w:tplc="04180003">
      <w:start w:val="1"/>
      <w:numFmt w:val="bullet"/>
      <w:lvlText w:val="o"/>
      <w:lvlJc w:val="left"/>
      <w:pPr>
        <w:ind w:left="5968" w:hanging="360"/>
      </w:pPr>
      <w:rPr>
        <w:rFonts w:ascii="Courier New" w:hAnsi="Courier New" w:hint="default"/>
      </w:rPr>
    </w:lvl>
    <w:lvl w:ilvl="8" w:tplc="04180005">
      <w:start w:val="1"/>
      <w:numFmt w:val="bullet"/>
      <w:lvlText w:val=""/>
      <w:lvlJc w:val="left"/>
      <w:pPr>
        <w:ind w:left="6688" w:hanging="360"/>
      </w:pPr>
      <w:rPr>
        <w:rFonts w:ascii="Wingdings" w:hAnsi="Wingdings" w:hint="default"/>
      </w:rPr>
    </w:lvl>
  </w:abstractNum>
  <w:abstractNum w:abstractNumId="20">
    <w:nsid w:val="42725EB7"/>
    <w:multiLevelType w:val="hybridMultilevel"/>
    <w:tmpl w:val="34A4BDCA"/>
    <w:lvl w:ilvl="0" w:tplc="7F2C32FC">
      <w:start w:val="2"/>
      <w:numFmt w:val="bullet"/>
      <w:lvlText w:val="-"/>
      <w:lvlJc w:val="left"/>
      <w:pPr>
        <w:ind w:left="720" w:hanging="360"/>
      </w:pPr>
      <w:rPr>
        <w:rFonts w:ascii="FuturaLTBook" w:eastAsia="Times New Roman" w:hAnsi="FuturaLTBook"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1">
    <w:nsid w:val="44BA5FD8"/>
    <w:multiLevelType w:val="hybridMultilevel"/>
    <w:tmpl w:val="489269DA"/>
    <w:lvl w:ilvl="0" w:tplc="90A82554">
      <w:start w:val="3"/>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49335ED4"/>
    <w:multiLevelType w:val="hybridMultilevel"/>
    <w:tmpl w:val="7D8AA364"/>
    <w:lvl w:ilvl="0" w:tplc="7F2C32FC">
      <w:start w:val="2"/>
      <w:numFmt w:val="bullet"/>
      <w:lvlText w:val="-"/>
      <w:lvlJc w:val="left"/>
      <w:pPr>
        <w:ind w:left="720" w:hanging="360"/>
      </w:pPr>
      <w:rPr>
        <w:rFonts w:ascii="FuturaLTBook" w:eastAsia="Times New Roman" w:hAnsi="FuturaLTBook"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3F52879"/>
    <w:multiLevelType w:val="hybridMultilevel"/>
    <w:tmpl w:val="D10AFB9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CF2030"/>
    <w:multiLevelType w:val="hybridMultilevel"/>
    <w:tmpl w:val="00D444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5B767955"/>
    <w:multiLevelType w:val="hybridMultilevel"/>
    <w:tmpl w:val="D91A679C"/>
    <w:lvl w:ilvl="0" w:tplc="0418000F">
      <w:start w:val="1"/>
      <w:numFmt w:val="decimal"/>
      <w:lvlText w:val="%1."/>
      <w:lvlJc w:val="left"/>
      <w:pPr>
        <w:ind w:left="360" w:hanging="360"/>
      </w:pPr>
      <w:rPr>
        <w:rFonts w:cs="Times New Roman" w:hint="default"/>
      </w:rPr>
    </w:lvl>
    <w:lvl w:ilvl="1" w:tplc="04180019">
      <w:start w:val="1"/>
      <w:numFmt w:val="lowerLetter"/>
      <w:lvlText w:val="%2."/>
      <w:lvlJc w:val="left"/>
      <w:pPr>
        <w:ind w:left="1080" w:hanging="360"/>
      </w:pPr>
      <w:rPr>
        <w:rFonts w:cs="Times New Roman"/>
      </w:rPr>
    </w:lvl>
    <w:lvl w:ilvl="2" w:tplc="0418001B">
      <w:start w:val="1"/>
      <w:numFmt w:val="lowerRoman"/>
      <w:lvlText w:val="%3."/>
      <w:lvlJc w:val="right"/>
      <w:pPr>
        <w:ind w:left="1800" w:hanging="180"/>
      </w:pPr>
      <w:rPr>
        <w:rFonts w:cs="Times New Roman"/>
      </w:rPr>
    </w:lvl>
    <w:lvl w:ilvl="3" w:tplc="0418000F">
      <w:start w:val="1"/>
      <w:numFmt w:val="decimal"/>
      <w:lvlText w:val="%4."/>
      <w:lvlJc w:val="left"/>
      <w:pPr>
        <w:ind w:left="2520" w:hanging="360"/>
      </w:pPr>
      <w:rPr>
        <w:rFonts w:cs="Times New Roman"/>
      </w:rPr>
    </w:lvl>
    <w:lvl w:ilvl="4" w:tplc="04180019">
      <w:start w:val="1"/>
      <w:numFmt w:val="lowerLetter"/>
      <w:lvlText w:val="%5."/>
      <w:lvlJc w:val="left"/>
      <w:pPr>
        <w:ind w:left="3240" w:hanging="360"/>
      </w:pPr>
      <w:rPr>
        <w:rFonts w:cs="Times New Roman"/>
      </w:rPr>
    </w:lvl>
    <w:lvl w:ilvl="5" w:tplc="0418001B">
      <w:start w:val="1"/>
      <w:numFmt w:val="lowerRoman"/>
      <w:lvlText w:val="%6."/>
      <w:lvlJc w:val="right"/>
      <w:pPr>
        <w:ind w:left="3960" w:hanging="180"/>
      </w:pPr>
      <w:rPr>
        <w:rFonts w:cs="Times New Roman"/>
      </w:rPr>
    </w:lvl>
    <w:lvl w:ilvl="6" w:tplc="0418000F">
      <w:start w:val="1"/>
      <w:numFmt w:val="decimal"/>
      <w:lvlText w:val="%7."/>
      <w:lvlJc w:val="left"/>
      <w:pPr>
        <w:ind w:left="4680" w:hanging="360"/>
      </w:pPr>
      <w:rPr>
        <w:rFonts w:cs="Times New Roman"/>
      </w:rPr>
    </w:lvl>
    <w:lvl w:ilvl="7" w:tplc="04180019">
      <w:start w:val="1"/>
      <w:numFmt w:val="lowerLetter"/>
      <w:lvlText w:val="%8."/>
      <w:lvlJc w:val="left"/>
      <w:pPr>
        <w:ind w:left="5400" w:hanging="360"/>
      </w:pPr>
      <w:rPr>
        <w:rFonts w:cs="Times New Roman"/>
      </w:rPr>
    </w:lvl>
    <w:lvl w:ilvl="8" w:tplc="0418001B">
      <w:start w:val="1"/>
      <w:numFmt w:val="lowerRoman"/>
      <w:lvlText w:val="%9."/>
      <w:lvlJc w:val="right"/>
      <w:pPr>
        <w:ind w:left="6120" w:hanging="180"/>
      </w:pPr>
      <w:rPr>
        <w:rFonts w:cs="Times New Roman"/>
      </w:rPr>
    </w:lvl>
  </w:abstractNum>
  <w:abstractNum w:abstractNumId="26">
    <w:nsid w:val="5C0566F9"/>
    <w:multiLevelType w:val="hybridMultilevel"/>
    <w:tmpl w:val="5F1E7E9E"/>
    <w:lvl w:ilvl="0" w:tplc="FC5CED1C">
      <w:start w:val="1"/>
      <w:numFmt w:val="low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4C3A92"/>
    <w:multiLevelType w:val="hybridMultilevel"/>
    <w:tmpl w:val="B9E87D94"/>
    <w:lvl w:ilvl="0" w:tplc="E9F28F2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nsid w:val="643E6ECD"/>
    <w:multiLevelType w:val="hybridMultilevel"/>
    <w:tmpl w:val="23E43262"/>
    <w:lvl w:ilvl="0" w:tplc="0409001B">
      <w:start w:val="1"/>
      <w:numFmt w:val="lowerRoman"/>
      <w:lvlText w:val="%1."/>
      <w:lvlJc w:val="right"/>
      <w:pPr>
        <w:tabs>
          <w:tab w:val="num" w:pos="720"/>
        </w:tabs>
        <w:ind w:left="720" w:hanging="360"/>
      </w:pPr>
    </w:lvl>
    <w:lvl w:ilvl="1" w:tplc="346A1E82">
      <w:start w:val="1"/>
      <w:numFmt w:val="decimal"/>
      <w:lvlText w:val="%2."/>
      <w:lvlJc w:val="left"/>
      <w:pPr>
        <w:tabs>
          <w:tab w:val="num" w:pos="1440"/>
        </w:tabs>
        <w:ind w:left="1440" w:hanging="360"/>
      </w:pPr>
      <w:rPr>
        <w:rFonts w:hint="default"/>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7921B51"/>
    <w:multiLevelType w:val="hybridMultilevel"/>
    <w:tmpl w:val="5B78803E"/>
    <w:lvl w:ilvl="0" w:tplc="E2FC7FCC">
      <w:start w:val="1"/>
      <w:numFmt w:val="bullet"/>
      <w:lvlText w:val="-"/>
      <w:lvlJc w:val="left"/>
      <w:pPr>
        <w:ind w:left="720" w:hanging="360"/>
      </w:pPr>
      <w:rPr>
        <w:rFonts w:ascii="Times New Roman" w:eastAsia="Times New Roman" w:hAnsi="Times New Roman" w:hint="default"/>
        <w:i/>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D5E7575"/>
    <w:multiLevelType w:val="hybridMultilevel"/>
    <w:tmpl w:val="BB7CFD6A"/>
    <w:lvl w:ilvl="0" w:tplc="BBBCD2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705783"/>
    <w:multiLevelType w:val="hybridMultilevel"/>
    <w:tmpl w:val="F058F66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734F6582"/>
    <w:multiLevelType w:val="hybridMultilevel"/>
    <w:tmpl w:val="DD745036"/>
    <w:lvl w:ilvl="0" w:tplc="E2FC7FCC">
      <w:start w:val="1"/>
      <w:numFmt w:val="bullet"/>
      <w:lvlText w:val="-"/>
      <w:lvlJc w:val="left"/>
      <w:pPr>
        <w:ind w:left="720" w:hanging="360"/>
      </w:pPr>
      <w:rPr>
        <w:rFonts w:ascii="Times New Roman" w:eastAsia="Times New Roman" w:hAnsi="Times New Roman" w:hint="default"/>
        <w:i/>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962704B"/>
    <w:multiLevelType w:val="hybridMultilevel"/>
    <w:tmpl w:val="3BE657F0"/>
    <w:lvl w:ilvl="0" w:tplc="E2FC7FCC">
      <w:start w:val="1"/>
      <w:numFmt w:val="bullet"/>
      <w:lvlText w:val="-"/>
      <w:lvlJc w:val="left"/>
      <w:pPr>
        <w:ind w:left="720" w:hanging="360"/>
      </w:pPr>
      <w:rPr>
        <w:rFonts w:ascii="Times New Roman" w:eastAsia="Times New Roman" w:hAnsi="Times New Roman" w:hint="default"/>
        <w:i/>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34">
    <w:nsid w:val="7985342D"/>
    <w:multiLevelType w:val="hybridMultilevel"/>
    <w:tmpl w:val="B1049412"/>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5">
    <w:nsid w:val="7D6844AE"/>
    <w:multiLevelType w:val="hybridMultilevel"/>
    <w:tmpl w:val="64D6DBC0"/>
    <w:lvl w:ilvl="0" w:tplc="E2FC7FCC">
      <w:start w:val="1"/>
      <w:numFmt w:val="bullet"/>
      <w:lvlText w:val="-"/>
      <w:lvlJc w:val="left"/>
      <w:pPr>
        <w:ind w:left="720" w:hanging="360"/>
      </w:pPr>
      <w:rPr>
        <w:rFonts w:ascii="Times New Roman" w:eastAsia="Times New Roman" w:hAnsi="Times New Roman" w:hint="default"/>
        <w:i/>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21"/>
  </w:num>
  <w:num w:numId="4">
    <w:abstractNumId w:val="4"/>
  </w:num>
  <w:num w:numId="5">
    <w:abstractNumId w:val="20"/>
  </w:num>
  <w:num w:numId="6">
    <w:abstractNumId w:val="33"/>
  </w:num>
  <w:num w:numId="7">
    <w:abstractNumId w:val="35"/>
  </w:num>
  <w:num w:numId="8">
    <w:abstractNumId w:val="10"/>
  </w:num>
  <w:num w:numId="9">
    <w:abstractNumId w:val="32"/>
  </w:num>
  <w:num w:numId="10">
    <w:abstractNumId w:val="29"/>
  </w:num>
  <w:num w:numId="11">
    <w:abstractNumId w:val="22"/>
  </w:num>
  <w:num w:numId="12">
    <w:abstractNumId w:val="19"/>
  </w:num>
  <w:num w:numId="13">
    <w:abstractNumId w:val="24"/>
  </w:num>
  <w:num w:numId="14">
    <w:abstractNumId w:val="31"/>
  </w:num>
  <w:num w:numId="15">
    <w:abstractNumId w:val="2"/>
  </w:num>
  <w:num w:numId="16">
    <w:abstractNumId w:val="1"/>
  </w:num>
  <w:num w:numId="17">
    <w:abstractNumId w:val="7"/>
  </w:num>
  <w:num w:numId="18">
    <w:abstractNumId w:val="19"/>
  </w:num>
  <w:num w:numId="19">
    <w:abstractNumId w:val="34"/>
  </w:num>
  <w:num w:numId="20">
    <w:abstractNumId w:val="12"/>
  </w:num>
  <w:num w:numId="21">
    <w:abstractNumId w:val="14"/>
  </w:num>
  <w:num w:numId="22">
    <w:abstractNumId w:val="15"/>
  </w:num>
  <w:num w:numId="23">
    <w:abstractNumId w:val="17"/>
  </w:num>
  <w:num w:numId="24">
    <w:abstractNumId w:val="13"/>
  </w:num>
  <w:num w:numId="25">
    <w:abstractNumId w:val="9"/>
  </w:num>
  <w:num w:numId="26">
    <w:abstractNumId w:val="28"/>
  </w:num>
  <w:num w:numId="27">
    <w:abstractNumId w:val="23"/>
  </w:num>
  <w:num w:numId="28">
    <w:abstractNumId w:val="6"/>
  </w:num>
  <w:num w:numId="29">
    <w:abstractNumId w:val="18"/>
  </w:num>
  <w:num w:numId="30">
    <w:abstractNumId w:val="5"/>
  </w:num>
  <w:num w:numId="31">
    <w:abstractNumId w:val="27"/>
  </w:num>
  <w:num w:numId="32">
    <w:abstractNumId w:val="30"/>
  </w:num>
  <w:num w:numId="33">
    <w:abstractNumId w:val="16"/>
  </w:num>
  <w:num w:numId="34">
    <w:abstractNumId w:val="26"/>
  </w:num>
  <w:num w:numId="35">
    <w:abstractNumId w:val="0"/>
  </w:num>
  <w:num w:numId="36">
    <w:abstractNumId w:val="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oNotHyphenateCaps/>
  <w:drawingGridHorizontalSpacing w:val="110"/>
  <w:drawingGridVerticalSpacing w:val="299"/>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16"/>
    <w:rsid w:val="00001D22"/>
    <w:rsid w:val="000030B5"/>
    <w:rsid w:val="0000644D"/>
    <w:rsid w:val="00007276"/>
    <w:rsid w:val="000078EB"/>
    <w:rsid w:val="000103E7"/>
    <w:rsid w:val="00012AD8"/>
    <w:rsid w:val="00013324"/>
    <w:rsid w:val="00013540"/>
    <w:rsid w:val="00023CFB"/>
    <w:rsid w:val="0002456C"/>
    <w:rsid w:val="000278A4"/>
    <w:rsid w:val="00030D78"/>
    <w:rsid w:val="0003125F"/>
    <w:rsid w:val="00033633"/>
    <w:rsid w:val="00033C44"/>
    <w:rsid w:val="0003513D"/>
    <w:rsid w:val="00035489"/>
    <w:rsid w:val="00035779"/>
    <w:rsid w:val="00035ADB"/>
    <w:rsid w:val="00036903"/>
    <w:rsid w:val="0003698E"/>
    <w:rsid w:val="00037F10"/>
    <w:rsid w:val="00040183"/>
    <w:rsid w:val="00045F62"/>
    <w:rsid w:val="0005503A"/>
    <w:rsid w:val="00055CD0"/>
    <w:rsid w:val="000561F2"/>
    <w:rsid w:val="00062460"/>
    <w:rsid w:val="000627B8"/>
    <w:rsid w:val="000648A1"/>
    <w:rsid w:val="00065821"/>
    <w:rsid w:val="00074D09"/>
    <w:rsid w:val="0008051F"/>
    <w:rsid w:val="0008081E"/>
    <w:rsid w:val="00080928"/>
    <w:rsid w:val="00083F1C"/>
    <w:rsid w:val="00085277"/>
    <w:rsid w:val="000852CE"/>
    <w:rsid w:val="00085FAE"/>
    <w:rsid w:val="00086616"/>
    <w:rsid w:val="00087B83"/>
    <w:rsid w:val="00087FED"/>
    <w:rsid w:val="00090C34"/>
    <w:rsid w:val="00090C78"/>
    <w:rsid w:val="000915DE"/>
    <w:rsid w:val="000933DD"/>
    <w:rsid w:val="00094586"/>
    <w:rsid w:val="00097B0B"/>
    <w:rsid w:val="000A0899"/>
    <w:rsid w:val="000A1F1F"/>
    <w:rsid w:val="000A3B54"/>
    <w:rsid w:val="000B1B52"/>
    <w:rsid w:val="000B21E8"/>
    <w:rsid w:val="000B3FB6"/>
    <w:rsid w:val="000B532F"/>
    <w:rsid w:val="000B6560"/>
    <w:rsid w:val="000B7895"/>
    <w:rsid w:val="000C094A"/>
    <w:rsid w:val="000C130A"/>
    <w:rsid w:val="000C131D"/>
    <w:rsid w:val="000C23E5"/>
    <w:rsid w:val="000C38F7"/>
    <w:rsid w:val="000C42D6"/>
    <w:rsid w:val="000C440F"/>
    <w:rsid w:val="000C5EBA"/>
    <w:rsid w:val="000C60F6"/>
    <w:rsid w:val="000C6A61"/>
    <w:rsid w:val="000C6E24"/>
    <w:rsid w:val="000C72C0"/>
    <w:rsid w:val="000C7366"/>
    <w:rsid w:val="000E12DA"/>
    <w:rsid w:val="000E2BD1"/>
    <w:rsid w:val="000E3B6C"/>
    <w:rsid w:val="000E4EAD"/>
    <w:rsid w:val="000F043E"/>
    <w:rsid w:val="000F15EA"/>
    <w:rsid w:val="000F2A3D"/>
    <w:rsid w:val="000F6785"/>
    <w:rsid w:val="000F74DA"/>
    <w:rsid w:val="00100548"/>
    <w:rsid w:val="00100D18"/>
    <w:rsid w:val="00102584"/>
    <w:rsid w:val="00102AEA"/>
    <w:rsid w:val="001118FB"/>
    <w:rsid w:val="00111F7B"/>
    <w:rsid w:val="001126D2"/>
    <w:rsid w:val="00113687"/>
    <w:rsid w:val="001139CA"/>
    <w:rsid w:val="0011512F"/>
    <w:rsid w:val="00115730"/>
    <w:rsid w:val="00116139"/>
    <w:rsid w:val="00116596"/>
    <w:rsid w:val="00116915"/>
    <w:rsid w:val="00116C87"/>
    <w:rsid w:val="00116D8D"/>
    <w:rsid w:val="00116E1C"/>
    <w:rsid w:val="00116F69"/>
    <w:rsid w:val="00117B24"/>
    <w:rsid w:val="00120EF2"/>
    <w:rsid w:val="0012598B"/>
    <w:rsid w:val="00127399"/>
    <w:rsid w:val="00130299"/>
    <w:rsid w:val="0013309E"/>
    <w:rsid w:val="00137212"/>
    <w:rsid w:val="00143E7E"/>
    <w:rsid w:val="00150AAF"/>
    <w:rsid w:val="00156E77"/>
    <w:rsid w:val="001578E1"/>
    <w:rsid w:val="00163715"/>
    <w:rsid w:val="00163CFC"/>
    <w:rsid w:val="00164E00"/>
    <w:rsid w:val="00167E1D"/>
    <w:rsid w:val="001714FB"/>
    <w:rsid w:val="001748B3"/>
    <w:rsid w:val="00177C9D"/>
    <w:rsid w:val="0018454F"/>
    <w:rsid w:val="00184AF8"/>
    <w:rsid w:val="00186472"/>
    <w:rsid w:val="001912B8"/>
    <w:rsid w:val="0019226A"/>
    <w:rsid w:val="00193139"/>
    <w:rsid w:val="0019404C"/>
    <w:rsid w:val="001945C1"/>
    <w:rsid w:val="00195BA4"/>
    <w:rsid w:val="001969A2"/>
    <w:rsid w:val="001A6905"/>
    <w:rsid w:val="001A75D8"/>
    <w:rsid w:val="001A7698"/>
    <w:rsid w:val="001B0837"/>
    <w:rsid w:val="001B27EE"/>
    <w:rsid w:val="001B2B65"/>
    <w:rsid w:val="001B7EB5"/>
    <w:rsid w:val="001C5FF7"/>
    <w:rsid w:val="001C63AF"/>
    <w:rsid w:val="001D0EBF"/>
    <w:rsid w:val="001D1387"/>
    <w:rsid w:val="001D1964"/>
    <w:rsid w:val="001D3F5D"/>
    <w:rsid w:val="001D5C5C"/>
    <w:rsid w:val="001D6053"/>
    <w:rsid w:val="001D7957"/>
    <w:rsid w:val="001E7BA2"/>
    <w:rsid w:val="001F292A"/>
    <w:rsid w:val="001F4E31"/>
    <w:rsid w:val="00200500"/>
    <w:rsid w:val="00205065"/>
    <w:rsid w:val="00206951"/>
    <w:rsid w:val="0020780D"/>
    <w:rsid w:val="00213A69"/>
    <w:rsid w:val="00214345"/>
    <w:rsid w:val="00216970"/>
    <w:rsid w:val="00216F98"/>
    <w:rsid w:val="00220CB7"/>
    <w:rsid w:val="0022143F"/>
    <w:rsid w:val="00221AA8"/>
    <w:rsid w:val="002220F2"/>
    <w:rsid w:val="00223A8C"/>
    <w:rsid w:val="00225C58"/>
    <w:rsid w:val="00230EF1"/>
    <w:rsid w:val="00231D73"/>
    <w:rsid w:val="002327BB"/>
    <w:rsid w:val="00232A0F"/>
    <w:rsid w:val="0023505A"/>
    <w:rsid w:val="002360A6"/>
    <w:rsid w:val="0024026D"/>
    <w:rsid w:val="00244025"/>
    <w:rsid w:val="00250AFA"/>
    <w:rsid w:val="00251147"/>
    <w:rsid w:val="00251E77"/>
    <w:rsid w:val="00253CDE"/>
    <w:rsid w:val="002540D4"/>
    <w:rsid w:val="00255B43"/>
    <w:rsid w:val="00257493"/>
    <w:rsid w:val="00261A6A"/>
    <w:rsid w:val="00261E05"/>
    <w:rsid w:val="00267EA6"/>
    <w:rsid w:val="002702AE"/>
    <w:rsid w:val="002704D6"/>
    <w:rsid w:val="0027427C"/>
    <w:rsid w:val="002756B3"/>
    <w:rsid w:val="00277392"/>
    <w:rsid w:val="00280E22"/>
    <w:rsid w:val="002835FF"/>
    <w:rsid w:val="00285F94"/>
    <w:rsid w:val="00286C06"/>
    <w:rsid w:val="00287958"/>
    <w:rsid w:val="0029050E"/>
    <w:rsid w:val="0029086B"/>
    <w:rsid w:val="00291415"/>
    <w:rsid w:val="002919FE"/>
    <w:rsid w:val="00292C7B"/>
    <w:rsid w:val="00294611"/>
    <w:rsid w:val="00295DA6"/>
    <w:rsid w:val="002A098E"/>
    <w:rsid w:val="002A13E0"/>
    <w:rsid w:val="002A153D"/>
    <w:rsid w:val="002A214A"/>
    <w:rsid w:val="002A4CA9"/>
    <w:rsid w:val="002A5101"/>
    <w:rsid w:val="002A7B50"/>
    <w:rsid w:val="002B0ACE"/>
    <w:rsid w:val="002B145A"/>
    <w:rsid w:val="002B283C"/>
    <w:rsid w:val="002B2C26"/>
    <w:rsid w:val="002B391F"/>
    <w:rsid w:val="002B4963"/>
    <w:rsid w:val="002B678E"/>
    <w:rsid w:val="002C0000"/>
    <w:rsid w:val="002C0934"/>
    <w:rsid w:val="002C12CA"/>
    <w:rsid w:val="002C4FBC"/>
    <w:rsid w:val="002C63BD"/>
    <w:rsid w:val="002D0C05"/>
    <w:rsid w:val="002D14B3"/>
    <w:rsid w:val="002D1BAD"/>
    <w:rsid w:val="002D2C80"/>
    <w:rsid w:val="002D35CB"/>
    <w:rsid w:val="002D366B"/>
    <w:rsid w:val="002D38E0"/>
    <w:rsid w:val="002D42FF"/>
    <w:rsid w:val="002D49A7"/>
    <w:rsid w:val="002E09A9"/>
    <w:rsid w:val="002E0A55"/>
    <w:rsid w:val="002E341C"/>
    <w:rsid w:val="002E7247"/>
    <w:rsid w:val="002E7346"/>
    <w:rsid w:val="002F007F"/>
    <w:rsid w:val="002F05F1"/>
    <w:rsid w:val="002F0D2F"/>
    <w:rsid w:val="002F11D6"/>
    <w:rsid w:val="002F28BF"/>
    <w:rsid w:val="002F3B14"/>
    <w:rsid w:val="00301B97"/>
    <w:rsid w:val="00301C9E"/>
    <w:rsid w:val="003027CE"/>
    <w:rsid w:val="00304A70"/>
    <w:rsid w:val="00305857"/>
    <w:rsid w:val="0030767C"/>
    <w:rsid w:val="00313A75"/>
    <w:rsid w:val="003154E3"/>
    <w:rsid w:val="00316DC8"/>
    <w:rsid w:val="00316EFD"/>
    <w:rsid w:val="00317B6B"/>
    <w:rsid w:val="00317DCE"/>
    <w:rsid w:val="00317EF4"/>
    <w:rsid w:val="00321B7F"/>
    <w:rsid w:val="003225BC"/>
    <w:rsid w:val="0032265E"/>
    <w:rsid w:val="00326286"/>
    <w:rsid w:val="00332C6A"/>
    <w:rsid w:val="003341BF"/>
    <w:rsid w:val="0033462C"/>
    <w:rsid w:val="003347B2"/>
    <w:rsid w:val="00336FD3"/>
    <w:rsid w:val="003378FA"/>
    <w:rsid w:val="00340FB4"/>
    <w:rsid w:val="00342FAF"/>
    <w:rsid w:val="00344047"/>
    <w:rsid w:val="0034419B"/>
    <w:rsid w:val="00345F37"/>
    <w:rsid w:val="0034623E"/>
    <w:rsid w:val="0034787E"/>
    <w:rsid w:val="00347E2F"/>
    <w:rsid w:val="00351036"/>
    <w:rsid w:val="00351350"/>
    <w:rsid w:val="0035406F"/>
    <w:rsid w:val="003554A8"/>
    <w:rsid w:val="00355BF3"/>
    <w:rsid w:val="00355DE2"/>
    <w:rsid w:val="003607F5"/>
    <w:rsid w:val="003608FF"/>
    <w:rsid w:val="003628B7"/>
    <w:rsid w:val="00363ABD"/>
    <w:rsid w:val="00365288"/>
    <w:rsid w:val="00366B9C"/>
    <w:rsid w:val="00371C24"/>
    <w:rsid w:val="0037301F"/>
    <w:rsid w:val="003746A8"/>
    <w:rsid w:val="00375518"/>
    <w:rsid w:val="00384F49"/>
    <w:rsid w:val="00385396"/>
    <w:rsid w:val="003856AB"/>
    <w:rsid w:val="00387DDF"/>
    <w:rsid w:val="00391370"/>
    <w:rsid w:val="003928A2"/>
    <w:rsid w:val="003933BA"/>
    <w:rsid w:val="003936A3"/>
    <w:rsid w:val="003944CF"/>
    <w:rsid w:val="0039525F"/>
    <w:rsid w:val="0039692F"/>
    <w:rsid w:val="003974FE"/>
    <w:rsid w:val="00397A3E"/>
    <w:rsid w:val="003A013D"/>
    <w:rsid w:val="003A2002"/>
    <w:rsid w:val="003A387E"/>
    <w:rsid w:val="003A3B4A"/>
    <w:rsid w:val="003A7033"/>
    <w:rsid w:val="003A77E7"/>
    <w:rsid w:val="003A7903"/>
    <w:rsid w:val="003A7D0B"/>
    <w:rsid w:val="003B3E1C"/>
    <w:rsid w:val="003B566D"/>
    <w:rsid w:val="003B6317"/>
    <w:rsid w:val="003B79AC"/>
    <w:rsid w:val="003C2559"/>
    <w:rsid w:val="003C32AD"/>
    <w:rsid w:val="003C35B2"/>
    <w:rsid w:val="003C36B7"/>
    <w:rsid w:val="003C5A76"/>
    <w:rsid w:val="003C716B"/>
    <w:rsid w:val="003C7EA0"/>
    <w:rsid w:val="003D283D"/>
    <w:rsid w:val="003D2FD7"/>
    <w:rsid w:val="003D4A11"/>
    <w:rsid w:val="003D603B"/>
    <w:rsid w:val="003D7BD9"/>
    <w:rsid w:val="003E3B5F"/>
    <w:rsid w:val="003E41FF"/>
    <w:rsid w:val="003F01DA"/>
    <w:rsid w:val="003F544A"/>
    <w:rsid w:val="003F6686"/>
    <w:rsid w:val="003F771F"/>
    <w:rsid w:val="00400501"/>
    <w:rsid w:val="00400C66"/>
    <w:rsid w:val="00400C9C"/>
    <w:rsid w:val="00410A7C"/>
    <w:rsid w:val="00411FD7"/>
    <w:rsid w:val="00413030"/>
    <w:rsid w:val="00413F00"/>
    <w:rsid w:val="004146BA"/>
    <w:rsid w:val="00415D19"/>
    <w:rsid w:val="004231B2"/>
    <w:rsid w:val="0042532F"/>
    <w:rsid w:val="004302BD"/>
    <w:rsid w:val="0043077D"/>
    <w:rsid w:val="00433A59"/>
    <w:rsid w:val="00436573"/>
    <w:rsid w:val="004367A0"/>
    <w:rsid w:val="004369BF"/>
    <w:rsid w:val="00436EC7"/>
    <w:rsid w:val="00437046"/>
    <w:rsid w:val="00437D90"/>
    <w:rsid w:val="00440109"/>
    <w:rsid w:val="00445414"/>
    <w:rsid w:val="00445E5D"/>
    <w:rsid w:val="00450E1F"/>
    <w:rsid w:val="0045193A"/>
    <w:rsid w:val="00452E39"/>
    <w:rsid w:val="004530D6"/>
    <w:rsid w:val="00453B24"/>
    <w:rsid w:val="0045522E"/>
    <w:rsid w:val="0045624A"/>
    <w:rsid w:val="00456B3D"/>
    <w:rsid w:val="00457156"/>
    <w:rsid w:val="004579F0"/>
    <w:rsid w:val="00460A1E"/>
    <w:rsid w:val="00464030"/>
    <w:rsid w:val="00467904"/>
    <w:rsid w:val="00470530"/>
    <w:rsid w:val="004705C4"/>
    <w:rsid w:val="00470E2C"/>
    <w:rsid w:val="00472C34"/>
    <w:rsid w:val="00473AE4"/>
    <w:rsid w:val="00474F7A"/>
    <w:rsid w:val="00475381"/>
    <w:rsid w:val="004769B5"/>
    <w:rsid w:val="00480ED2"/>
    <w:rsid w:val="00482911"/>
    <w:rsid w:val="00483CD3"/>
    <w:rsid w:val="004875C6"/>
    <w:rsid w:val="00487D0A"/>
    <w:rsid w:val="0049008B"/>
    <w:rsid w:val="004940FA"/>
    <w:rsid w:val="0049576B"/>
    <w:rsid w:val="004A1089"/>
    <w:rsid w:val="004A1A37"/>
    <w:rsid w:val="004A2328"/>
    <w:rsid w:val="004A48BF"/>
    <w:rsid w:val="004A4FFB"/>
    <w:rsid w:val="004A5871"/>
    <w:rsid w:val="004A5FF4"/>
    <w:rsid w:val="004A6E07"/>
    <w:rsid w:val="004B10E6"/>
    <w:rsid w:val="004B1D69"/>
    <w:rsid w:val="004B21A5"/>
    <w:rsid w:val="004B30CD"/>
    <w:rsid w:val="004B7871"/>
    <w:rsid w:val="004C61A0"/>
    <w:rsid w:val="004C6DCB"/>
    <w:rsid w:val="004C7E60"/>
    <w:rsid w:val="004D0FC5"/>
    <w:rsid w:val="004D124C"/>
    <w:rsid w:val="004D17B4"/>
    <w:rsid w:val="004D182C"/>
    <w:rsid w:val="004D1B67"/>
    <w:rsid w:val="004D4CA0"/>
    <w:rsid w:val="004E1052"/>
    <w:rsid w:val="004E38D2"/>
    <w:rsid w:val="004E460F"/>
    <w:rsid w:val="004E4CEB"/>
    <w:rsid w:val="004E5C36"/>
    <w:rsid w:val="004E6347"/>
    <w:rsid w:val="004F02BD"/>
    <w:rsid w:val="004F0815"/>
    <w:rsid w:val="004F3FA3"/>
    <w:rsid w:val="004F5616"/>
    <w:rsid w:val="00502937"/>
    <w:rsid w:val="00503F11"/>
    <w:rsid w:val="005052A6"/>
    <w:rsid w:val="00505C09"/>
    <w:rsid w:val="00506047"/>
    <w:rsid w:val="005067EC"/>
    <w:rsid w:val="005077ED"/>
    <w:rsid w:val="00510ADE"/>
    <w:rsid w:val="005113EF"/>
    <w:rsid w:val="005137DC"/>
    <w:rsid w:val="00514968"/>
    <w:rsid w:val="00517D8F"/>
    <w:rsid w:val="005201ED"/>
    <w:rsid w:val="00520FCA"/>
    <w:rsid w:val="0052223A"/>
    <w:rsid w:val="005257EA"/>
    <w:rsid w:val="0052665F"/>
    <w:rsid w:val="00527543"/>
    <w:rsid w:val="00530DB0"/>
    <w:rsid w:val="00531C91"/>
    <w:rsid w:val="0053292F"/>
    <w:rsid w:val="00533C7F"/>
    <w:rsid w:val="0053459F"/>
    <w:rsid w:val="0053642A"/>
    <w:rsid w:val="005368CD"/>
    <w:rsid w:val="00537267"/>
    <w:rsid w:val="00537E67"/>
    <w:rsid w:val="00541C5B"/>
    <w:rsid w:val="00543CCE"/>
    <w:rsid w:val="00546CFD"/>
    <w:rsid w:val="00547A9E"/>
    <w:rsid w:val="00552919"/>
    <w:rsid w:val="005547B5"/>
    <w:rsid w:val="00557366"/>
    <w:rsid w:val="00561E94"/>
    <w:rsid w:val="00562712"/>
    <w:rsid w:val="00563F90"/>
    <w:rsid w:val="00563F94"/>
    <w:rsid w:val="00566142"/>
    <w:rsid w:val="00566986"/>
    <w:rsid w:val="00570157"/>
    <w:rsid w:val="00572D35"/>
    <w:rsid w:val="00573BFD"/>
    <w:rsid w:val="00575095"/>
    <w:rsid w:val="00577355"/>
    <w:rsid w:val="00577A65"/>
    <w:rsid w:val="00577EA2"/>
    <w:rsid w:val="00582F18"/>
    <w:rsid w:val="00584A8A"/>
    <w:rsid w:val="00585BA4"/>
    <w:rsid w:val="00587726"/>
    <w:rsid w:val="00591F7B"/>
    <w:rsid w:val="00594982"/>
    <w:rsid w:val="005956F4"/>
    <w:rsid w:val="005A595E"/>
    <w:rsid w:val="005A62A3"/>
    <w:rsid w:val="005A6C90"/>
    <w:rsid w:val="005A7288"/>
    <w:rsid w:val="005B5640"/>
    <w:rsid w:val="005C0103"/>
    <w:rsid w:val="005C0A29"/>
    <w:rsid w:val="005C18D7"/>
    <w:rsid w:val="005C5989"/>
    <w:rsid w:val="005C5DEF"/>
    <w:rsid w:val="005C7936"/>
    <w:rsid w:val="005D1167"/>
    <w:rsid w:val="005D2D12"/>
    <w:rsid w:val="005D3C37"/>
    <w:rsid w:val="005D5158"/>
    <w:rsid w:val="005D5AB2"/>
    <w:rsid w:val="005E1678"/>
    <w:rsid w:val="005E2DA3"/>
    <w:rsid w:val="005E3869"/>
    <w:rsid w:val="005F1462"/>
    <w:rsid w:val="005F2DFE"/>
    <w:rsid w:val="005F2FC7"/>
    <w:rsid w:val="0060020C"/>
    <w:rsid w:val="00600A6C"/>
    <w:rsid w:val="00600C82"/>
    <w:rsid w:val="00601288"/>
    <w:rsid w:val="00601A79"/>
    <w:rsid w:val="00602BBD"/>
    <w:rsid w:val="006038D6"/>
    <w:rsid w:val="006065BA"/>
    <w:rsid w:val="00606EB0"/>
    <w:rsid w:val="0062106D"/>
    <w:rsid w:val="00623FC4"/>
    <w:rsid w:val="00624BA9"/>
    <w:rsid w:val="006252A3"/>
    <w:rsid w:val="00625753"/>
    <w:rsid w:val="00634560"/>
    <w:rsid w:val="00634D20"/>
    <w:rsid w:val="00637A64"/>
    <w:rsid w:val="006410D5"/>
    <w:rsid w:val="00641A84"/>
    <w:rsid w:val="00642279"/>
    <w:rsid w:val="00643C32"/>
    <w:rsid w:val="00644647"/>
    <w:rsid w:val="00646249"/>
    <w:rsid w:val="006513F9"/>
    <w:rsid w:val="00652BF4"/>
    <w:rsid w:val="006544D7"/>
    <w:rsid w:val="00655519"/>
    <w:rsid w:val="00656E19"/>
    <w:rsid w:val="00660470"/>
    <w:rsid w:val="006607C2"/>
    <w:rsid w:val="00660DA8"/>
    <w:rsid w:val="00666019"/>
    <w:rsid w:val="006665F6"/>
    <w:rsid w:val="00666C4E"/>
    <w:rsid w:val="00670A31"/>
    <w:rsid w:val="00673C86"/>
    <w:rsid w:val="00675911"/>
    <w:rsid w:val="00675A02"/>
    <w:rsid w:val="00675A07"/>
    <w:rsid w:val="00677B82"/>
    <w:rsid w:val="00680177"/>
    <w:rsid w:val="00685B26"/>
    <w:rsid w:val="00686CA8"/>
    <w:rsid w:val="00686FF0"/>
    <w:rsid w:val="0069551B"/>
    <w:rsid w:val="006979FD"/>
    <w:rsid w:val="00697D56"/>
    <w:rsid w:val="006A026B"/>
    <w:rsid w:val="006A2CC3"/>
    <w:rsid w:val="006A408A"/>
    <w:rsid w:val="006B0595"/>
    <w:rsid w:val="006B144E"/>
    <w:rsid w:val="006B3D6A"/>
    <w:rsid w:val="006B543C"/>
    <w:rsid w:val="006B660F"/>
    <w:rsid w:val="006B7593"/>
    <w:rsid w:val="006C0C17"/>
    <w:rsid w:val="006C3299"/>
    <w:rsid w:val="006C38B0"/>
    <w:rsid w:val="006C4150"/>
    <w:rsid w:val="006C4BAF"/>
    <w:rsid w:val="006C66A3"/>
    <w:rsid w:val="006D1435"/>
    <w:rsid w:val="006D3465"/>
    <w:rsid w:val="006D42A8"/>
    <w:rsid w:val="006D53BF"/>
    <w:rsid w:val="006D549C"/>
    <w:rsid w:val="006D5F9C"/>
    <w:rsid w:val="006D614F"/>
    <w:rsid w:val="006D6A6A"/>
    <w:rsid w:val="006E10BF"/>
    <w:rsid w:val="006E14C3"/>
    <w:rsid w:val="006E1AF0"/>
    <w:rsid w:val="006E2059"/>
    <w:rsid w:val="006E2D61"/>
    <w:rsid w:val="006E2FD4"/>
    <w:rsid w:val="006E308D"/>
    <w:rsid w:val="006E549C"/>
    <w:rsid w:val="006E580A"/>
    <w:rsid w:val="006E6111"/>
    <w:rsid w:val="006E614B"/>
    <w:rsid w:val="006E69E9"/>
    <w:rsid w:val="006E7345"/>
    <w:rsid w:val="006F0CF5"/>
    <w:rsid w:val="006F25C8"/>
    <w:rsid w:val="006F2C07"/>
    <w:rsid w:val="006F4EA4"/>
    <w:rsid w:val="006F6418"/>
    <w:rsid w:val="006F6FCD"/>
    <w:rsid w:val="006F77C7"/>
    <w:rsid w:val="00700784"/>
    <w:rsid w:val="007015B7"/>
    <w:rsid w:val="00702710"/>
    <w:rsid w:val="0070336B"/>
    <w:rsid w:val="00703F19"/>
    <w:rsid w:val="0070645A"/>
    <w:rsid w:val="00706A98"/>
    <w:rsid w:val="00706B4A"/>
    <w:rsid w:val="007104CB"/>
    <w:rsid w:val="00710C69"/>
    <w:rsid w:val="007110D6"/>
    <w:rsid w:val="00715817"/>
    <w:rsid w:val="00725299"/>
    <w:rsid w:val="00725725"/>
    <w:rsid w:val="007270C6"/>
    <w:rsid w:val="00727852"/>
    <w:rsid w:val="00730335"/>
    <w:rsid w:val="00731494"/>
    <w:rsid w:val="00732987"/>
    <w:rsid w:val="00735AB0"/>
    <w:rsid w:val="007364EB"/>
    <w:rsid w:val="007404B5"/>
    <w:rsid w:val="00740AC7"/>
    <w:rsid w:val="007417C7"/>
    <w:rsid w:val="00743890"/>
    <w:rsid w:val="00743C77"/>
    <w:rsid w:val="0074761F"/>
    <w:rsid w:val="00751E66"/>
    <w:rsid w:val="00753E98"/>
    <w:rsid w:val="00754EA1"/>
    <w:rsid w:val="007570F3"/>
    <w:rsid w:val="00757F4C"/>
    <w:rsid w:val="00760F86"/>
    <w:rsid w:val="00762422"/>
    <w:rsid w:val="0077049A"/>
    <w:rsid w:val="0077058B"/>
    <w:rsid w:val="007716E0"/>
    <w:rsid w:val="00771F72"/>
    <w:rsid w:val="00773565"/>
    <w:rsid w:val="007749AD"/>
    <w:rsid w:val="007767BC"/>
    <w:rsid w:val="007847E5"/>
    <w:rsid w:val="00784E1C"/>
    <w:rsid w:val="00791A60"/>
    <w:rsid w:val="00792F0D"/>
    <w:rsid w:val="00793057"/>
    <w:rsid w:val="007941FA"/>
    <w:rsid w:val="007949F0"/>
    <w:rsid w:val="00797EFD"/>
    <w:rsid w:val="007A2CDA"/>
    <w:rsid w:val="007A3E3B"/>
    <w:rsid w:val="007A3FA8"/>
    <w:rsid w:val="007A50D3"/>
    <w:rsid w:val="007B1184"/>
    <w:rsid w:val="007B3489"/>
    <w:rsid w:val="007B36F5"/>
    <w:rsid w:val="007B54A9"/>
    <w:rsid w:val="007B5BC3"/>
    <w:rsid w:val="007B5E23"/>
    <w:rsid w:val="007B7FFC"/>
    <w:rsid w:val="007C01E7"/>
    <w:rsid w:val="007C0965"/>
    <w:rsid w:val="007C1885"/>
    <w:rsid w:val="007C2B97"/>
    <w:rsid w:val="007C43F6"/>
    <w:rsid w:val="007C46D1"/>
    <w:rsid w:val="007C7D11"/>
    <w:rsid w:val="007D0DA6"/>
    <w:rsid w:val="007D255D"/>
    <w:rsid w:val="007D3775"/>
    <w:rsid w:val="007D54CD"/>
    <w:rsid w:val="007E13DD"/>
    <w:rsid w:val="007E2F16"/>
    <w:rsid w:val="007E3637"/>
    <w:rsid w:val="007E441A"/>
    <w:rsid w:val="007E6A2C"/>
    <w:rsid w:val="007E78F6"/>
    <w:rsid w:val="007F2754"/>
    <w:rsid w:val="007F34C7"/>
    <w:rsid w:val="007F524B"/>
    <w:rsid w:val="007F5818"/>
    <w:rsid w:val="007F61CB"/>
    <w:rsid w:val="007F7F30"/>
    <w:rsid w:val="00801A92"/>
    <w:rsid w:val="0080363C"/>
    <w:rsid w:val="0080395B"/>
    <w:rsid w:val="00803EA8"/>
    <w:rsid w:val="0080744A"/>
    <w:rsid w:val="00807CB0"/>
    <w:rsid w:val="00807F00"/>
    <w:rsid w:val="008125DE"/>
    <w:rsid w:val="008172DA"/>
    <w:rsid w:val="0082143C"/>
    <w:rsid w:val="00821E16"/>
    <w:rsid w:val="00823D0F"/>
    <w:rsid w:val="008270FD"/>
    <w:rsid w:val="008317B7"/>
    <w:rsid w:val="00834173"/>
    <w:rsid w:val="00834F31"/>
    <w:rsid w:val="00836AE4"/>
    <w:rsid w:val="0083752F"/>
    <w:rsid w:val="008406C7"/>
    <w:rsid w:val="00842981"/>
    <w:rsid w:val="008507C3"/>
    <w:rsid w:val="00853944"/>
    <w:rsid w:val="008558D8"/>
    <w:rsid w:val="00857824"/>
    <w:rsid w:val="008602B5"/>
    <w:rsid w:val="00860539"/>
    <w:rsid w:val="00860DF6"/>
    <w:rsid w:val="00861351"/>
    <w:rsid w:val="00862EF5"/>
    <w:rsid w:val="00863272"/>
    <w:rsid w:val="0086449E"/>
    <w:rsid w:val="00865240"/>
    <w:rsid w:val="008676FC"/>
    <w:rsid w:val="00867D07"/>
    <w:rsid w:val="0087428B"/>
    <w:rsid w:val="00874E82"/>
    <w:rsid w:val="008813FF"/>
    <w:rsid w:val="00884379"/>
    <w:rsid w:val="00884EE2"/>
    <w:rsid w:val="0088688F"/>
    <w:rsid w:val="0088726B"/>
    <w:rsid w:val="00890BAE"/>
    <w:rsid w:val="008910A6"/>
    <w:rsid w:val="008919F3"/>
    <w:rsid w:val="00893610"/>
    <w:rsid w:val="0089462A"/>
    <w:rsid w:val="00895257"/>
    <w:rsid w:val="008957D3"/>
    <w:rsid w:val="00896248"/>
    <w:rsid w:val="008964A3"/>
    <w:rsid w:val="008A29F8"/>
    <w:rsid w:val="008A5BBE"/>
    <w:rsid w:val="008A7027"/>
    <w:rsid w:val="008A7BB9"/>
    <w:rsid w:val="008B367A"/>
    <w:rsid w:val="008B38AB"/>
    <w:rsid w:val="008B4C7A"/>
    <w:rsid w:val="008B618D"/>
    <w:rsid w:val="008B7FAB"/>
    <w:rsid w:val="008C0783"/>
    <w:rsid w:val="008C2BD5"/>
    <w:rsid w:val="008C357E"/>
    <w:rsid w:val="008C665E"/>
    <w:rsid w:val="008C7BC7"/>
    <w:rsid w:val="008D592D"/>
    <w:rsid w:val="008D6182"/>
    <w:rsid w:val="008D6677"/>
    <w:rsid w:val="008D7F12"/>
    <w:rsid w:val="008E0BF1"/>
    <w:rsid w:val="008E4C85"/>
    <w:rsid w:val="008E595C"/>
    <w:rsid w:val="008E7A05"/>
    <w:rsid w:val="008F156C"/>
    <w:rsid w:val="008F26DD"/>
    <w:rsid w:val="0090074E"/>
    <w:rsid w:val="00902E55"/>
    <w:rsid w:val="0090562C"/>
    <w:rsid w:val="0090629F"/>
    <w:rsid w:val="00907BAF"/>
    <w:rsid w:val="00910533"/>
    <w:rsid w:val="00913153"/>
    <w:rsid w:val="00913751"/>
    <w:rsid w:val="00914F54"/>
    <w:rsid w:val="00917563"/>
    <w:rsid w:val="009216D7"/>
    <w:rsid w:val="00921CAF"/>
    <w:rsid w:val="009248CC"/>
    <w:rsid w:val="00924D9B"/>
    <w:rsid w:val="0092535D"/>
    <w:rsid w:val="009307F4"/>
    <w:rsid w:val="00930F6A"/>
    <w:rsid w:val="00931881"/>
    <w:rsid w:val="00932701"/>
    <w:rsid w:val="00932ACD"/>
    <w:rsid w:val="00932DD8"/>
    <w:rsid w:val="0093315B"/>
    <w:rsid w:val="0093378F"/>
    <w:rsid w:val="00933CE9"/>
    <w:rsid w:val="00934775"/>
    <w:rsid w:val="009352B1"/>
    <w:rsid w:val="00936207"/>
    <w:rsid w:val="009372BB"/>
    <w:rsid w:val="00940191"/>
    <w:rsid w:val="00940494"/>
    <w:rsid w:val="00940903"/>
    <w:rsid w:val="00940BDF"/>
    <w:rsid w:val="009427A5"/>
    <w:rsid w:val="009431DF"/>
    <w:rsid w:val="00945226"/>
    <w:rsid w:val="0094629F"/>
    <w:rsid w:val="0094733A"/>
    <w:rsid w:val="00950211"/>
    <w:rsid w:val="00950A48"/>
    <w:rsid w:val="00951125"/>
    <w:rsid w:val="00952E6E"/>
    <w:rsid w:val="009544EA"/>
    <w:rsid w:val="00957696"/>
    <w:rsid w:val="00957AC4"/>
    <w:rsid w:val="00957EAB"/>
    <w:rsid w:val="00960E12"/>
    <w:rsid w:val="009618B1"/>
    <w:rsid w:val="00962B9C"/>
    <w:rsid w:val="009650E0"/>
    <w:rsid w:val="009677A7"/>
    <w:rsid w:val="009706B0"/>
    <w:rsid w:val="009708A0"/>
    <w:rsid w:val="009717B5"/>
    <w:rsid w:val="00973F9E"/>
    <w:rsid w:val="00975ACF"/>
    <w:rsid w:val="009773CC"/>
    <w:rsid w:val="00980A83"/>
    <w:rsid w:val="00981D5E"/>
    <w:rsid w:val="0098211E"/>
    <w:rsid w:val="009824DA"/>
    <w:rsid w:val="00984865"/>
    <w:rsid w:val="00986C5C"/>
    <w:rsid w:val="00986D36"/>
    <w:rsid w:val="009940E2"/>
    <w:rsid w:val="00994A35"/>
    <w:rsid w:val="00994B0C"/>
    <w:rsid w:val="00997954"/>
    <w:rsid w:val="009A0402"/>
    <w:rsid w:val="009A0F25"/>
    <w:rsid w:val="009A535A"/>
    <w:rsid w:val="009A6573"/>
    <w:rsid w:val="009B029F"/>
    <w:rsid w:val="009B03C5"/>
    <w:rsid w:val="009B14C4"/>
    <w:rsid w:val="009B30E5"/>
    <w:rsid w:val="009B38E3"/>
    <w:rsid w:val="009B642C"/>
    <w:rsid w:val="009B64A5"/>
    <w:rsid w:val="009C12C8"/>
    <w:rsid w:val="009C320C"/>
    <w:rsid w:val="009C4C34"/>
    <w:rsid w:val="009C4C38"/>
    <w:rsid w:val="009C578C"/>
    <w:rsid w:val="009D4B6E"/>
    <w:rsid w:val="009E1E13"/>
    <w:rsid w:val="009E34D4"/>
    <w:rsid w:val="009E45DF"/>
    <w:rsid w:val="009E4CCD"/>
    <w:rsid w:val="009E4FEC"/>
    <w:rsid w:val="009E7652"/>
    <w:rsid w:val="009F078B"/>
    <w:rsid w:val="009F2800"/>
    <w:rsid w:val="009F3D08"/>
    <w:rsid w:val="009F3E3C"/>
    <w:rsid w:val="009F4201"/>
    <w:rsid w:val="009F7AB0"/>
    <w:rsid w:val="00A00A2C"/>
    <w:rsid w:val="00A02678"/>
    <w:rsid w:val="00A047E8"/>
    <w:rsid w:val="00A06F91"/>
    <w:rsid w:val="00A07D6A"/>
    <w:rsid w:val="00A07FB1"/>
    <w:rsid w:val="00A1077F"/>
    <w:rsid w:val="00A117D5"/>
    <w:rsid w:val="00A11888"/>
    <w:rsid w:val="00A12D9B"/>
    <w:rsid w:val="00A12F03"/>
    <w:rsid w:val="00A13835"/>
    <w:rsid w:val="00A14A36"/>
    <w:rsid w:val="00A163DC"/>
    <w:rsid w:val="00A20C7E"/>
    <w:rsid w:val="00A225B9"/>
    <w:rsid w:val="00A2458F"/>
    <w:rsid w:val="00A30769"/>
    <w:rsid w:val="00A311C8"/>
    <w:rsid w:val="00A32586"/>
    <w:rsid w:val="00A334AA"/>
    <w:rsid w:val="00A35795"/>
    <w:rsid w:val="00A36821"/>
    <w:rsid w:val="00A373B9"/>
    <w:rsid w:val="00A378FE"/>
    <w:rsid w:val="00A37B2D"/>
    <w:rsid w:val="00A37E00"/>
    <w:rsid w:val="00A409A2"/>
    <w:rsid w:val="00A42AA3"/>
    <w:rsid w:val="00A434D4"/>
    <w:rsid w:val="00A43A6C"/>
    <w:rsid w:val="00A445F9"/>
    <w:rsid w:val="00A452B7"/>
    <w:rsid w:val="00A45986"/>
    <w:rsid w:val="00A46098"/>
    <w:rsid w:val="00A46F4B"/>
    <w:rsid w:val="00A504BD"/>
    <w:rsid w:val="00A53171"/>
    <w:rsid w:val="00A53714"/>
    <w:rsid w:val="00A55E5D"/>
    <w:rsid w:val="00A5611A"/>
    <w:rsid w:val="00A56F37"/>
    <w:rsid w:val="00A57D4F"/>
    <w:rsid w:val="00A6080F"/>
    <w:rsid w:val="00A623D7"/>
    <w:rsid w:val="00A625B7"/>
    <w:rsid w:val="00A66F1B"/>
    <w:rsid w:val="00A73161"/>
    <w:rsid w:val="00A735B7"/>
    <w:rsid w:val="00A739B5"/>
    <w:rsid w:val="00A74EE3"/>
    <w:rsid w:val="00A76637"/>
    <w:rsid w:val="00A80651"/>
    <w:rsid w:val="00A84A1B"/>
    <w:rsid w:val="00A853E8"/>
    <w:rsid w:val="00A85E0B"/>
    <w:rsid w:val="00A86ACE"/>
    <w:rsid w:val="00A87A1D"/>
    <w:rsid w:val="00A92725"/>
    <w:rsid w:val="00A96261"/>
    <w:rsid w:val="00A97CEA"/>
    <w:rsid w:val="00AA2890"/>
    <w:rsid w:val="00AA3A5B"/>
    <w:rsid w:val="00AA4E5F"/>
    <w:rsid w:val="00AA539A"/>
    <w:rsid w:val="00AA6ACF"/>
    <w:rsid w:val="00AB31F6"/>
    <w:rsid w:val="00AB6ABE"/>
    <w:rsid w:val="00AB7204"/>
    <w:rsid w:val="00AB7545"/>
    <w:rsid w:val="00AC2536"/>
    <w:rsid w:val="00AC2E61"/>
    <w:rsid w:val="00AC3FB3"/>
    <w:rsid w:val="00AC5777"/>
    <w:rsid w:val="00AC6DAB"/>
    <w:rsid w:val="00AC76C0"/>
    <w:rsid w:val="00AD1D4B"/>
    <w:rsid w:val="00AD471E"/>
    <w:rsid w:val="00AD675A"/>
    <w:rsid w:val="00AE0258"/>
    <w:rsid w:val="00AE18B5"/>
    <w:rsid w:val="00AF3866"/>
    <w:rsid w:val="00AF761B"/>
    <w:rsid w:val="00B00BE4"/>
    <w:rsid w:val="00B00C20"/>
    <w:rsid w:val="00B018E1"/>
    <w:rsid w:val="00B0238A"/>
    <w:rsid w:val="00B07C1F"/>
    <w:rsid w:val="00B12C94"/>
    <w:rsid w:val="00B12CB5"/>
    <w:rsid w:val="00B149A4"/>
    <w:rsid w:val="00B16952"/>
    <w:rsid w:val="00B208FA"/>
    <w:rsid w:val="00B21198"/>
    <w:rsid w:val="00B22B7B"/>
    <w:rsid w:val="00B232C5"/>
    <w:rsid w:val="00B23534"/>
    <w:rsid w:val="00B256CD"/>
    <w:rsid w:val="00B25EEC"/>
    <w:rsid w:val="00B27BB5"/>
    <w:rsid w:val="00B358A7"/>
    <w:rsid w:val="00B366B2"/>
    <w:rsid w:val="00B3767B"/>
    <w:rsid w:val="00B41C27"/>
    <w:rsid w:val="00B42817"/>
    <w:rsid w:val="00B43B87"/>
    <w:rsid w:val="00B47483"/>
    <w:rsid w:val="00B504BC"/>
    <w:rsid w:val="00B50A32"/>
    <w:rsid w:val="00B52FEA"/>
    <w:rsid w:val="00B532DE"/>
    <w:rsid w:val="00B53C9C"/>
    <w:rsid w:val="00B5611F"/>
    <w:rsid w:val="00B56D80"/>
    <w:rsid w:val="00B61AA6"/>
    <w:rsid w:val="00B61F75"/>
    <w:rsid w:val="00B638A9"/>
    <w:rsid w:val="00B6404F"/>
    <w:rsid w:val="00B711FB"/>
    <w:rsid w:val="00B73C35"/>
    <w:rsid w:val="00B75667"/>
    <w:rsid w:val="00B766CB"/>
    <w:rsid w:val="00B775B7"/>
    <w:rsid w:val="00B7761C"/>
    <w:rsid w:val="00B77EF2"/>
    <w:rsid w:val="00B8060C"/>
    <w:rsid w:val="00B81FCB"/>
    <w:rsid w:val="00B83545"/>
    <w:rsid w:val="00B8499F"/>
    <w:rsid w:val="00B8530C"/>
    <w:rsid w:val="00B8552D"/>
    <w:rsid w:val="00B87337"/>
    <w:rsid w:val="00B90043"/>
    <w:rsid w:val="00B90F3E"/>
    <w:rsid w:val="00B91C90"/>
    <w:rsid w:val="00B93665"/>
    <w:rsid w:val="00B9384C"/>
    <w:rsid w:val="00B93F3C"/>
    <w:rsid w:val="00B95DCB"/>
    <w:rsid w:val="00BA0469"/>
    <w:rsid w:val="00BA0674"/>
    <w:rsid w:val="00BA1FEA"/>
    <w:rsid w:val="00BA2175"/>
    <w:rsid w:val="00BA3AE9"/>
    <w:rsid w:val="00BA46DB"/>
    <w:rsid w:val="00BA6CFD"/>
    <w:rsid w:val="00BA7091"/>
    <w:rsid w:val="00BA725F"/>
    <w:rsid w:val="00BA7474"/>
    <w:rsid w:val="00BA7552"/>
    <w:rsid w:val="00BB4B08"/>
    <w:rsid w:val="00BB5727"/>
    <w:rsid w:val="00BB67E2"/>
    <w:rsid w:val="00BB6E84"/>
    <w:rsid w:val="00BC18CF"/>
    <w:rsid w:val="00BC32F6"/>
    <w:rsid w:val="00BC5154"/>
    <w:rsid w:val="00BC5B45"/>
    <w:rsid w:val="00BC7603"/>
    <w:rsid w:val="00BD0894"/>
    <w:rsid w:val="00BD3134"/>
    <w:rsid w:val="00BD31B4"/>
    <w:rsid w:val="00BD3392"/>
    <w:rsid w:val="00BD683D"/>
    <w:rsid w:val="00BE03FE"/>
    <w:rsid w:val="00BE1FF3"/>
    <w:rsid w:val="00BE2CE5"/>
    <w:rsid w:val="00BE356B"/>
    <w:rsid w:val="00BE41B1"/>
    <w:rsid w:val="00BE4F15"/>
    <w:rsid w:val="00BE5A1F"/>
    <w:rsid w:val="00BF04FD"/>
    <w:rsid w:val="00BF6193"/>
    <w:rsid w:val="00BF7B83"/>
    <w:rsid w:val="00BF7FAC"/>
    <w:rsid w:val="00C00D42"/>
    <w:rsid w:val="00C0279B"/>
    <w:rsid w:val="00C0280B"/>
    <w:rsid w:val="00C02F50"/>
    <w:rsid w:val="00C05151"/>
    <w:rsid w:val="00C05578"/>
    <w:rsid w:val="00C05CE3"/>
    <w:rsid w:val="00C10B64"/>
    <w:rsid w:val="00C11C6D"/>
    <w:rsid w:val="00C20502"/>
    <w:rsid w:val="00C2155D"/>
    <w:rsid w:val="00C220C3"/>
    <w:rsid w:val="00C22CFC"/>
    <w:rsid w:val="00C24D53"/>
    <w:rsid w:val="00C27B6E"/>
    <w:rsid w:val="00C27F00"/>
    <w:rsid w:val="00C30C44"/>
    <w:rsid w:val="00C321A8"/>
    <w:rsid w:val="00C337D4"/>
    <w:rsid w:val="00C3436A"/>
    <w:rsid w:val="00C35BCC"/>
    <w:rsid w:val="00C40CC9"/>
    <w:rsid w:val="00C4420C"/>
    <w:rsid w:val="00C446CF"/>
    <w:rsid w:val="00C47228"/>
    <w:rsid w:val="00C505CD"/>
    <w:rsid w:val="00C5084B"/>
    <w:rsid w:val="00C508CF"/>
    <w:rsid w:val="00C512C6"/>
    <w:rsid w:val="00C516A6"/>
    <w:rsid w:val="00C52D1C"/>
    <w:rsid w:val="00C57A06"/>
    <w:rsid w:val="00C60AEF"/>
    <w:rsid w:val="00C63C28"/>
    <w:rsid w:val="00C647AC"/>
    <w:rsid w:val="00C65F9B"/>
    <w:rsid w:val="00C6748E"/>
    <w:rsid w:val="00C70283"/>
    <w:rsid w:val="00C71027"/>
    <w:rsid w:val="00C71745"/>
    <w:rsid w:val="00C74F3D"/>
    <w:rsid w:val="00C76C4D"/>
    <w:rsid w:val="00C80F90"/>
    <w:rsid w:val="00C82643"/>
    <w:rsid w:val="00C82A87"/>
    <w:rsid w:val="00C8336C"/>
    <w:rsid w:val="00C8428B"/>
    <w:rsid w:val="00C87BFE"/>
    <w:rsid w:val="00C90653"/>
    <w:rsid w:val="00C941BC"/>
    <w:rsid w:val="00C9592D"/>
    <w:rsid w:val="00C9649C"/>
    <w:rsid w:val="00CA0E03"/>
    <w:rsid w:val="00CA1CD1"/>
    <w:rsid w:val="00CA2558"/>
    <w:rsid w:val="00CA46C3"/>
    <w:rsid w:val="00CA4A0A"/>
    <w:rsid w:val="00CA6DC3"/>
    <w:rsid w:val="00CB17E7"/>
    <w:rsid w:val="00CB1AB5"/>
    <w:rsid w:val="00CB36B9"/>
    <w:rsid w:val="00CB5037"/>
    <w:rsid w:val="00CC0894"/>
    <w:rsid w:val="00CC0CB6"/>
    <w:rsid w:val="00CC16A6"/>
    <w:rsid w:val="00CC1FA9"/>
    <w:rsid w:val="00CC7A1A"/>
    <w:rsid w:val="00CD279F"/>
    <w:rsid w:val="00CD528E"/>
    <w:rsid w:val="00CD7003"/>
    <w:rsid w:val="00CE0BB5"/>
    <w:rsid w:val="00CE2FFE"/>
    <w:rsid w:val="00CE37D9"/>
    <w:rsid w:val="00CE45C4"/>
    <w:rsid w:val="00CE7E7E"/>
    <w:rsid w:val="00CF0B34"/>
    <w:rsid w:val="00CF0EA5"/>
    <w:rsid w:val="00CF0F1A"/>
    <w:rsid w:val="00CF13B8"/>
    <w:rsid w:val="00CF2806"/>
    <w:rsid w:val="00CF4C55"/>
    <w:rsid w:val="00D01034"/>
    <w:rsid w:val="00D02166"/>
    <w:rsid w:val="00D04B27"/>
    <w:rsid w:val="00D0681D"/>
    <w:rsid w:val="00D101DB"/>
    <w:rsid w:val="00D10D29"/>
    <w:rsid w:val="00D11AB7"/>
    <w:rsid w:val="00D12A1A"/>
    <w:rsid w:val="00D12A35"/>
    <w:rsid w:val="00D13588"/>
    <w:rsid w:val="00D1670C"/>
    <w:rsid w:val="00D177F5"/>
    <w:rsid w:val="00D21529"/>
    <w:rsid w:val="00D217D8"/>
    <w:rsid w:val="00D2346E"/>
    <w:rsid w:val="00D26D11"/>
    <w:rsid w:val="00D26D21"/>
    <w:rsid w:val="00D27A28"/>
    <w:rsid w:val="00D27E0C"/>
    <w:rsid w:val="00D32626"/>
    <w:rsid w:val="00D32FB0"/>
    <w:rsid w:val="00D338A8"/>
    <w:rsid w:val="00D360B4"/>
    <w:rsid w:val="00D36637"/>
    <w:rsid w:val="00D36744"/>
    <w:rsid w:val="00D372CC"/>
    <w:rsid w:val="00D4149B"/>
    <w:rsid w:val="00D4391F"/>
    <w:rsid w:val="00D4483F"/>
    <w:rsid w:val="00D44B3D"/>
    <w:rsid w:val="00D47280"/>
    <w:rsid w:val="00D522B2"/>
    <w:rsid w:val="00D53138"/>
    <w:rsid w:val="00D574E4"/>
    <w:rsid w:val="00D57A86"/>
    <w:rsid w:val="00D6000B"/>
    <w:rsid w:val="00D6131B"/>
    <w:rsid w:val="00D614C8"/>
    <w:rsid w:val="00D61C3D"/>
    <w:rsid w:val="00D61FCD"/>
    <w:rsid w:val="00D62C4B"/>
    <w:rsid w:val="00D64B41"/>
    <w:rsid w:val="00D65903"/>
    <w:rsid w:val="00D65D12"/>
    <w:rsid w:val="00D66340"/>
    <w:rsid w:val="00D67FF3"/>
    <w:rsid w:val="00D7084F"/>
    <w:rsid w:val="00D716B6"/>
    <w:rsid w:val="00D71AD2"/>
    <w:rsid w:val="00D735D1"/>
    <w:rsid w:val="00D73C54"/>
    <w:rsid w:val="00D75EB7"/>
    <w:rsid w:val="00D76B49"/>
    <w:rsid w:val="00D76DCF"/>
    <w:rsid w:val="00D86FE0"/>
    <w:rsid w:val="00D91A89"/>
    <w:rsid w:val="00D92220"/>
    <w:rsid w:val="00D93742"/>
    <w:rsid w:val="00D9645A"/>
    <w:rsid w:val="00D9731D"/>
    <w:rsid w:val="00D97431"/>
    <w:rsid w:val="00DA177E"/>
    <w:rsid w:val="00DA1886"/>
    <w:rsid w:val="00DA218A"/>
    <w:rsid w:val="00DA3ED0"/>
    <w:rsid w:val="00DA4C1B"/>
    <w:rsid w:val="00DA5C82"/>
    <w:rsid w:val="00DA62F5"/>
    <w:rsid w:val="00DA77F4"/>
    <w:rsid w:val="00DA79C3"/>
    <w:rsid w:val="00DA7D54"/>
    <w:rsid w:val="00DB0241"/>
    <w:rsid w:val="00DB1238"/>
    <w:rsid w:val="00DB2ECF"/>
    <w:rsid w:val="00DB3023"/>
    <w:rsid w:val="00DB4FEB"/>
    <w:rsid w:val="00DB5267"/>
    <w:rsid w:val="00DC1F84"/>
    <w:rsid w:val="00DC2E73"/>
    <w:rsid w:val="00DC59A9"/>
    <w:rsid w:val="00DC5B03"/>
    <w:rsid w:val="00DC5D19"/>
    <w:rsid w:val="00DC66B7"/>
    <w:rsid w:val="00DC729B"/>
    <w:rsid w:val="00DC7C0E"/>
    <w:rsid w:val="00DD0ABF"/>
    <w:rsid w:val="00DD2DB2"/>
    <w:rsid w:val="00DD3628"/>
    <w:rsid w:val="00DD38FB"/>
    <w:rsid w:val="00DE0B05"/>
    <w:rsid w:val="00DE3A29"/>
    <w:rsid w:val="00DF160E"/>
    <w:rsid w:val="00DF26C0"/>
    <w:rsid w:val="00DF309E"/>
    <w:rsid w:val="00DF462D"/>
    <w:rsid w:val="00DF52D5"/>
    <w:rsid w:val="00DF58F9"/>
    <w:rsid w:val="00DF7202"/>
    <w:rsid w:val="00E002F9"/>
    <w:rsid w:val="00E00C5A"/>
    <w:rsid w:val="00E024E6"/>
    <w:rsid w:val="00E0399A"/>
    <w:rsid w:val="00E05382"/>
    <w:rsid w:val="00E10102"/>
    <w:rsid w:val="00E1095B"/>
    <w:rsid w:val="00E11F05"/>
    <w:rsid w:val="00E1226A"/>
    <w:rsid w:val="00E12AC1"/>
    <w:rsid w:val="00E14EF2"/>
    <w:rsid w:val="00E20100"/>
    <w:rsid w:val="00E2028C"/>
    <w:rsid w:val="00E21256"/>
    <w:rsid w:val="00E21C5D"/>
    <w:rsid w:val="00E22409"/>
    <w:rsid w:val="00E2378E"/>
    <w:rsid w:val="00E23BCD"/>
    <w:rsid w:val="00E23BEE"/>
    <w:rsid w:val="00E26160"/>
    <w:rsid w:val="00E2767F"/>
    <w:rsid w:val="00E27ECC"/>
    <w:rsid w:val="00E35CD6"/>
    <w:rsid w:val="00E37990"/>
    <w:rsid w:val="00E42F3D"/>
    <w:rsid w:val="00E437D6"/>
    <w:rsid w:val="00E441FB"/>
    <w:rsid w:val="00E447D3"/>
    <w:rsid w:val="00E46C48"/>
    <w:rsid w:val="00E51620"/>
    <w:rsid w:val="00E52BC5"/>
    <w:rsid w:val="00E52F32"/>
    <w:rsid w:val="00E53D78"/>
    <w:rsid w:val="00E6024F"/>
    <w:rsid w:val="00E60611"/>
    <w:rsid w:val="00E66023"/>
    <w:rsid w:val="00E7293E"/>
    <w:rsid w:val="00E72D1B"/>
    <w:rsid w:val="00E73653"/>
    <w:rsid w:val="00E74CE6"/>
    <w:rsid w:val="00E805C4"/>
    <w:rsid w:val="00E80D0A"/>
    <w:rsid w:val="00E9057A"/>
    <w:rsid w:val="00E915A5"/>
    <w:rsid w:val="00E91C41"/>
    <w:rsid w:val="00E94B2A"/>
    <w:rsid w:val="00E97CB4"/>
    <w:rsid w:val="00EA14A3"/>
    <w:rsid w:val="00EA218B"/>
    <w:rsid w:val="00EA47A9"/>
    <w:rsid w:val="00EA5CF9"/>
    <w:rsid w:val="00EA5DDF"/>
    <w:rsid w:val="00EA7949"/>
    <w:rsid w:val="00EB07C0"/>
    <w:rsid w:val="00EB141E"/>
    <w:rsid w:val="00EB21E2"/>
    <w:rsid w:val="00EB274F"/>
    <w:rsid w:val="00EB4700"/>
    <w:rsid w:val="00EB579B"/>
    <w:rsid w:val="00EB5DF9"/>
    <w:rsid w:val="00EB5FF5"/>
    <w:rsid w:val="00EB68A8"/>
    <w:rsid w:val="00EC786C"/>
    <w:rsid w:val="00ED028F"/>
    <w:rsid w:val="00ED1350"/>
    <w:rsid w:val="00ED18B3"/>
    <w:rsid w:val="00ED4E95"/>
    <w:rsid w:val="00EE0D8C"/>
    <w:rsid w:val="00EE1046"/>
    <w:rsid w:val="00EE36BC"/>
    <w:rsid w:val="00EE3A52"/>
    <w:rsid w:val="00EE5D55"/>
    <w:rsid w:val="00EF0913"/>
    <w:rsid w:val="00EF181B"/>
    <w:rsid w:val="00EF21E0"/>
    <w:rsid w:val="00EF2D77"/>
    <w:rsid w:val="00EF75BC"/>
    <w:rsid w:val="00EF779F"/>
    <w:rsid w:val="00F01306"/>
    <w:rsid w:val="00F123F7"/>
    <w:rsid w:val="00F14E9C"/>
    <w:rsid w:val="00F17240"/>
    <w:rsid w:val="00F174BF"/>
    <w:rsid w:val="00F24839"/>
    <w:rsid w:val="00F250A5"/>
    <w:rsid w:val="00F26260"/>
    <w:rsid w:val="00F26E9B"/>
    <w:rsid w:val="00F30DBB"/>
    <w:rsid w:val="00F31D81"/>
    <w:rsid w:val="00F32547"/>
    <w:rsid w:val="00F4322F"/>
    <w:rsid w:val="00F43259"/>
    <w:rsid w:val="00F458F3"/>
    <w:rsid w:val="00F45A5D"/>
    <w:rsid w:val="00F45D9B"/>
    <w:rsid w:val="00F47135"/>
    <w:rsid w:val="00F500A6"/>
    <w:rsid w:val="00F51D8E"/>
    <w:rsid w:val="00F54BFE"/>
    <w:rsid w:val="00F54FB4"/>
    <w:rsid w:val="00F560AA"/>
    <w:rsid w:val="00F6168F"/>
    <w:rsid w:val="00F65685"/>
    <w:rsid w:val="00F731B2"/>
    <w:rsid w:val="00F73951"/>
    <w:rsid w:val="00F74005"/>
    <w:rsid w:val="00F75478"/>
    <w:rsid w:val="00F7560F"/>
    <w:rsid w:val="00F75EA2"/>
    <w:rsid w:val="00F77847"/>
    <w:rsid w:val="00F778F2"/>
    <w:rsid w:val="00F812C1"/>
    <w:rsid w:val="00F81AC6"/>
    <w:rsid w:val="00F8278E"/>
    <w:rsid w:val="00F8609E"/>
    <w:rsid w:val="00F9049D"/>
    <w:rsid w:val="00F94EDB"/>
    <w:rsid w:val="00F95BD8"/>
    <w:rsid w:val="00FA3912"/>
    <w:rsid w:val="00FA3E1A"/>
    <w:rsid w:val="00FA43D2"/>
    <w:rsid w:val="00FA7C1B"/>
    <w:rsid w:val="00FB2F9C"/>
    <w:rsid w:val="00FB324C"/>
    <w:rsid w:val="00FB6C1B"/>
    <w:rsid w:val="00FC0CB6"/>
    <w:rsid w:val="00FC2217"/>
    <w:rsid w:val="00FC364B"/>
    <w:rsid w:val="00FC5FEE"/>
    <w:rsid w:val="00FC6C04"/>
    <w:rsid w:val="00FD00D5"/>
    <w:rsid w:val="00FD1855"/>
    <w:rsid w:val="00FD1D13"/>
    <w:rsid w:val="00FD384E"/>
    <w:rsid w:val="00FD46BB"/>
    <w:rsid w:val="00FD6A0D"/>
    <w:rsid w:val="00FE1127"/>
    <w:rsid w:val="00FE21AF"/>
    <w:rsid w:val="00FE3A94"/>
    <w:rsid w:val="00FE790B"/>
    <w:rsid w:val="00FF0B84"/>
    <w:rsid w:val="00FF1B87"/>
    <w:rsid w:val="00FF23DB"/>
    <w:rsid w:val="00FF3B56"/>
    <w:rsid w:val="00FF5061"/>
    <w:rsid w:val="00FF776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E1628303-78E2-4684-805E-76E1BDC2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616"/>
    <w:pPr>
      <w:ind w:left="720"/>
      <w:jc w:val="both"/>
    </w:pPr>
    <w:rPr>
      <w:rFonts w:eastAsia="Times New Roman" w:cs="Calibri"/>
      <w:sz w:val="22"/>
      <w:szCs w:val="22"/>
      <w:lang w:eastAsia="en-US"/>
    </w:rPr>
  </w:style>
  <w:style w:type="paragraph" w:styleId="Heading3">
    <w:name w:val="heading 3"/>
    <w:basedOn w:val="Normal"/>
    <w:link w:val="Heading3Char"/>
    <w:uiPriority w:val="9"/>
    <w:qFormat/>
    <w:locked/>
    <w:rsid w:val="001C63AF"/>
    <w:pPr>
      <w:spacing w:before="100" w:beforeAutospacing="1" w:after="100" w:afterAutospacing="1"/>
      <w:ind w:left="0"/>
      <w:jc w:val="left"/>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rsid w:val="00086616"/>
    <w:pPr>
      <w:autoSpaceDE w:val="0"/>
      <w:autoSpaceDN w:val="0"/>
      <w:adjustRightInd w:val="0"/>
      <w:ind w:left="0"/>
      <w:jc w:val="left"/>
    </w:pPr>
    <w:rPr>
      <w:rFonts w:ascii="EUAlbertina" w:eastAsia="Calibri" w:hAnsi="EUAlbertina" w:cs="EUAlbertina"/>
      <w:sz w:val="24"/>
      <w:szCs w:val="24"/>
    </w:rPr>
  </w:style>
  <w:style w:type="paragraph" w:styleId="PlainText">
    <w:name w:val="Plain Text"/>
    <w:basedOn w:val="Normal"/>
    <w:link w:val="PlainTextChar"/>
    <w:rsid w:val="00086616"/>
    <w:pPr>
      <w:ind w:left="0"/>
      <w:jc w:val="left"/>
    </w:pPr>
    <w:rPr>
      <w:rFonts w:ascii="Consolas" w:eastAsia="Calibri" w:hAnsi="Consolas" w:cs="Times New Roman"/>
      <w:sz w:val="21"/>
      <w:szCs w:val="21"/>
    </w:rPr>
  </w:style>
  <w:style w:type="character" w:customStyle="1" w:styleId="PlainTextChar">
    <w:name w:val="Plain Text Char"/>
    <w:link w:val="PlainText"/>
    <w:locked/>
    <w:rsid w:val="00086616"/>
    <w:rPr>
      <w:rFonts w:ascii="Consolas" w:hAnsi="Consolas" w:cs="Consolas"/>
      <w:sz w:val="21"/>
      <w:szCs w:val="21"/>
    </w:rPr>
  </w:style>
  <w:style w:type="paragraph" w:customStyle="1" w:styleId="Standard">
    <w:name w:val="Standard"/>
    <w:rsid w:val="00086616"/>
    <w:pPr>
      <w:widowControl w:val="0"/>
      <w:suppressAutoHyphens/>
      <w:autoSpaceDN w:val="0"/>
    </w:pPr>
    <w:rPr>
      <w:rFonts w:ascii="Liberation Serif" w:eastAsia="DejaVu Sans" w:hAnsi="Liberation Serif" w:cs="Liberation Serif"/>
      <w:kern w:val="3"/>
      <w:sz w:val="24"/>
      <w:szCs w:val="24"/>
      <w:lang w:val="en-US"/>
    </w:rPr>
  </w:style>
  <w:style w:type="paragraph" w:customStyle="1" w:styleId="Listparagraf1">
    <w:name w:val="Listă paragraf1"/>
    <w:basedOn w:val="Normal"/>
    <w:rsid w:val="00086616"/>
    <w:pPr>
      <w:spacing w:after="200" w:line="276" w:lineRule="auto"/>
      <w:jc w:val="left"/>
    </w:pPr>
  </w:style>
  <w:style w:type="paragraph" w:customStyle="1" w:styleId="doc-ti">
    <w:name w:val="doc-ti"/>
    <w:basedOn w:val="Normal"/>
    <w:rsid w:val="00C05CE3"/>
    <w:pPr>
      <w:spacing w:before="240" w:after="120"/>
      <w:ind w:left="0"/>
      <w:jc w:val="center"/>
    </w:pPr>
    <w:rPr>
      <w:rFonts w:ascii="Times New Roman" w:eastAsia="Calibri" w:hAnsi="Times New Roman" w:cs="Times New Roman"/>
      <w:b/>
      <w:bCs/>
      <w:sz w:val="24"/>
      <w:szCs w:val="24"/>
      <w:lang w:eastAsia="ro-RO"/>
    </w:rPr>
  </w:style>
  <w:style w:type="paragraph" w:styleId="Header">
    <w:name w:val="header"/>
    <w:basedOn w:val="Normal"/>
    <w:link w:val="HeaderChar"/>
    <w:uiPriority w:val="99"/>
    <w:rsid w:val="007E6A2C"/>
    <w:pPr>
      <w:tabs>
        <w:tab w:val="center" w:pos="4536"/>
        <w:tab w:val="right" w:pos="9072"/>
      </w:tabs>
    </w:pPr>
    <w:rPr>
      <w:rFonts w:eastAsia="Calibri" w:cs="Times New Roman"/>
    </w:rPr>
  </w:style>
  <w:style w:type="character" w:customStyle="1" w:styleId="HeaderChar">
    <w:name w:val="Header Char"/>
    <w:link w:val="Header"/>
    <w:uiPriority w:val="99"/>
    <w:locked/>
    <w:rsid w:val="007E6A2C"/>
    <w:rPr>
      <w:rFonts w:cs="Times New Roman"/>
      <w:sz w:val="22"/>
      <w:szCs w:val="22"/>
      <w:lang w:eastAsia="en-US"/>
    </w:rPr>
  </w:style>
  <w:style w:type="paragraph" w:styleId="Footer">
    <w:name w:val="footer"/>
    <w:basedOn w:val="Normal"/>
    <w:link w:val="FooterChar"/>
    <w:uiPriority w:val="99"/>
    <w:rsid w:val="007E6A2C"/>
    <w:pPr>
      <w:tabs>
        <w:tab w:val="center" w:pos="4536"/>
        <w:tab w:val="right" w:pos="9072"/>
      </w:tabs>
    </w:pPr>
    <w:rPr>
      <w:rFonts w:eastAsia="Calibri" w:cs="Times New Roman"/>
    </w:rPr>
  </w:style>
  <w:style w:type="character" w:customStyle="1" w:styleId="FooterChar">
    <w:name w:val="Footer Char"/>
    <w:link w:val="Footer"/>
    <w:uiPriority w:val="99"/>
    <w:locked/>
    <w:rsid w:val="007E6A2C"/>
    <w:rPr>
      <w:rFonts w:cs="Times New Roman"/>
      <w:sz w:val="22"/>
      <w:szCs w:val="22"/>
      <w:lang w:eastAsia="en-US"/>
    </w:rPr>
  </w:style>
  <w:style w:type="character" w:styleId="Emphasis">
    <w:name w:val="Emphasis"/>
    <w:qFormat/>
    <w:rsid w:val="002D366B"/>
    <w:rPr>
      <w:rFonts w:cs="Times New Roman"/>
      <w:i/>
      <w:iCs/>
    </w:rPr>
  </w:style>
  <w:style w:type="paragraph" w:styleId="ListParagraph">
    <w:name w:val="List Paragraph"/>
    <w:basedOn w:val="Normal"/>
    <w:link w:val="ListParagraphChar"/>
    <w:uiPriority w:val="34"/>
    <w:qFormat/>
    <w:rsid w:val="00E37990"/>
    <w:pPr>
      <w:spacing w:after="200" w:line="276" w:lineRule="auto"/>
      <w:jc w:val="left"/>
    </w:pPr>
  </w:style>
  <w:style w:type="paragraph" w:styleId="BalloonText">
    <w:name w:val="Balloon Text"/>
    <w:basedOn w:val="Normal"/>
    <w:link w:val="BalloonTextChar"/>
    <w:semiHidden/>
    <w:rsid w:val="00A00A2C"/>
    <w:rPr>
      <w:rFonts w:ascii="Tahoma" w:eastAsia="Calibri" w:hAnsi="Tahoma" w:cs="Times New Roman"/>
      <w:sz w:val="16"/>
      <w:szCs w:val="16"/>
    </w:rPr>
  </w:style>
  <w:style w:type="character" w:customStyle="1" w:styleId="BalloonTextChar">
    <w:name w:val="Balloon Text Char"/>
    <w:link w:val="BalloonText"/>
    <w:semiHidden/>
    <w:locked/>
    <w:rsid w:val="00A00A2C"/>
    <w:rPr>
      <w:rFonts w:ascii="Tahoma" w:hAnsi="Tahoma" w:cs="Tahoma"/>
      <w:sz w:val="16"/>
      <w:szCs w:val="16"/>
      <w:lang w:val="ro-RO"/>
    </w:rPr>
  </w:style>
  <w:style w:type="character" w:customStyle="1" w:styleId="apple-converted-space">
    <w:name w:val="apple-converted-space"/>
    <w:rsid w:val="007B7FFC"/>
    <w:rPr>
      <w:rFonts w:cs="Times New Roman"/>
    </w:rPr>
  </w:style>
  <w:style w:type="table" w:styleId="TableGrid">
    <w:name w:val="Table Grid"/>
    <w:basedOn w:val="TableNormal"/>
    <w:rsid w:val="00336FD3"/>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5A595E"/>
  </w:style>
  <w:style w:type="character" w:customStyle="1" w:styleId="Heading3Char">
    <w:name w:val="Heading 3 Char"/>
    <w:link w:val="Heading3"/>
    <w:uiPriority w:val="9"/>
    <w:rsid w:val="001C63AF"/>
    <w:rPr>
      <w:rFonts w:ascii="Times New Roman" w:eastAsia="Times New Roman" w:hAnsi="Times New Roman"/>
      <w:b/>
      <w:bCs/>
      <w:sz w:val="27"/>
      <w:szCs w:val="27"/>
    </w:rPr>
  </w:style>
  <w:style w:type="character" w:styleId="Hyperlink">
    <w:name w:val="Hyperlink"/>
    <w:uiPriority w:val="99"/>
    <w:unhideWhenUsed/>
    <w:rsid w:val="001C63AF"/>
    <w:rPr>
      <w:color w:val="0000FF"/>
      <w:u w:val="single"/>
    </w:rPr>
  </w:style>
  <w:style w:type="paragraph" w:styleId="FootnoteText">
    <w:name w:val="footnote text"/>
    <w:basedOn w:val="Normal"/>
    <w:link w:val="FootnoteTextChar"/>
    <w:uiPriority w:val="99"/>
    <w:unhideWhenUsed/>
    <w:rsid w:val="00EF779F"/>
    <w:pPr>
      <w:ind w:left="0"/>
      <w:jc w:val="left"/>
    </w:pPr>
    <w:rPr>
      <w:rFonts w:eastAsia="Calibri" w:cs="Times New Roman"/>
      <w:sz w:val="20"/>
      <w:szCs w:val="20"/>
    </w:rPr>
  </w:style>
  <w:style w:type="character" w:customStyle="1" w:styleId="FootnoteTextChar">
    <w:name w:val="Footnote Text Char"/>
    <w:link w:val="FootnoteText"/>
    <w:uiPriority w:val="99"/>
    <w:rsid w:val="00EF779F"/>
    <w:rPr>
      <w:rFonts w:ascii="Calibri" w:eastAsia="Calibri" w:hAnsi="Calibri" w:cs="Times New Roman"/>
    </w:rPr>
  </w:style>
  <w:style w:type="character" w:styleId="FootnoteReference">
    <w:name w:val="footnote reference"/>
    <w:rsid w:val="00EF779F"/>
    <w:rPr>
      <w:rFonts w:cs="Times New Roman"/>
      <w:vertAlign w:val="superscript"/>
    </w:rPr>
  </w:style>
  <w:style w:type="character" w:styleId="Strong">
    <w:name w:val="Strong"/>
    <w:uiPriority w:val="22"/>
    <w:qFormat/>
    <w:locked/>
    <w:rsid w:val="003D2FD7"/>
    <w:rPr>
      <w:b/>
      <w:bCs/>
    </w:rPr>
  </w:style>
  <w:style w:type="paragraph" w:customStyle="1" w:styleId="Default">
    <w:name w:val="Default"/>
    <w:rsid w:val="004B30CD"/>
    <w:pPr>
      <w:widowControl w:val="0"/>
      <w:autoSpaceDE w:val="0"/>
      <w:autoSpaceDN w:val="0"/>
      <w:adjustRightInd w:val="0"/>
    </w:pPr>
    <w:rPr>
      <w:rFonts w:ascii="Times New Roman" w:eastAsia="Times New Roman" w:hAnsi="Times New Roman"/>
      <w:color w:val="000000"/>
      <w:sz w:val="24"/>
      <w:szCs w:val="24"/>
    </w:rPr>
  </w:style>
  <w:style w:type="character" w:customStyle="1" w:styleId="l5def2">
    <w:name w:val="l5def2"/>
    <w:basedOn w:val="DefaultParagraphFont"/>
    <w:rsid w:val="004B30CD"/>
    <w:rPr>
      <w:rFonts w:ascii="Arial" w:hAnsi="Arial" w:cs="Arial" w:hint="default"/>
      <w:color w:val="000000"/>
      <w:sz w:val="26"/>
      <w:szCs w:val="26"/>
    </w:rPr>
  </w:style>
  <w:style w:type="character" w:customStyle="1" w:styleId="l5red3">
    <w:name w:val="l5_red3"/>
    <w:basedOn w:val="DefaultParagraphFont"/>
    <w:rsid w:val="004B30CD"/>
    <w:rPr>
      <w:b w:val="0"/>
      <w:bCs w:val="0"/>
      <w:i w:val="0"/>
      <w:iCs w:val="0"/>
      <w:strike w:val="0"/>
      <w:dstrike w:val="0"/>
      <w:color w:val="FF0000"/>
      <w:u w:val="none"/>
      <w:effect w:val="none"/>
      <w:shd w:val="clear" w:color="auto" w:fill="auto"/>
    </w:rPr>
  </w:style>
  <w:style w:type="character" w:styleId="CommentReference">
    <w:name w:val="annotation reference"/>
    <w:basedOn w:val="DefaultParagraphFont"/>
    <w:uiPriority w:val="99"/>
    <w:semiHidden/>
    <w:unhideWhenUsed/>
    <w:rsid w:val="00AB6ABE"/>
    <w:rPr>
      <w:sz w:val="16"/>
      <w:szCs w:val="16"/>
    </w:rPr>
  </w:style>
  <w:style w:type="paragraph" w:styleId="CommentText">
    <w:name w:val="annotation text"/>
    <w:basedOn w:val="Normal"/>
    <w:link w:val="CommentTextChar"/>
    <w:uiPriority w:val="99"/>
    <w:semiHidden/>
    <w:unhideWhenUsed/>
    <w:rsid w:val="00AB6ABE"/>
    <w:rPr>
      <w:sz w:val="20"/>
      <w:szCs w:val="20"/>
    </w:rPr>
  </w:style>
  <w:style w:type="character" w:customStyle="1" w:styleId="CommentTextChar">
    <w:name w:val="Comment Text Char"/>
    <w:basedOn w:val="DefaultParagraphFont"/>
    <w:link w:val="CommentText"/>
    <w:uiPriority w:val="99"/>
    <w:semiHidden/>
    <w:rsid w:val="00AB6ABE"/>
    <w:rPr>
      <w:rFonts w:eastAsia="Times New Roman" w:cs="Calibri"/>
      <w:lang w:eastAsia="en-US"/>
    </w:rPr>
  </w:style>
  <w:style w:type="paragraph" w:styleId="CommentSubject">
    <w:name w:val="annotation subject"/>
    <w:basedOn w:val="CommentText"/>
    <w:next w:val="CommentText"/>
    <w:link w:val="CommentSubjectChar"/>
    <w:semiHidden/>
    <w:unhideWhenUsed/>
    <w:rsid w:val="00AB6ABE"/>
    <w:rPr>
      <w:b/>
      <w:bCs/>
    </w:rPr>
  </w:style>
  <w:style w:type="character" w:customStyle="1" w:styleId="CommentSubjectChar">
    <w:name w:val="Comment Subject Char"/>
    <w:basedOn w:val="CommentTextChar"/>
    <w:link w:val="CommentSubject"/>
    <w:semiHidden/>
    <w:rsid w:val="00AB6ABE"/>
    <w:rPr>
      <w:rFonts w:eastAsia="Times New Roman" w:cs="Calibri"/>
      <w:b/>
      <w:bCs/>
      <w:lang w:eastAsia="en-US"/>
    </w:rPr>
  </w:style>
  <w:style w:type="character" w:customStyle="1" w:styleId="ListParagraphChar">
    <w:name w:val="List Paragraph Char"/>
    <w:basedOn w:val="DefaultParagraphFont"/>
    <w:link w:val="ListParagraph"/>
    <w:uiPriority w:val="34"/>
    <w:locked/>
    <w:rsid w:val="00437D90"/>
    <w:rPr>
      <w:rFonts w:eastAsia="Times New Roman" w:cs="Calibri"/>
      <w:sz w:val="22"/>
      <w:szCs w:val="22"/>
      <w:lang w:eastAsia="en-US"/>
    </w:rPr>
  </w:style>
  <w:style w:type="character" w:customStyle="1" w:styleId="l5def3">
    <w:name w:val="l5def3"/>
    <w:basedOn w:val="DefaultParagraphFont"/>
    <w:rsid w:val="00FE3A94"/>
    <w:rPr>
      <w:rFonts w:ascii="Arial" w:hAnsi="Arial" w:cs="Arial" w:hint="default"/>
      <w:color w:val="000000"/>
      <w:sz w:val="26"/>
      <w:szCs w:val="26"/>
    </w:rPr>
  </w:style>
  <w:style w:type="character" w:customStyle="1" w:styleId="l5def4">
    <w:name w:val="l5def4"/>
    <w:basedOn w:val="DefaultParagraphFont"/>
    <w:rsid w:val="00FE3A94"/>
    <w:rPr>
      <w:rFonts w:ascii="Arial" w:hAnsi="Arial" w:cs="Arial" w:hint="default"/>
      <w:color w:val="000000"/>
      <w:sz w:val="26"/>
      <w:szCs w:val="26"/>
    </w:rPr>
  </w:style>
  <w:style w:type="character" w:customStyle="1" w:styleId="l5com1">
    <w:name w:val="l5com1"/>
    <w:basedOn w:val="DefaultParagraphFont"/>
    <w:rsid w:val="00FE3A94"/>
    <w:rPr>
      <w:rFonts w:ascii="Tahoma" w:hAnsi="Tahoma" w:cs="Tahoma" w:hint="default"/>
      <w:b w:val="0"/>
      <w:bCs w:val="0"/>
      <w:i/>
      <w:iCs/>
      <w:color w:val="339966"/>
      <w:sz w:val="22"/>
      <w:szCs w:val="22"/>
    </w:rPr>
  </w:style>
  <w:style w:type="character" w:customStyle="1" w:styleId="l5com2">
    <w:name w:val="l5com2"/>
    <w:basedOn w:val="DefaultParagraphFont"/>
    <w:rsid w:val="00FE3A94"/>
    <w:rPr>
      <w:rFonts w:ascii="Tahoma" w:hAnsi="Tahoma" w:cs="Tahoma" w:hint="default"/>
      <w:b w:val="0"/>
      <w:bCs w:val="0"/>
      <w:i/>
      <w:iCs/>
      <w:color w:val="339966"/>
      <w:sz w:val="22"/>
      <w:szCs w:val="22"/>
    </w:rPr>
  </w:style>
  <w:style w:type="character" w:customStyle="1" w:styleId="l5def6">
    <w:name w:val="l5def6"/>
    <w:basedOn w:val="DefaultParagraphFont"/>
    <w:rsid w:val="00FE3A94"/>
    <w:rPr>
      <w:rFonts w:ascii="Arial" w:hAnsi="Arial" w:cs="Arial" w:hint="default"/>
      <w:color w:val="000000"/>
      <w:sz w:val="26"/>
      <w:szCs w:val="26"/>
    </w:rPr>
  </w:style>
  <w:style w:type="character" w:customStyle="1" w:styleId="l5def7">
    <w:name w:val="l5def7"/>
    <w:basedOn w:val="DefaultParagraphFont"/>
    <w:rsid w:val="00FE3A94"/>
    <w:rPr>
      <w:rFonts w:ascii="Arial" w:hAnsi="Arial" w:cs="Arial" w:hint="default"/>
      <w:color w:val="000000"/>
      <w:sz w:val="26"/>
      <w:szCs w:val="26"/>
    </w:rPr>
  </w:style>
  <w:style w:type="paragraph" w:styleId="BodyTextIndent">
    <w:name w:val="Body Text Indent"/>
    <w:basedOn w:val="Normal"/>
    <w:link w:val="BodyTextIndentChar"/>
    <w:rsid w:val="000648A1"/>
    <w:pPr>
      <w:suppressAutoHyphens/>
      <w:spacing w:after="120"/>
      <w:ind w:left="283"/>
      <w:jc w:val="left"/>
    </w:pPr>
    <w:rPr>
      <w:rFonts w:ascii="Times New Roman" w:hAnsi="Times New Roman" w:cs="Times New Roman"/>
      <w:kern w:val="1"/>
      <w:sz w:val="24"/>
      <w:szCs w:val="24"/>
      <w:lang w:eastAsia="zh-CN"/>
    </w:rPr>
  </w:style>
  <w:style w:type="character" w:customStyle="1" w:styleId="BodyTextIndentChar">
    <w:name w:val="Body Text Indent Char"/>
    <w:basedOn w:val="DefaultParagraphFont"/>
    <w:link w:val="BodyTextIndent"/>
    <w:rsid w:val="000648A1"/>
    <w:rPr>
      <w:rFonts w:ascii="Times New Roman" w:eastAsia="Times New Roman" w:hAnsi="Times New Roman"/>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390"/>
      <w:marRight w:val="39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455188">
      <w:bodyDiv w:val="1"/>
      <w:marLeft w:val="0"/>
      <w:marRight w:val="0"/>
      <w:marTop w:val="0"/>
      <w:marBottom w:val="0"/>
      <w:divBdr>
        <w:top w:val="none" w:sz="0" w:space="0" w:color="auto"/>
        <w:left w:val="none" w:sz="0" w:space="0" w:color="auto"/>
        <w:bottom w:val="none" w:sz="0" w:space="0" w:color="auto"/>
        <w:right w:val="none" w:sz="0" w:space="0" w:color="auto"/>
      </w:divBdr>
    </w:div>
    <w:div w:id="34548784">
      <w:bodyDiv w:val="1"/>
      <w:marLeft w:val="0"/>
      <w:marRight w:val="0"/>
      <w:marTop w:val="0"/>
      <w:marBottom w:val="0"/>
      <w:divBdr>
        <w:top w:val="none" w:sz="0" w:space="0" w:color="auto"/>
        <w:left w:val="none" w:sz="0" w:space="0" w:color="auto"/>
        <w:bottom w:val="none" w:sz="0" w:space="0" w:color="auto"/>
        <w:right w:val="none" w:sz="0" w:space="0" w:color="auto"/>
      </w:divBdr>
    </w:div>
    <w:div w:id="168839524">
      <w:bodyDiv w:val="1"/>
      <w:marLeft w:val="0"/>
      <w:marRight w:val="0"/>
      <w:marTop w:val="0"/>
      <w:marBottom w:val="0"/>
      <w:divBdr>
        <w:top w:val="none" w:sz="0" w:space="0" w:color="auto"/>
        <w:left w:val="none" w:sz="0" w:space="0" w:color="auto"/>
        <w:bottom w:val="none" w:sz="0" w:space="0" w:color="auto"/>
        <w:right w:val="none" w:sz="0" w:space="0" w:color="auto"/>
      </w:divBdr>
    </w:div>
    <w:div w:id="264726082">
      <w:bodyDiv w:val="1"/>
      <w:marLeft w:val="0"/>
      <w:marRight w:val="0"/>
      <w:marTop w:val="0"/>
      <w:marBottom w:val="0"/>
      <w:divBdr>
        <w:top w:val="none" w:sz="0" w:space="0" w:color="auto"/>
        <w:left w:val="none" w:sz="0" w:space="0" w:color="auto"/>
        <w:bottom w:val="none" w:sz="0" w:space="0" w:color="auto"/>
        <w:right w:val="none" w:sz="0" w:space="0" w:color="auto"/>
      </w:divBdr>
    </w:div>
    <w:div w:id="285354057">
      <w:bodyDiv w:val="1"/>
      <w:marLeft w:val="0"/>
      <w:marRight w:val="0"/>
      <w:marTop w:val="0"/>
      <w:marBottom w:val="0"/>
      <w:divBdr>
        <w:top w:val="none" w:sz="0" w:space="0" w:color="auto"/>
        <w:left w:val="none" w:sz="0" w:space="0" w:color="auto"/>
        <w:bottom w:val="none" w:sz="0" w:space="0" w:color="auto"/>
        <w:right w:val="none" w:sz="0" w:space="0" w:color="auto"/>
      </w:divBdr>
    </w:div>
    <w:div w:id="860898245">
      <w:bodyDiv w:val="1"/>
      <w:marLeft w:val="0"/>
      <w:marRight w:val="0"/>
      <w:marTop w:val="0"/>
      <w:marBottom w:val="0"/>
      <w:divBdr>
        <w:top w:val="none" w:sz="0" w:space="0" w:color="auto"/>
        <w:left w:val="none" w:sz="0" w:space="0" w:color="auto"/>
        <w:bottom w:val="none" w:sz="0" w:space="0" w:color="auto"/>
        <w:right w:val="none" w:sz="0" w:space="0" w:color="auto"/>
      </w:divBdr>
    </w:div>
    <w:div w:id="908418481">
      <w:bodyDiv w:val="1"/>
      <w:marLeft w:val="0"/>
      <w:marRight w:val="0"/>
      <w:marTop w:val="0"/>
      <w:marBottom w:val="0"/>
      <w:divBdr>
        <w:top w:val="none" w:sz="0" w:space="0" w:color="auto"/>
        <w:left w:val="none" w:sz="0" w:space="0" w:color="auto"/>
        <w:bottom w:val="none" w:sz="0" w:space="0" w:color="auto"/>
        <w:right w:val="none" w:sz="0" w:space="0" w:color="auto"/>
      </w:divBdr>
    </w:div>
    <w:div w:id="944533670">
      <w:bodyDiv w:val="1"/>
      <w:marLeft w:val="0"/>
      <w:marRight w:val="0"/>
      <w:marTop w:val="0"/>
      <w:marBottom w:val="0"/>
      <w:divBdr>
        <w:top w:val="none" w:sz="0" w:space="0" w:color="auto"/>
        <w:left w:val="none" w:sz="0" w:space="0" w:color="auto"/>
        <w:bottom w:val="none" w:sz="0" w:space="0" w:color="auto"/>
        <w:right w:val="none" w:sz="0" w:space="0" w:color="auto"/>
      </w:divBdr>
    </w:div>
    <w:div w:id="1296713217">
      <w:bodyDiv w:val="1"/>
      <w:marLeft w:val="0"/>
      <w:marRight w:val="0"/>
      <w:marTop w:val="0"/>
      <w:marBottom w:val="0"/>
      <w:divBdr>
        <w:top w:val="none" w:sz="0" w:space="0" w:color="auto"/>
        <w:left w:val="none" w:sz="0" w:space="0" w:color="auto"/>
        <w:bottom w:val="none" w:sz="0" w:space="0" w:color="auto"/>
        <w:right w:val="none" w:sz="0" w:space="0" w:color="auto"/>
      </w:divBdr>
      <w:divsChild>
        <w:div w:id="1348867386">
          <w:marLeft w:val="0"/>
          <w:marRight w:val="0"/>
          <w:marTop w:val="0"/>
          <w:marBottom w:val="0"/>
          <w:divBdr>
            <w:top w:val="none" w:sz="0" w:space="0" w:color="auto"/>
            <w:left w:val="none" w:sz="0" w:space="0" w:color="auto"/>
            <w:bottom w:val="none" w:sz="0" w:space="0" w:color="auto"/>
            <w:right w:val="none" w:sz="0" w:space="0" w:color="auto"/>
          </w:divBdr>
          <w:divsChild>
            <w:div w:id="10409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29566">
      <w:bodyDiv w:val="1"/>
      <w:marLeft w:val="0"/>
      <w:marRight w:val="0"/>
      <w:marTop w:val="0"/>
      <w:marBottom w:val="0"/>
      <w:divBdr>
        <w:top w:val="none" w:sz="0" w:space="0" w:color="auto"/>
        <w:left w:val="none" w:sz="0" w:space="0" w:color="auto"/>
        <w:bottom w:val="none" w:sz="0" w:space="0" w:color="auto"/>
        <w:right w:val="none" w:sz="0" w:space="0" w:color="auto"/>
      </w:divBdr>
    </w:div>
    <w:div w:id="1489201752">
      <w:bodyDiv w:val="1"/>
      <w:marLeft w:val="0"/>
      <w:marRight w:val="0"/>
      <w:marTop w:val="0"/>
      <w:marBottom w:val="0"/>
      <w:divBdr>
        <w:top w:val="none" w:sz="0" w:space="0" w:color="auto"/>
        <w:left w:val="none" w:sz="0" w:space="0" w:color="auto"/>
        <w:bottom w:val="none" w:sz="0" w:space="0" w:color="auto"/>
        <w:right w:val="none" w:sz="0" w:space="0" w:color="auto"/>
      </w:divBdr>
      <w:divsChild>
        <w:div w:id="12180116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0175250">
      <w:bodyDiv w:val="1"/>
      <w:marLeft w:val="0"/>
      <w:marRight w:val="0"/>
      <w:marTop w:val="0"/>
      <w:marBottom w:val="0"/>
      <w:divBdr>
        <w:top w:val="none" w:sz="0" w:space="0" w:color="auto"/>
        <w:left w:val="none" w:sz="0" w:space="0" w:color="auto"/>
        <w:bottom w:val="none" w:sz="0" w:space="0" w:color="auto"/>
        <w:right w:val="none" w:sz="0" w:space="0" w:color="auto"/>
      </w:divBdr>
    </w:div>
    <w:div w:id="1549612535">
      <w:bodyDiv w:val="1"/>
      <w:marLeft w:val="0"/>
      <w:marRight w:val="0"/>
      <w:marTop w:val="0"/>
      <w:marBottom w:val="0"/>
      <w:divBdr>
        <w:top w:val="none" w:sz="0" w:space="0" w:color="auto"/>
        <w:left w:val="none" w:sz="0" w:space="0" w:color="auto"/>
        <w:bottom w:val="none" w:sz="0" w:space="0" w:color="auto"/>
        <w:right w:val="none" w:sz="0" w:space="0" w:color="auto"/>
      </w:divBdr>
    </w:div>
    <w:div w:id="1722053124">
      <w:bodyDiv w:val="1"/>
      <w:marLeft w:val="0"/>
      <w:marRight w:val="0"/>
      <w:marTop w:val="0"/>
      <w:marBottom w:val="0"/>
      <w:divBdr>
        <w:top w:val="none" w:sz="0" w:space="0" w:color="auto"/>
        <w:left w:val="none" w:sz="0" w:space="0" w:color="auto"/>
        <w:bottom w:val="none" w:sz="0" w:space="0" w:color="auto"/>
        <w:right w:val="none" w:sz="0" w:space="0" w:color="auto"/>
      </w:divBdr>
      <w:divsChild>
        <w:div w:id="1633366632">
          <w:marLeft w:val="0"/>
          <w:marRight w:val="0"/>
          <w:marTop w:val="0"/>
          <w:marBottom w:val="0"/>
          <w:divBdr>
            <w:top w:val="none" w:sz="0" w:space="0" w:color="auto"/>
            <w:left w:val="none" w:sz="0" w:space="0" w:color="auto"/>
            <w:bottom w:val="none" w:sz="0" w:space="0" w:color="auto"/>
            <w:right w:val="none" w:sz="0" w:space="0" w:color="auto"/>
          </w:divBdr>
          <w:divsChild>
            <w:div w:id="9141136">
              <w:marLeft w:val="0"/>
              <w:marRight w:val="0"/>
              <w:marTop w:val="0"/>
              <w:marBottom w:val="0"/>
              <w:divBdr>
                <w:top w:val="dashed" w:sz="2" w:space="0" w:color="FFFFFF"/>
                <w:left w:val="dashed" w:sz="2" w:space="0" w:color="FFFFFF"/>
                <w:bottom w:val="dashed" w:sz="2" w:space="0" w:color="FFFFFF"/>
                <w:right w:val="dashed" w:sz="2" w:space="0" w:color="FFFFFF"/>
              </w:divBdr>
              <w:divsChild>
                <w:div w:id="173107213">
                  <w:marLeft w:val="0"/>
                  <w:marRight w:val="0"/>
                  <w:marTop w:val="0"/>
                  <w:marBottom w:val="0"/>
                  <w:divBdr>
                    <w:top w:val="dashed" w:sz="2" w:space="0" w:color="FFFFFF"/>
                    <w:left w:val="dashed" w:sz="2" w:space="0" w:color="FFFFFF"/>
                    <w:bottom w:val="dashed" w:sz="2" w:space="0" w:color="FFFFFF"/>
                    <w:right w:val="dashed" w:sz="2" w:space="0" w:color="FFFFFF"/>
                  </w:divBdr>
                </w:div>
                <w:div w:id="262610146">
                  <w:marLeft w:val="0"/>
                  <w:marRight w:val="0"/>
                  <w:marTop w:val="0"/>
                  <w:marBottom w:val="0"/>
                  <w:divBdr>
                    <w:top w:val="dashed" w:sz="2" w:space="0" w:color="FFFFFF"/>
                    <w:left w:val="dashed" w:sz="2" w:space="0" w:color="FFFFFF"/>
                    <w:bottom w:val="dashed" w:sz="2" w:space="0" w:color="FFFFFF"/>
                    <w:right w:val="dashed" w:sz="2" w:space="0" w:color="FFFFFF"/>
                  </w:divBdr>
                </w:div>
                <w:div w:id="268239234">
                  <w:marLeft w:val="0"/>
                  <w:marRight w:val="0"/>
                  <w:marTop w:val="0"/>
                  <w:marBottom w:val="0"/>
                  <w:divBdr>
                    <w:top w:val="dashed" w:sz="2" w:space="0" w:color="FFFFFF"/>
                    <w:left w:val="dashed" w:sz="2" w:space="0" w:color="FFFFFF"/>
                    <w:bottom w:val="dashed" w:sz="2" w:space="0" w:color="FFFFFF"/>
                    <w:right w:val="dashed" w:sz="2" w:space="0" w:color="FFFFFF"/>
                  </w:divBdr>
                  <w:divsChild>
                    <w:div w:id="13962745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8775285">
                  <w:marLeft w:val="0"/>
                  <w:marRight w:val="0"/>
                  <w:marTop w:val="0"/>
                  <w:marBottom w:val="0"/>
                  <w:divBdr>
                    <w:top w:val="dashed" w:sz="2" w:space="0" w:color="FFFFFF"/>
                    <w:left w:val="dashed" w:sz="2" w:space="0" w:color="FFFFFF"/>
                    <w:bottom w:val="dashed" w:sz="2" w:space="0" w:color="FFFFFF"/>
                    <w:right w:val="dashed" w:sz="2" w:space="0" w:color="FFFFFF"/>
                  </w:divBdr>
                </w:div>
                <w:div w:id="530799317">
                  <w:marLeft w:val="0"/>
                  <w:marRight w:val="0"/>
                  <w:marTop w:val="0"/>
                  <w:marBottom w:val="0"/>
                  <w:divBdr>
                    <w:top w:val="dashed" w:sz="2" w:space="0" w:color="FFFFFF"/>
                    <w:left w:val="dashed" w:sz="2" w:space="0" w:color="FFFFFF"/>
                    <w:bottom w:val="dashed" w:sz="2" w:space="0" w:color="FFFFFF"/>
                    <w:right w:val="dashed" w:sz="2" w:space="0" w:color="FFFFFF"/>
                  </w:divBdr>
                </w:div>
                <w:div w:id="532301771">
                  <w:marLeft w:val="0"/>
                  <w:marRight w:val="0"/>
                  <w:marTop w:val="0"/>
                  <w:marBottom w:val="0"/>
                  <w:divBdr>
                    <w:top w:val="dashed" w:sz="2" w:space="0" w:color="FFFFFF"/>
                    <w:left w:val="dashed" w:sz="2" w:space="0" w:color="FFFFFF"/>
                    <w:bottom w:val="dashed" w:sz="2" w:space="0" w:color="FFFFFF"/>
                    <w:right w:val="dashed" w:sz="2" w:space="0" w:color="FFFFFF"/>
                  </w:divBdr>
                </w:div>
                <w:div w:id="543099675">
                  <w:marLeft w:val="0"/>
                  <w:marRight w:val="0"/>
                  <w:marTop w:val="0"/>
                  <w:marBottom w:val="0"/>
                  <w:divBdr>
                    <w:top w:val="dashed" w:sz="2" w:space="0" w:color="FFFFFF"/>
                    <w:left w:val="dashed" w:sz="2" w:space="0" w:color="FFFFFF"/>
                    <w:bottom w:val="dashed" w:sz="2" w:space="0" w:color="FFFFFF"/>
                    <w:right w:val="dashed" w:sz="2" w:space="0" w:color="FFFFFF"/>
                  </w:divBdr>
                </w:div>
                <w:div w:id="958223202">
                  <w:marLeft w:val="0"/>
                  <w:marRight w:val="0"/>
                  <w:marTop w:val="0"/>
                  <w:marBottom w:val="0"/>
                  <w:divBdr>
                    <w:top w:val="dashed" w:sz="2" w:space="0" w:color="FFFFFF"/>
                    <w:left w:val="dashed" w:sz="2" w:space="0" w:color="FFFFFF"/>
                    <w:bottom w:val="dashed" w:sz="2" w:space="0" w:color="FFFFFF"/>
                    <w:right w:val="dashed" w:sz="2" w:space="0" w:color="FFFFFF"/>
                  </w:divBdr>
                </w:div>
                <w:div w:id="996227450">
                  <w:marLeft w:val="0"/>
                  <w:marRight w:val="0"/>
                  <w:marTop w:val="0"/>
                  <w:marBottom w:val="0"/>
                  <w:divBdr>
                    <w:top w:val="dashed" w:sz="2" w:space="0" w:color="FFFFFF"/>
                    <w:left w:val="dashed" w:sz="2" w:space="0" w:color="FFFFFF"/>
                    <w:bottom w:val="dashed" w:sz="2" w:space="0" w:color="FFFFFF"/>
                    <w:right w:val="dashed" w:sz="2" w:space="0" w:color="FFFFFF"/>
                  </w:divBdr>
                </w:div>
                <w:div w:id="1052969021">
                  <w:marLeft w:val="0"/>
                  <w:marRight w:val="0"/>
                  <w:marTop w:val="0"/>
                  <w:marBottom w:val="0"/>
                  <w:divBdr>
                    <w:top w:val="dashed" w:sz="2" w:space="0" w:color="FFFFFF"/>
                    <w:left w:val="dashed" w:sz="2" w:space="0" w:color="FFFFFF"/>
                    <w:bottom w:val="dashed" w:sz="2" w:space="0" w:color="FFFFFF"/>
                    <w:right w:val="dashed" w:sz="2" w:space="0" w:color="FFFFFF"/>
                  </w:divBdr>
                </w:div>
                <w:div w:id="1240098919">
                  <w:marLeft w:val="0"/>
                  <w:marRight w:val="0"/>
                  <w:marTop w:val="0"/>
                  <w:marBottom w:val="0"/>
                  <w:divBdr>
                    <w:top w:val="dashed" w:sz="2" w:space="0" w:color="FFFFFF"/>
                    <w:left w:val="dashed" w:sz="2" w:space="0" w:color="FFFFFF"/>
                    <w:bottom w:val="dashed" w:sz="2" w:space="0" w:color="FFFFFF"/>
                    <w:right w:val="dashed" w:sz="2" w:space="0" w:color="FFFFFF"/>
                  </w:divBdr>
                </w:div>
                <w:div w:id="1548448192">
                  <w:marLeft w:val="0"/>
                  <w:marRight w:val="0"/>
                  <w:marTop w:val="0"/>
                  <w:marBottom w:val="0"/>
                  <w:divBdr>
                    <w:top w:val="dashed" w:sz="2" w:space="0" w:color="FFFFFF"/>
                    <w:left w:val="dashed" w:sz="2" w:space="0" w:color="FFFFFF"/>
                    <w:bottom w:val="dashed" w:sz="2" w:space="0" w:color="FFFFFF"/>
                    <w:right w:val="dashed" w:sz="2" w:space="0" w:color="FFFFFF"/>
                  </w:divBdr>
                </w:div>
                <w:div w:id="1689988594">
                  <w:marLeft w:val="0"/>
                  <w:marRight w:val="0"/>
                  <w:marTop w:val="0"/>
                  <w:marBottom w:val="0"/>
                  <w:divBdr>
                    <w:top w:val="dashed" w:sz="2" w:space="0" w:color="FFFFFF"/>
                    <w:left w:val="dashed" w:sz="2" w:space="0" w:color="FFFFFF"/>
                    <w:bottom w:val="dashed" w:sz="2" w:space="0" w:color="FFFFFF"/>
                    <w:right w:val="dashed" w:sz="2" w:space="0" w:color="FFFFFF"/>
                  </w:divBdr>
                </w:div>
                <w:div w:id="1754400242">
                  <w:marLeft w:val="0"/>
                  <w:marRight w:val="0"/>
                  <w:marTop w:val="0"/>
                  <w:marBottom w:val="0"/>
                  <w:divBdr>
                    <w:top w:val="dashed" w:sz="2" w:space="0" w:color="FFFFFF"/>
                    <w:left w:val="dashed" w:sz="2" w:space="0" w:color="FFFFFF"/>
                    <w:bottom w:val="dashed" w:sz="2" w:space="0" w:color="FFFFFF"/>
                    <w:right w:val="dashed" w:sz="2" w:space="0" w:color="FFFFFF"/>
                  </w:divBdr>
                </w:div>
                <w:div w:id="1868323882">
                  <w:marLeft w:val="0"/>
                  <w:marRight w:val="0"/>
                  <w:marTop w:val="0"/>
                  <w:marBottom w:val="0"/>
                  <w:divBdr>
                    <w:top w:val="dashed" w:sz="2" w:space="0" w:color="FFFFFF"/>
                    <w:left w:val="dashed" w:sz="2" w:space="0" w:color="FFFFFF"/>
                    <w:bottom w:val="dashed" w:sz="2" w:space="0" w:color="FFFFFF"/>
                    <w:right w:val="dashed" w:sz="2" w:space="0" w:color="FFFFFF"/>
                  </w:divBdr>
                </w:div>
                <w:div w:id="21148582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31926270">
      <w:bodyDiv w:val="1"/>
      <w:marLeft w:val="0"/>
      <w:marRight w:val="0"/>
      <w:marTop w:val="0"/>
      <w:marBottom w:val="0"/>
      <w:divBdr>
        <w:top w:val="none" w:sz="0" w:space="0" w:color="auto"/>
        <w:left w:val="none" w:sz="0" w:space="0" w:color="auto"/>
        <w:bottom w:val="none" w:sz="0" w:space="0" w:color="auto"/>
        <w:right w:val="none" w:sz="0" w:space="0" w:color="auto"/>
      </w:divBdr>
    </w:div>
    <w:div w:id="1899394392">
      <w:bodyDiv w:val="1"/>
      <w:marLeft w:val="0"/>
      <w:marRight w:val="0"/>
      <w:marTop w:val="0"/>
      <w:marBottom w:val="0"/>
      <w:divBdr>
        <w:top w:val="none" w:sz="0" w:space="0" w:color="auto"/>
        <w:left w:val="none" w:sz="0" w:space="0" w:color="auto"/>
        <w:bottom w:val="none" w:sz="0" w:space="0" w:color="auto"/>
        <w:right w:val="none" w:sz="0" w:space="0" w:color="auto"/>
      </w:divBdr>
      <w:divsChild>
        <w:div w:id="16547727">
          <w:marLeft w:val="0"/>
          <w:marRight w:val="0"/>
          <w:marTop w:val="0"/>
          <w:marBottom w:val="0"/>
          <w:divBdr>
            <w:top w:val="dashed" w:sz="2" w:space="0" w:color="FFFFFF"/>
            <w:left w:val="dashed" w:sz="2" w:space="0" w:color="FFFFFF"/>
            <w:bottom w:val="dashed" w:sz="2" w:space="0" w:color="FFFFFF"/>
            <w:right w:val="dashed" w:sz="2" w:space="0" w:color="FFFFFF"/>
          </w:divBdr>
        </w:div>
        <w:div w:id="1233806499">
          <w:marLeft w:val="0"/>
          <w:marRight w:val="0"/>
          <w:marTop w:val="0"/>
          <w:marBottom w:val="0"/>
          <w:divBdr>
            <w:top w:val="dashed" w:sz="2" w:space="0" w:color="FFFFFF"/>
            <w:left w:val="dashed" w:sz="2" w:space="0" w:color="FFFFFF"/>
            <w:bottom w:val="dashed" w:sz="2" w:space="0" w:color="FFFFFF"/>
            <w:right w:val="dashed" w:sz="2" w:space="0" w:color="FFFFFF"/>
          </w:divBdr>
        </w:div>
        <w:div w:id="14801518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6893922">
      <w:bodyDiv w:val="1"/>
      <w:marLeft w:val="0"/>
      <w:marRight w:val="0"/>
      <w:marTop w:val="0"/>
      <w:marBottom w:val="0"/>
      <w:divBdr>
        <w:top w:val="none" w:sz="0" w:space="0" w:color="auto"/>
        <w:left w:val="none" w:sz="0" w:space="0" w:color="auto"/>
        <w:bottom w:val="none" w:sz="0" w:space="0" w:color="auto"/>
        <w:right w:val="none" w:sz="0" w:space="0" w:color="auto"/>
      </w:divBdr>
    </w:div>
    <w:div w:id="1947616014">
      <w:bodyDiv w:val="1"/>
      <w:marLeft w:val="0"/>
      <w:marRight w:val="0"/>
      <w:marTop w:val="0"/>
      <w:marBottom w:val="0"/>
      <w:divBdr>
        <w:top w:val="none" w:sz="0" w:space="0" w:color="auto"/>
        <w:left w:val="none" w:sz="0" w:space="0" w:color="auto"/>
        <w:bottom w:val="none" w:sz="0" w:space="0" w:color="auto"/>
        <w:right w:val="none" w:sz="0" w:space="0" w:color="auto"/>
      </w:divBdr>
    </w:div>
    <w:div w:id="1986083289">
      <w:bodyDiv w:val="1"/>
      <w:marLeft w:val="0"/>
      <w:marRight w:val="0"/>
      <w:marTop w:val="0"/>
      <w:marBottom w:val="0"/>
      <w:divBdr>
        <w:top w:val="none" w:sz="0" w:space="0" w:color="auto"/>
        <w:left w:val="none" w:sz="0" w:space="0" w:color="auto"/>
        <w:bottom w:val="none" w:sz="0" w:space="0" w:color="auto"/>
        <w:right w:val="none" w:sz="0" w:space="0" w:color="auto"/>
      </w:divBdr>
      <w:divsChild>
        <w:div w:id="1984430655">
          <w:marLeft w:val="0"/>
          <w:marRight w:val="0"/>
          <w:marTop w:val="0"/>
          <w:marBottom w:val="0"/>
          <w:divBdr>
            <w:top w:val="none" w:sz="0" w:space="0" w:color="auto"/>
            <w:left w:val="none" w:sz="0" w:space="0" w:color="auto"/>
            <w:bottom w:val="none" w:sz="0" w:space="0" w:color="auto"/>
            <w:right w:val="none" w:sz="0" w:space="0" w:color="auto"/>
          </w:divBdr>
          <w:divsChild>
            <w:div w:id="1881085536">
              <w:marLeft w:val="0"/>
              <w:marRight w:val="0"/>
              <w:marTop w:val="0"/>
              <w:marBottom w:val="0"/>
              <w:divBdr>
                <w:top w:val="none" w:sz="0" w:space="0" w:color="auto"/>
                <w:left w:val="none" w:sz="0" w:space="0" w:color="auto"/>
                <w:bottom w:val="none" w:sz="0" w:space="0" w:color="auto"/>
                <w:right w:val="none" w:sz="0" w:space="0" w:color="auto"/>
              </w:divBdr>
              <w:divsChild>
                <w:div w:id="532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4545">
          <w:marLeft w:val="0"/>
          <w:marRight w:val="0"/>
          <w:marTop w:val="0"/>
          <w:marBottom w:val="0"/>
          <w:divBdr>
            <w:top w:val="none" w:sz="0" w:space="0" w:color="auto"/>
            <w:left w:val="none" w:sz="0" w:space="0" w:color="auto"/>
            <w:bottom w:val="none" w:sz="0" w:space="0" w:color="auto"/>
            <w:right w:val="none" w:sz="0" w:space="0" w:color="auto"/>
          </w:divBdr>
          <w:divsChild>
            <w:div w:id="421342639">
              <w:marLeft w:val="0"/>
              <w:marRight w:val="0"/>
              <w:marTop w:val="0"/>
              <w:marBottom w:val="0"/>
              <w:divBdr>
                <w:top w:val="none" w:sz="0" w:space="0" w:color="auto"/>
                <w:left w:val="none" w:sz="0" w:space="0" w:color="auto"/>
                <w:bottom w:val="none" w:sz="0" w:space="0" w:color="auto"/>
                <w:right w:val="none" w:sz="0" w:space="0" w:color="auto"/>
              </w:divBdr>
              <w:divsChild>
                <w:div w:id="1070276504">
                  <w:marLeft w:val="0"/>
                  <w:marRight w:val="0"/>
                  <w:marTop w:val="0"/>
                  <w:marBottom w:val="0"/>
                  <w:divBdr>
                    <w:top w:val="none" w:sz="0" w:space="0" w:color="auto"/>
                    <w:left w:val="none" w:sz="0" w:space="0" w:color="auto"/>
                    <w:bottom w:val="none" w:sz="0" w:space="0" w:color="auto"/>
                    <w:right w:val="none" w:sz="0" w:space="0" w:color="auto"/>
                  </w:divBdr>
                </w:div>
              </w:divsChild>
            </w:div>
            <w:div w:id="1553225412">
              <w:marLeft w:val="0"/>
              <w:marRight w:val="0"/>
              <w:marTop w:val="0"/>
              <w:marBottom w:val="0"/>
              <w:divBdr>
                <w:top w:val="none" w:sz="0" w:space="0" w:color="auto"/>
                <w:left w:val="none" w:sz="0" w:space="0" w:color="auto"/>
                <w:bottom w:val="none" w:sz="0" w:space="0" w:color="auto"/>
                <w:right w:val="none" w:sz="0" w:space="0" w:color="auto"/>
              </w:divBdr>
              <w:divsChild>
                <w:div w:id="8402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47511">
          <w:marLeft w:val="0"/>
          <w:marRight w:val="0"/>
          <w:marTop w:val="0"/>
          <w:marBottom w:val="0"/>
          <w:divBdr>
            <w:top w:val="none" w:sz="0" w:space="0" w:color="auto"/>
            <w:left w:val="none" w:sz="0" w:space="0" w:color="auto"/>
            <w:bottom w:val="none" w:sz="0" w:space="0" w:color="auto"/>
            <w:right w:val="none" w:sz="0" w:space="0" w:color="auto"/>
          </w:divBdr>
        </w:div>
      </w:divsChild>
    </w:div>
    <w:div w:id="211982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0C49B-159E-43EE-9585-E6AC7DDB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3923</Words>
  <Characters>22365</Characters>
  <Application>Microsoft Office Word</Application>
  <DocSecurity>0</DocSecurity>
  <Lines>186</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Comisia Nationala A Valorilor Mobiliare</Company>
  <LinksUpToDate>false</LinksUpToDate>
  <CharactersWithSpaces>26236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Marian Balaban</dc:creator>
  <cp:lastModifiedBy>OANA-BEATRICE IACOBESCU</cp:lastModifiedBy>
  <cp:revision>2</cp:revision>
  <cp:lastPrinted>2021-09-10T08:21:00Z</cp:lastPrinted>
  <dcterms:created xsi:type="dcterms:W3CDTF">2021-09-10T08:40:00Z</dcterms:created>
  <dcterms:modified xsi:type="dcterms:W3CDTF">2021-09-10T08:40:00Z</dcterms:modified>
</cp:coreProperties>
</file>