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E68E" w14:textId="60E5CF57" w:rsidR="00B56697" w:rsidRPr="004D4A05" w:rsidRDefault="00B56697" w:rsidP="00B56697">
      <w:pPr>
        <w:pStyle w:val="EYBodytextwithparaspace"/>
        <w:spacing w:after="240"/>
        <w:rPr>
          <w:sz w:val="36"/>
          <w:szCs w:val="36"/>
          <w:lang w:val="ro-RO"/>
        </w:rPr>
      </w:pPr>
      <w:r>
        <w:rPr>
          <w:sz w:val="36"/>
          <w:lang w:val="ro-RO"/>
        </w:rPr>
        <w:t>Punct de vedere</w:t>
      </w:r>
    </w:p>
    <w:p w14:paraId="1F8DBBA4" w14:textId="2DF84D6D" w:rsidR="00B56697" w:rsidRPr="004D4A05" w:rsidRDefault="003E3740" w:rsidP="00B56697">
      <w:pPr>
        <w:pStyle w:val="EYBodytextwithparaspace"/>
        <w:contextualSpacing/>
        <w:rPr>
          <w:rFonts w:eastAsia="Times New Roman"/>
          <w:b/>
          <w:szCs w:val="20"/>
          <w:lang w:val="ro-RO"/>
        </w:rPr>
      </w:pPr>
      <w:r>
        <w:rPr>
          <w:rFonts w:eastAsia="Times New Roman"/>
          <w:b/>
          <w:szCs w:val="20"/>
          <w:lang w:val="ro-RO"/>
        </w:rPr>
        <w:t xml:space="preserve">22 </w:t>
      </w:r>
      <w:r w:rsidR="00B56697" w:rsidRPr="004D4A05">
        <w:rPr>
          <w:rFonts w:eastAsia="Times New Roman"/>
          <w:b/>
          <w:szCs w:val="20"/>
          <w:lang w:val="ro-RO"/>
        </w:rPr>
        <w:t>septembrie 2021</w:t>
      </w:r>
    </w:p>
    <w:p w14:paraId="1B644531" w14:textId="77777777" w:rsidR="00B56697" w:rsidRPr="004D4A05" w:rsidRDefault="00B56697" w:rsidP="00B56697">
      <w:pPr>
        <w:pStyle w:val="EYBodytextwithparaspace"/>
        <w:contextualSpacing/>
        <w:rPr>
          <w:rFonts w:eastAsia="Times New Roman"/>
          <w:bCs/>
          <w:szCs w:val="20"/>
          <w:lang w:val="ro-RO"/>
        </w:rPr>
      </w:pPr>
      <w:r w:rsidRPr="004D4A05">
        <w:rPr>
          <w:rFonts w:eastAsia="Times New Roman"/>
          <w:bCs/>
          <w:szCs w:val="20"/>
          <w:lang w:val="ro-RO"/>
        </w:rPr>
        <w:t>Contact:</w:t>
      </w:r>
      <w:r w:rsidRPr="004D4A05">
        <w:rPr>
          <w:rFonts w:eastAsia="Times New Roman"/>
          <w:bCs/>
          <w:szCs w:val="20"/>
          <w:lang w:val="ro-RO"/>
        </w:rPr>
        <w:tab/>
        <w:t>Anda Huțanu</w:t>
      </w:r>
    </w:p>
    <w:p w14:paraId="70BF2EA2" w14:textId="77777777" w:rsidR="00B56697" w:rsidRPr="004D4A05" w:rsidRDefault="00B56697" w:rsidP="00B56697">
      <w:pPr>
        <w:pStyle w:val="EYBodytextwithparaspace"/>
        <w:contextualSpacing/>
        <w:rPr>
          <w:rFonts w:eastAsia="Times New Roman"/>
          <w:bCs/>
          <w:szCs w:val="20"/>
          <w:lang w:val="ro-RO"/>
        </w:rPr>
      </w:pPr>
      <w:r w:rsidRPr="004D4A05">
        <w:rPr>
          <w:rFonts w:eastAsia="Times New Roman"/>
          <w:bCs/>
          <w:szCs w:val="20"/>
          <w:lang w:val="ro-RO"/>
        </w:rPr>
        <w:t xml:space="preserve">Companie: </w:t>
      </w:r>
      <w:r w:rsidRPr="00E02309">
        <w:rPr>
          <w:rFonts w:eastAsia="Times New Roman"/>
          <w:bCs/>
          <w:szCs w:val="20"/>
          <w:lang w:val="ro-RO"/>
        </w:rPr>
        <w:t>EY România</w:t>
      </w:r>
    </w:p>
    <w:p w14:paraId="716CE1C7" w14:textId="77777777" w:rsidR="00B56697" w:rsidRPr="004D4A05" w:rsidRDefault="00B56697" w:rsidP="00B56697">
      <w:pPr>
        <w:pStyle w:val="EYBodytextwithparaspace"/>
        <w:contextualSpacing/>
        <w:rPr>
          <w:rFonts w:eastAsia="Times New Roman"/>
          <w:bCs/>
          <w:szCs w:val="20"/>
          <w:lang w:val="ro-RO"/>
        </w:rPr>
      </w:pPr>
      <w:r w:rsidRPr="004D4A05">
        <w:rPr>
          <w:rFonts w:eastAsia="Times New Roman"/>
          <w:bCs/>
          <w:szCs w:val="20"/>
          <w:lang w:val="ro-RO"/>
        </w:rPr>
        <w:t>Tel: +40 21 402 4000</w:t>
      </w:r>
      <w:bookmarkStart w:id="0" w:name="_GoBack"/>
      <w:bookmarkEnd w:id="0"/>
    </w:p>
    <w:p w14:paraId="791E82E7" w14:textId="77777777" w:rsidR="00B56697" w:rsidRPr="004D4A05" w:rsidRDefault="00B56697" w:rsidP="00B56697">
      <w:pPr>
        <w:pStyle w:val="EYBodytextwithparaspace"/>
        <w:contextualSpacing/>
        <w:rPr>
          <w:rFonts w:eastAsia="Times New Roman"/>
          <w:bCs/>
          <w:szCs w:val="20"/>
          <w:lang w:val="ro-RO"/>
        </w:rPr>
      </w:pPr>
      <w:r w:rsidRPr="004D4A05">
        <w:rPr>
          <w:rFonts w:eastAsia="Times New Roman"/>
          <w:bCs/>
          <w:szCs w:val="20"/>
          <w:lang w:val="ro-RO"/>
        </w:rPr>
        <w:t>E-mail: anda.hutanu@ro.ey.com</w:t>
      </w:r>
    </w:p>
    <w:p w14:paraId="6B36F892" w14:textId="1669DD2D" w:rsidR="000B2CC4" w:rsidRPr="000B2CC4" w:rsidRDefault="0037283E" w:rsidP="000B2CC4">
      <w:pPr>
        <w:rPr>
          <w:rFonts w:ascii="Arial" w:hAnsi="Arial" w:cs="Arial"/>
          <w:b/>
          <w:bCs/>
          <w:sz w:val="28"/>
          <w:szCs w:val="28"/>
          <w:lang w:val="ro-RO"/>
        </w:rPr>
      </w:pPr>
      <w:r w:rsidRPr="00660241">
        <w:rPr>
          <w:rFonts w:ascii="Arial" w:hAnsi="Arial" w:cs="Arial"/>
          <w:b/>
          <w:bCs/>
          <w:sz w:val="28"/>
          <w:szCs w:val="28"/>
          <w:lang w:val="ro-RO"/>
        </w:rPr>
        <w:t>Cap</w:t>
      </w:r>
      <w:r w:rsidR="005E00C1" w:rsidRPr="00660241">
        <w:rPr>
          <w:rFonts w:ascii="Arial" w:hAnsi="Arial" w:cs="Arial"/>
          <w:b/>
          <w:bCs/>
          <w:sz w:val="28"/>
          <w:szCs w:val="28"/>
          <w:lang w:val="ro-RO"/>
        </w:rPr>
        <w:t>canele</w:t>
      </w:r>
      <w:r w:rsidR="00686260" w:rsidRPr="00660241">
        <w:rPr>
          <w:rFonts w:ascii="Arial" w:hAnsi="Arial" w:cs="Arial"/>
          <w:b/>
          <w:bCs/>
          <w:sz w:val="28"/>
          <w:szCs w:val="28"/>
          <w:lang w:val="ro-RO"/>
        </w:rPr>
        <w:t xml:space="preserve"> comunicării digitale cu Fiscul. </w:t>
      </w:r>
      <w:r w:rsidR="00EF6CF7" w:rsidRPr="00660241">
        <w:rPr>
          <w:rFonts w:ascii="Arial" w:hAnsi="Arial" w:cs="Arial"/>
          <w:b/>
          <w:bCs/>
          <w:sz w:val="28"/>
          <w:szCs w:val="28"/>
          <w:lang w:val="ro-RO"/>
        </w:rPr>
        <w:t xml:space="preserve">Ce trebuie să </w:t>
      </w:r>
      <w:r w:rsidR="00C9408F" w:rsidRPr="00660241">
        <w:rPr>
          <w:rFonts w:ascii="Arial" w:hAnsi="Arial" w:cs="Arial"/>
          <w:b/>
          <w:bCs/>
          <w:sz w:val="28"/>
          <w:szCs w:val="28"/>
          <w:lang w:val="ro-RO"/>
        </w:rPr>
        <w:t>ști</w:t>
      </w:r>
      <w:r w:rsidR="00C9408F">
        <w:rPr>
          <w:rFonts w:ascii="Arial" w:hAnsi="Arial" w:cs="Arial"/>
          <w:b/>
          <w:bCs/>
          <w:sz w:val="28"/>
          <w:szCs w:val="28"/>
          <w:lang w:val="ro-RO"/>
        </w:rPr>
        <w:t>m</w:t>
      </w:r>
      <w:r w:rsidR="00C9408F" w:rsidRPr="00660241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EF6CF7" w:rsidRPr="00660241">
        <w:rPr>
          <w:rFonts w:ascii="Arial" w:hAnsi="Arial" w:cs="Arial"/>
          <w:b/>
          <w:bCs/>
          <w:sz w:val="28"/>
          <w:szCs w:val="28"/>
          <w:lang w:val="ro-RO"/>
        </w:rPr>
        <w:t xml:space="preserve">despre </w:t>
      </w:r>
      <w:r w:rsidR="00C9408F">
        <w:rPr>
          <w:rFonts w:ascii="Arial" w:hAnsi="Arial" w:cs="Arial"/>
          <w:b/>
          <w:bCs/>
          <w:sz w:val="28"/>
          <w:szCs w:val="28"/>
          <w:lang w:val="ro-RO"/>
        </w:rPr>
        <w:t xml:space="preserve">Spațiul Privat </w:t>
      </w:r>
      <w:r w:rsidR="00E30F45">
        <w:rPr>
          <w:rFonts w:ascii="Arial" w:hAnsi="Arial" w:cs="Arial"/>
          <w:b/>
          <w:bCs/>
          <w:sz w:val="28"/>
          <w:szCs w:val="28"/>
          <w:lang w:val="ro-RO"/>
        </w:rPr>
        <w:t>Virtua</w:t>
      </w:r>
      <w:r w:rsidR="00C9408F">
        <w:rPr>
          <w:rFonts w:ascii="Arial" w:hAnsi="Arial" w:cs="Arial"/>
          <w:b/>
          <w:bCs/>
          <w:sz w:val="28"/>
          <w:szCs w:val="28"/>
          <w:lang w:val="ro-RO"/>
        </w:rPr>
        <w:t>l (</w:t>
      </w:r>
      <w:r w:rsidR="00EF6CF7" w:rsidRPr="00660241">
        <w:rPr>
          <w:rFonts w:ascii="Arial" w:hAnsi="Arial" w:cs="Arial"/>
          <w:b/>
          <w:bCs/>
          <w:sz w:val="28"/>
          <w:szCs w:val="28"/>
          <w:lang w:val="ro-RO"/>
        </w:rPr>
        <w:t>SPV</w:t>
      </w:r>
      <w:r w:rsidR="00C9408F">
        <w:rPr>
          <w:rFonts w:ascii="Arial" w:hAnsi="Arial" w:cs="Arial"/>
          <w:b/>
          <w:bCs/>
          <w:sz w:val="28"/>
          <w:szCs w:val="28"/>
          <w:lang w:val="ro-RO"/>
        </w:rPr>
        <w:t>)</w:t>
      </w:r>
      <w:r w:rsidR="005E00C1" w:rsidRPr="00660241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</w:p>
    <w:p w14:paraId="4450123B" w14:textId="3CDA9EC2" w:rsidR="00660241" w:rsidRPr="00660241" w:rsidRDefault="00660241" w:rsidP="001B7A74">
      <w:pPr>
        <w:jc w:val="both"/>
        <w:rPr>
          <w:rFonts w:ascii="Arial" w:hAnsi="Arial" w:cs="Arial"/>
          <w:i/>
          <w:iCs/>
          <w:lang w:val="ro-RO"/>
        </w:rPr>
      </w:pPr>
      <w:r w:rsidRPr="00660241">
        <w:rPr>
          <w:rFonts w:ascii="Arial" w:hAnsi="Arial" w:cs="Arial"/>
          <w:i/>
          <w:iCs/>
          <w:lang w:val="ro-RO"/>
        </w:rPr>
        <w:t xml:space="preserve">Autori: Alex </w:t>
      </w:r>
      <w:proofErr w:type="spellStart"/>
      <w:r w:rsidRPr="00660241">
        <w:rPr>
          <w:rFonts w:ascii="Arial" w:hAnsi="Arial" w:cs="Arial"/>
          <w:i/>
          <w:iCs/>
          <w:lang w:val="ro-RO"/>
        </w:rPr>
        <w:t>Slujitoru</w:t>
      </w:r>
      <w:proofErr w:type="spellEnd"/>
      <w:r w:rsidRPr="00660241">
        <w:rPr>
          <w:rFonts w:ascii="Arial" w:hAnsi="Arial" w:cs="Arial"/>
          <w:i/>
          <w:iCs/>
          <w:lang w:val="ro-RO"/>
        </w:rPr>
        <w:t xml:space="preserve">, Răzvan </w:t>
      </w:r>
      <w:proofErr w:type="spellStart"/>
      <w:r w:rsidRPr="00660241">
        <w:rPr>
          <w:rFonts w:ascii="Arial" w:hAnsi="Arial" w:cs="Arial"/>
          <w:i/>
          <w:iCs/>
          <w:lang w:val="ro-RO"/>
        </w:rPr>
        <w:t>Brătilă</w:t>
      </w:r>
      <w:proofErr w:type="spellEnd"/>
      <w:r w:rsidR="00B56697">
        <w:rPr>
          <w:rFonts w:ascii="Arial" w:hAnsi="Arial" w:cs="Arial"/>
          <w:i/>
          <w:iCs/>
          <w:lang w:val="ro-RO"/>
        </w:rPr>
        <w:t xml:space="preserve">, </w:t>
      </w:r>
      <w:r w:rsidR="00747621">
        <w:rPr>
          <w:rFonts w:ascii="Arial" w:hAnsi="Arial" w:cs="Arial"/>
          <w:i/>
          <w:iCs/>
          <w:lang w:val="ro-RO"/>
        </w:rPr>
        <w:t>Avocați</w:t>
      </w:r>
      <w:r w:rsidR="00B56697">
        <w:rPr>
          <w:rFonts w:ascii="Arial" w:hAnsi="Arial" w:cs="Arial"/>
          <w:i/>
          <w:iCs/>
          <w:lang w:val="ro-RO"/>
        </w:rPr>
        <w:t xml:space="preserve">, Băncilă, Diaconu </w:t>
      </w:r>
      <w:r w:rsidR="00747621">
        <w:rPr>
          <w:rFonts w:ascii="Arial" w:hAnsi="Arial" w:cs="Arial"/>
          <w:i/>
          <w:iCs/>
          <w:lang w:val="ro-RO"/>
        </w:rPr>
        <w:t>și</w:t>
      </w:r>
      <w:r w:rsidR="00B56697">
        <w:rPr>
          <w:rFonts w:ascii="Arial" w:hAnsi="Arial" w:cs="Arial"/>
          <w:i/>
          <w:iCs/>
          <w:lang w:val="ro-RO"/>
        </w:rPr>
        <w:t xml:space="preserve"> </w:t>
      </w:r>
      <w:r w:rsidR="00747621">
        <w:rPr>
          <w:rFonts w:ascii="Arial" w:hAnsi="Arial" w:cs="Arial"/>
          <w:i/>
          <w:iCs/>
          <w:lang w:val="ro-RO"/>
        </w:rPr>
        <w:t>Asociații</w:t>
      </w:r>
      <w:r w:rsidR="00B56697">
        <w:rPr>
          <w:rFonts w:ascii="Arial" w:hAnsi="Arial" w:cs="Arial"/>
          <w:i/>
          <w:iCs/>
          <w:lang w:val="ro-RO"/>
        </w:rPr>
        <w:t xml:space="preserve"> SPRL</w:t>
      </w:r>
    </w:p>
    <w:p w14:paraId="0C9D7F6D" w14:textId="3BBFB358" w:rsidR="001B7A74" w:rsidRPr="001B7A74" w:rsidRDefault="002D4E14" w:rsidP="001B7A74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 xml:space="preserve">Începând cu </w:t>
      </w:r>
      <w:r w:rsidR="00C26131" w:rsidRPr="001B7A74">
        <w:rPr>
          <w:rFonts w:ascii="Arial" w:hAnsi="Arial" w:cs="Arial"/>
          <w:lang w:val="ro-RO"/>
        </w:rPr>
        <w:t xml:space="preserve">data de </w:t>
      </w:r>
      <w:r w:rsidRPr="001B7A74">
        <w:rPr>
          <w:rFonts w:ascii="Arial" w:hAnsi="Arial" w:cs="Arial"/>
          <w:lang w:val="ro-RO"/>
        </w:rPr>
        <w:t>1 martie</w:t>
      </w:r>
      <w:r w:rsidR="00C26131" w:rsidRPr="001B7A74">
        <w:rPr>
          <w:rFonts w:ascii="Arial" w:hAnsi="Arial" w:cs="Arial"/>
          <w:lang w:val="ro-RO"/>
        </w:rPr>
        <w:t xml:space="preserve"> </w:t>
      </w:r>
      <w:r w:rsidRPr="001B7A74">
        <w:rPr>
          <w:rFonts w:ascii="Arial" w:hAnsi="Arial" w:cs="Arial"/>
          <w:lang w:val="ro-RO"/>
        </w:rPr>
        <w:t xml:space="preserve">2022, </w:t>
      </w:r>
      <w:r w:rsidR="00492350" w:rsidRPr="001B7A74">
        <w:rPr>
          <w:rFonts w:ascii="Arial" w:hAnsi="Arial" w:cs="Arial"/>
          <w:lang w:val="ro-RO"/>
        </w:rPr>
        <w:t>contribuabili</w:t>
      </w:r>
      <w:r w:rsidR="00D7551F" w:rsidRPr="001B7A74">
        <w:rPr>
          <w:rFonts w:ascii="Arial" w:hAnsi="Arial" w:cs="Arial"/>
          <w:lang w:val="ro-RO"/>
        </w:rPr>
        <w:t>i</w:t>
      </w:r>
      <w:r w:rsidR="001B7A74" w:rsidRPr="001B7A74">
        <w:rPr>
          <w:rFonts w:ascii="Arial" w:hAnsi="Arial" w:cs="Arial"/>
          <w:lang w:val="ro-RO"/>
        </w:rPr>
        <w:t xml:space="preserve"> vor fi</w:t>
      </w:r>
      <w:r w:rsidR="00D7551F" w:rsidRPr="001B7A74">
        <w:rPr>
          <w:rFonts w:ascii="Arial" w:hAnsi="Arial" w:cs="Arial"/>
          <w:lang w:val="ro-RO"/>
        </w:rPr>
        <w:t xml:space="preserve"> obligați să se</w:t>
      </w:r>
      <w:r w:rsidR="00F32201" w:rsidRPr="001B7A74">
        <w:rPr>
          <w:rFonts w:ascii="Arial" w:hAnsi="Arial" w:cs="Arial"/>
          <w:lang w:val="ro-RO"/>
        </w:rPr>
        <w:t xml:space="preserve"> înrol</w:t>
      </w:r>
      <w:r w:rsidR="00D7551F" w:rsidRPr="001B7A74">
        <w:rPr>
          <w:rFonts w:ascii="Arial" w:hAnsi="Arial" w:cs="Arial"/>
          <w:lang w:val="ro-RO"/>
        </w:rPr>
        <w:t>eze</w:t>
      </w:r>
      <w:r w:rsidR="00F32201" w:rsidRPr="001B7A74">
        <w:rPr>
          <w:rFonts w:ascii="Arial" w:hAnsi="Arial" w:cs="Arial"/>
          <w:lang w:val="ro-RO"/>
        </w:rPr>
        <w:t xml:space="preserve"> în S</w:t>
      </w:r>
      <w:r w:rsidR="001B7A74" w:rsidRPr="001B7A74">
        <w:rPr>
          <w:rFonts w:ascii="Arial" w:hAnsi="Arial" w:cs="Arial"/>
          <w:lang w:val="ro-RO"/>
        </w:rPr>
        <w:t>pațiul Privat Virtual (SPV), acesta devenind singura cale de comunicare a oricăror documente administrative către ANAF. Textul de lege nu furnizează</w:t>
      </w:r>
      <w:r w:rsidR="006A6166">
        <w:rPr>
          <w:rFonts w:ascii="Arial" w:hAnsi="Arial" w:cs="Arial"/>
          <w:lang w:val="ro-RO"/>
        </w:rPr>
        <w:t>, însă,</w:t>
      </w:r>
      <w:r w:rsidR="001B7A74" w:rsidRPr="001B7A74">
        <w:rPr>
          <w:rFonts w:ascii="Arial" w:hAnsi="Arial" w:cs="Arial"/>
          <w:lang w:val="ro-RO"/>
        </w:rPr>
        <w:t xml:space="preserve"> o listă a documentelor care trebuie depuse prin intermediul SPV, ci stabilește doar că vor fi comunicate prin această platformă toate </w:t>
      </w:r>
      <w:r w:rsidR="001B7A74" w:rsidRPr="001B7A74">
        <w:rPr>
          <w:rFonts w:ascii="Arial" w:hAnsi="Arial" w:cs="Arial"/>
          <w:i/>
          <w:iCs/>
          <w:lang w:val="ro-RO"/>
        </w:rPr>
        <w:t xml:space="preserve">cererile, înscrisurile sau documentele. </w:t>
      </w:r>
      <w:r w:rsidR="001B7A74" w:rsidRPr="003E3740">
        <w:rPr>
          <w:rFonts w:ascii="Arial" w:hAnsi="Arial" w:cs="Arial"/>
          <w:iCs/>
          <w:lang w:val="ro-RO"/>
        </w:rPr>
        <w:t>Nerespectarea acestei prevederi</w:t>
      </w:r>
      <w:r w:rsidR="001B7A74" w:rsidRPr="001B7A74">
        <w:rPr>
          <w:rFonts w:ascii="Arial" w:hAnsi="Arial" w:cs="Arial"/>
          <w:lang w:val="ro-RO"/>
        </w:rPr>
        <w:t xml:space="preserve"> </w:t>
      </w:r>
      <w:r w:rsidR="006A6166">
        <w:rPr>
          <w:rFonts w:ascii="Arial" w:hAnsi="Arial" w:cs="Arial"/>
          <w:lang w:val="ro-RO"/>
        </w:rPr>
        <w:t xml:space="preserve">vine cu </w:t>
      </w:r>
      <w:r w:rsidR="001B7A74" w:rsidRPr="001B7A74">
        <w:rPr>
          <w:rFonts w:ascii="Arial" w:hAnsi="Arial" w:cs="Arial"/>
          <w:lang w:val="ro-RO"/>
        </w:rPr>
        <w:t>o sancțiune drastică</w:t>
      </w:r>
      <w:r w:rsidR="004E0DFE">
        <w:rPr>
          <w:rFonts w:ascii="Arial" w:hAnsi="Arial" w:cs="Arial"/>
          <w:lang w:val="ro-RO"/>
        </w:rPr>
        <w:t>:</w:t>
      </w:r>
      <w:r w:rsidR="001B7A74" w:rsidRPr="001B7A74">
        <w:rPr>
          <w:rFonts w:ascii="Arial" w:hAnsi="Arial" w:cs="Arial"/>
          <w:lang w:val="ro-RO"/>
        </w:rPr>
        <w:t xml:space="preserve"> dacă documentele relevante vor fi depuse de către contribuabili în format fizic, prin registratura organului fiscal sau prin poștă, organele fiscale nu le vor lua în considerare.</w:t>
      </w:r>
      <w:r w:rsidR="0009609A">
        <w:rPr>
          <w:rFonts w:ascii="Arial" w:hAnsi="Arial" w:cs="Arial"/>
          <w:lang w:val="ro-RO"/>
        </w:rPr>
        <w:t xml:space="preserve"> Și, deși digitalizarea </w:t>
      </w:r>
      <w:r w:rsidR="008E4281">
        <w:rPr>
          <w:rFonts w:ascii="Arial" w:hAnsi="Arial" w:cs="Arial"/>
          <w:lang w:val="ro-RO"/>
        </w:rPr>
        <w:t>Fiscului</w:t>
      </w:r>
      <w:r w:rsidR="0009609A">
        <w:rPr>
          <w:rFonts w:ascii="Arial" w:hAnsi="Arial" w:cs="Arial"/>
          <w:lang w:val="ro-RO"/>
        </w:rPr>
        <w:t xml:space="preserve"> </w:t>
      </w:r>
      <w:r w:rsidR="008E4281">
        <w:rPr>
          <w:rFonts w:ascii="Arial" w:hAnsi="Arial" w:cs="Arial"/>
          <w:lang w:val="ro-RO"/>
        </w:rPr>
        <w:t xml:space="preserve">este </w:t>
      </w:r>
      <w:r w:rsidR="007E5576">
        <w:rPr>
          <w:rFonts w:ascii="Arial" w:hAnsi="Arial" w:cs="Arial"/>
          <w:lang w:val="ro-RO"/>
        </w:rPr>
        <w:t>aș</w:t>
      </w:r>
      <w:r w:rsidR="00343F34">
        <w:rPr>
          <w:rFonts w:ascii="Arial" w:hAnsi="Arial" w:cs="Arial"/>
          <w:lang w:val="ro-RO"/>
        </w:rPr>
        <w:t>t</w:t>
      </w:r>
      <w:r w:rsidR="007E5576">
        <w:rPr>
          <w:rFonts w:ascii="Arial" w:hAnsi="Arial" w:cs="Arial"/>
          <w:lang w:val="ro-RO"/>
        </w:rPr>
        <w:t>eptată</w:t>
      </w:r>
      <w:r w:rsidR="008E4281">
        <w:rPr>
          <w:rFonts w:ascii="Arial" w:hAnsi="Arial" w:cs="Arial"/>
          <w:lang w:val="ro-RO"/>
        </w:rPr>
        <w:t xml:space="preserve"> de toți contribuabilii, </w:t>
      </w:r>
      <w:r w:rsidR="00197E36">
        <w:rPr>
          <w:rFonts w:ascii="Arial" w:hAnsi="Arial" w:cs="Arial"/>
          <w:lang w:val="ro-RO"/>
        </w:rPr>
        <w:t xml:space="preserve">iată cum </w:t>
      </w:r>
      <w:r w:rsidR="007505AE">
        <w:rPr>
          <w:rFonts w:ascii="Arial" w:hAnsi="Arial" w:cs="Arial"/>
          <w:lang w:val="ro-RO"/>
        </w:rPr>
        <w:t>o intenție bună</w:t>
      </w:r>
      <w:r w:rsidR="00123AE9">
        <w:rPr>
          <w:rFonts w:ascii="Arial" w:hAnsi="Arial" w:cs="Arial"/>
          <w:lang w:val="ro-RO"/>
        </w:rPr>
        <w:t xml:space="preserve">, de optimizare, poate avea </w:t>
      </w:r>
      <w:r w:rsidR="00063E35">
        <w:rPr>
          <w:rFonts w:ascii="Arial" w:hAnsi="Arial" w:cs="Arial"/>
          <w:lang w:val="ro-RO"/>
        </w:rPr>
        <w:t xml:space="preserve">consecințe negative, dacă </w:t>
      </w:r>
      <w:r w:rsidR="00343F34">
        <w:rPr>
          <w:rFonts w:ascii="Arial" w:hAnsi="Arial" w:cs="Arial"/>
          <w:lang w:val="ro-RO"/>
        </w:rPr>
        <w:t xml:space="preserve">nu </w:t>
      </w:r>
      <w:r w:rsidR="005E0AEA">
        <w:rPr>
          <w:rFonts w:ascii="Arial" w:hAnsi="Arial" w:cs="Arial"/>
          <w:lang w:val="ro-RO"/>
        </w:rPr>
        <w:t>va fi</w:t>
      </w:r>
      <w:r w:rsidR="00343F34">
        <w:rPr>
          <w:rFonts w:ascii="Arial" w:hAnsi="Arial" w:cs="Arial"/>
          <w:lang w:val="ro-RO"/>
        </w:rPr>
        <w:t xml:space="preserve"> implementată </w:t>
      </w:r>
      <w:r w:rsidR="00DC7110">
        <w:rPr>
          <w:rFonts w:ascii="Arial" w:hAnsi="Arial" w:cs="Arial"/>
          <w:lang w:val="ro-RO"/>
        </w:rPr>
        <w:t xml:space="preserve">corespunzător. </w:t>
      </w:r>
    </w:p>
    <w:p w14:paraId="3DF50B64" w14:textId="18AB0369" w:rsidR="001B7A74" w:rsidRPr="001B7A74" w:rsidRDefault="001B7A74" w:rsidP="001B7A74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>Modificările recente aduse Codului de Procedură Fiscală</w:t>
      </w:r>
      <w:r w:rsidRPr="001B7A74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="00DF4D20">
        <w:rPr>
          <w:rFonts w:ascii="Arial" w:hAnsi="Arial" w:cs="Arial"/>
          <w:lang w:val="ro-RO"/>
        </w:rPr>
        <w:t>(</w:t>
      </w:r>
      <w:r w:rsidRPr="001B7A74">
        <w:rPr>
          <w:rFonts w:ascii="Arial" w:hAnsi="Arial" w:cs="Arial"/>
          <w:lang w:val="ro-RO"/>
        </w:rPr>
        <w:t>art. 79 din Codul de procedură fiscală</w:t>
      </w:r>
      <w:r w:rsidR="00DF4D20">
        <w:rPr>
          <w:rFonts w:ascii="Arial" w:hAnsi="Arial" w:cs="Arial"/>
          <w:lang w:val="ro-RO"/>
        </w:rPr>
        <w:t xml:space="preserve">) </w:t>
      </w:r>
      <w:r w:rsidRPr="001B7A74">
        <w:rPr>
          <w:rFonts w:ascii="Arial" w:hAnsi="Arial" w:cs="Arial"/>
          <w:lang w:val="ro-RO"/>
        </w:rPr>
        <w:t>introduc trei</w:t>
      </w:r>
      <w:r w:rsidRPr="001B7A74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Pr="001B7A74">
        <w:rPr>
          <w:rFonts w:ascii="Arial" w:hAnsi="Arial" w:cs="Arial"/>
          <w:lang w:val="ro-RO"/>
        </w:rPr>
        <w:t>categorii de contribuabili care vor avea obligația să se înroleze în Spațiul Privat Virtual și să transmită documente prin intermediul acestei platforme. Categoriile în discuție sunt contribuabilii/</w:t>
      </w:r>
      <w:r w:rsidR="00D54BC9">
        <w:rPr>
          <w:rFonts w:ascii="Arial" w:hAnsi="Arial" w:cs="Arial"/>
          <w:lang w:val="ro-RO"/>
        </w:rPr>
        <w:t xml:space="preserve"> </w:t>
      </w:r>
      <w:r w:rsidRPr="001B7A74">
        <w:rPr>
          <w:rFonts w:ascii="Arial" w:hAnsi="Arial" w:cs="Arial"/>
          <w:lang w:val="ro-RO"/>
        </w:rPr>
        <w:t xml:space="preserve">plătitorii persoane juridice, asocierile și entitățile fără personalitate juridică, dar și persoanele fizice care desfășoară o profesie liberală sau exercită o activitate economică în mod independent în una dintre formele prevăzute de Ordonanța de urgență a Guvernului nr. 44/2008, adică întreprinderile individuale sau întreprinderile familiale. </w:t>
      </w:r>
    </w:p>
    <w:p w14:paraId="413A89D1" w14:textId="69F04562" w:rsidR="001B7A74" w:rsidRPr="001B7A74" w:rsidRDefault="001B7A74" w:rsidP="001B7A74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>Cu alte cuvinte, legiuitorul stabilește în sarcina majorității contribuabililor care desfășoară o activitate economică obligația de a transmite documente prin intermediul SPV.</w:t>
      </w:r>
    </w:p>
    <w:p w14:paraId="3AA7C653" w14:textId="7205D45D" w:rsidR="001B7A74" w:rsidRPr="001B7A74" w:rsidRDefault="00AA0706" w:rsidP="00002429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că t</w:t>
      </w:r>
      <w:r w:rsidR="001B7A74" w:rsidRPr="001B7A74">
        <w:rPr>
          <w:rFonts w:ascii="Arial" w:hAnsi="Arial" w:cs="Arial"/>
          <w:lang w:val="ro-RO"/>
        </w:rPr>
        <w:t>extul de lege nu list</w:t>
      </w:r>
      <w:r w:rsidR="006F1FCE">
        <w:rPr>
          <w:rFonts w:ascii="Arial" w:hAnsi="Arial" w:cs="Arial"/>
          <w:lang w:val="ro-RO"/>
        </w:rPr>
        <w:t>ează</w:t>
      </w:r>
      <w:r w:rsidR="001B7A74" w:rsidRPr="001B7A74">
        <w:rPr>
          <w:rFonts w:ascii="Arial" w:hAnsi="Arial" w:cs="Arial"/>
          <w:lang w:val="ro-RO"/>
        </w:rPr>
        <w:t xml:space="preserve"> documentel</w:t>
      </w:r>
      <w:r w:rsidR="006F1FCE">
        <w:rPr>
          <w:rFonts w:ascii="Arial" w:hAnsi="Arial" w:cs="Arial"/>
          <w:lang w:val="ro-RO"/>
        </w:rPr>
        <w:t>e</w:t>
      </w:r>
      <w:r w:rsidR="001B7A74" w:rsidRPr="001B7A74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obligatorii</w:t>
      </w:r>
      <w:r w:rsidR="001B7A74" w:rsidRPr="001B7A74">
        <w:rPr>
          <w:rFonts w:ascii="Arial" w:hAnsi="Arial" w:cs="Arial"/>
          <w:lang w:val="ro-RO"/>
        </w:rPr>
        <w:t xml:space="preserve">, ci </w:t>
      </w:r>
      <w:r>
        <w:rPr>
          <w:rFonts w:ascii="Arial" w:hAnsi="Arial" w:cs="Arial"/>
          <w:lang w:val="ro-RO"/>
        </w:rPr>
        <w:t xml:space="preserve">doar </w:t>
      </w:r>
      <w:r w:rsidR="001B7A74" w:rsidRPr="001B7A74">
        <w:rPr>
          <w:rFonts w:ascii="Arial" w:hAnsi="Arial" w:cs="Arial"/>
          <w:lang w:val="ro-RO"/>
        </w:rPr>
        <w:t xml:space="preserve">stabilește că vor fi comunicate prin această platformă toate </w:t>
      </w:r>
      <w:r w:rsidR="001B7A74" w:rsidRPr="001B7A74">
        <w:rPr>
          <w:rFonts w:ascii="Arial" w:hAnsi="Arial" w:cs="Arial"/>
          <w:i/>
          <w:iCs/>
          <w:lang w:val="ro-RO"/>
        </w:rPr>
        <w:t>cererile, înscrisurile sau documentele</w:t>
      </w:r>
      <w:r>
        <w:rPr>
          <w:rFonts w:ascii="Arial" w:hAnsi="Arial" w:cs="Arial"/>
          <w:lang w:val="ro-RO"/>
        </w:rPr>
        <w:t xml:space="preserve">, considerăm că </w:t>
      </w:r>
      <w:r w:rsidR="001B7A74" w:rsidRPr="001B7A74">
        <w:rPr>
          <w:rFonts w:ascii="Arial" w:hAnsi="Arial" w:cs="Arial"/>
          <w:lang w:val="ro-RO"/>
        </w:rPr>
        <w:t xml:space="preserve">legiuitorul se referă la </w:t>
      </w:r>
      <w:proofErr w:type="spellStart"/>
      <w:r w:rsidR="001B7A74" w:rsidRPr="001B7A74">
        <w:rPr>
          <w:rFonts w:ascii="Arial" w:hAnsi="Arial" w:cs="Arial"/>
          <w:lang w:val="ro-RO"/>
        </w:rPr>
        <w:t>declaraţii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fiscale, </w:t>
      </w:r>
      <w:proofErr w:type="spellStart"/>
      <w:r w:rsidR="001B7A74" w:rsidRPr="001B7A74">
        <w:rPr>
          <w:rFonts w:ascii="Arial" w:hAnsi="Arial" w:cs="Arial"/>
          <w:lang w:val="ro-RO"/>
        </w:rPr>
        <w:t>declaraţii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de înregistrare </w:t>
      </w:r>
      <w:proofErr w:type="spellStart"/>
      <w:r w:rsidR="001B7A74" w:rsidRPr="001B7A74">
        <w:rPr>
          <w:rFonts w:ascii="Arial" w:hAnsi="Arial" w:cs="Arial"/>
          <w:lang w:val="ro-RO"/>
        </w:rPr>
        <w:t>şi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alte </w:t>
      </w:r>
      <w:proofErr w:type="spellStart"/>
      <w:r w:rsidR="001B7A74" w:rsidRPr="001B7A74">
        <w:rPr>
          <w:rFonts w:ascii="Arial" w:hAnsi="Arial" w:cs="Arial"/>
          <w:lang w:val="ro-RO"/>
        </w:rPr>
        <w:t>declaraţii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întocmite, potrivit legii, dar și la cereri adresate de contribuabili organului fiscal pentru </w:t>
      </w:r>
      <w:proofErr w:type="spellStart"/>
      <w:r w:rsidR="001B7A74" w:rsidRPr="001B7A74">
        <w:rPr>
          <w:rFonts w:ascii="Arial" w:hAnsi="Arial" w:cs="Arial"/>
          <w:lang w:val="ro-RO"/>
        </w:rPr>
        <w:t>obţinerea</w:t>
      </w:r>
      <w:proofErr w:type="spellEnd"/>
      <w:r w:rsidR="001B7A74" w:rsidRPr="001B7A74">
        <w:rPr>
          <w:rFonts w:ascii="Arial" w:hAnsi="Arial" w:cs="Arial"/>
          <w:lang w:val="ro-RO"/>
        </w:rPr>
        <w:t xml:space="preserve"> unor </w:t>
      </w:r>
      <w:proofErr w:type="spellStart"/>
      <w:r w:rsidR="001B7A74" w:rsidRPr="001B7A74">
        <w:rPr>
          <w:rFonts w:ascii="Arial" w:hAnsi="Arial" w:cs="Arial"/>
          <w:lang w:val="ro-RO"/>
        </w:rPr>
        <w:t>informaţii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sau documente în legătură cu </w:t>
      </w:r>
      <w:proofErr w:type="spellStart"/>
      <w:r w:rsidR="001B7A74" w:rsidRPr="001B7A74">
        <w:rPr>
          <w:rFonts w:ascii="Arial" w:hAnsi="Arial" w:cs="Arial"/>
          <w:lang w:val="ro-RO"/>
        </w:rPr>
        <w:t>situaţia</w:t>
      </w:r>
      <w:proofErr w:type="spellEnd"/>
      <w:r w:rsidR="001B7A74" w:rsidRPr="001B7A74">
        <w:rPr>
          <w:rFonts w:ascii="Arial" w:hAnsi="Arial" w:cs="Arial"/>
          <w:lang w:val="ro-RO"/>
        </w:rPr>
        <w:t xml:space="preserve"> fiscală personală. În această categorie ar intra cererea de </w:t>
      </w:r>
      <w:proofErr w:type="spellStart"/>
      <w:r w:rsidR="001B7A74" w:rsidRPr="001B7A74">
        <w:rPr>
          <w:rFonts w:ascii="Arial" w:hAnsi="Arial" w:cs="Arial"/>
          <w:lang w:val="ro-RO"/>
        </w:rPr>
        <w:t>informaţii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despre </w:t>
      </w:r>
      <w:proofErr w:type="spellStart"/>
      <w:r w:rsidR="001B7A74" w:rsidRPr="001B7A74">
        <w:rPr>
          <w:rFonts w:ascii="Arial" w:hAnsi="Arial" w:cs="Arial"/>
          <w:lang w:val="ro-RO"/>
        </w:rPr>
        <w:t>contribuţiile</w:t>
      </w:r>
      <w:proofErr w:type="spellEnd"/>
      <w:r w:rsidR="001B7A74" w:rsidRPr="001B7A74">
        <w:rPr>
          <w:rFonts w:ascii="Arial" w:hAnsi="Arial" w:cs="Arial"/>
          <w:lang w:val="ro-RO"/>
        </w:rPr>
        <w:t xml:space="preserve"> de asigurări sociale declarate de angajatori, cerere</w:t>
      </w:r>
      <w:r w:rsidR="00C9408F">
        <w:rPr>
          <w:rFonts w:ascii="Arial" w:hAnsi="Arial" w:cs="Arial"/>
          <w:lang w:val="ro-RO"/>
        </w:rPr>
        <w:t>a</w:t>
      </w:r>
      <w:r w:rsidR="001B7A74" w:rsidRPr="001B7A74">
        <w:rPr>
          <w:rFonts w:ascii="Arial" w:hAnsi="Arial" w:cs="Arial"/>
          <w:lang w:val="ro-RO"/>
        </w:rPr>
        <w:t xml:space="preserve"> de eliberare a certificatului de atestare fiscală, cerere</w:t>
      </w:r>
      <w:r w:rsidR="00C9408F">
        <w:rPr>
          <w:rFonts w:ascii="Arial" w:hAnsi="Arial" w:cs="Arial"/>
          <w:lang w:val="ro-RO"/>
        </w:rPr>
        <w:t>a</w:t>
      </w:r>
      <w:r w:rsidR="001B7A74" w:rsidRPr="001B7A74">
        <w:rPr>
          <w:rFonts w:ascii="Arial" w:hAnsi="Arial" w:cs="Arial"/>
          <w:lang w:val="ro-RO"/>
        </w:rPr>
        <w:t xml:space="preserve"> de eliberare a cazierului fiscal, cerere</w:t>
      </w:r>
      <w:r w:rsidR="00C9408F">
        <w:rPr>
          <w:rFonts w:ascii="Arial" w:hAnsi="Arial" w:cs="Arial"/>
          <w:lang w:val="ro-RO"/>
        </w:rPr>
        <w:t>a</w:t>
      </w:r>
      <w:r w:rsidR="001B7A74" w:rsidRPr="001B7A74">
        <w:rPr>
          <w:rFonts w:ascii="Arial" w:hAnsi="Arial" w:cs="Arial"/>
          <w:lang w:val="ro-RO"/>
        </w:rPr>
        <w:t xml:space="preserve"> de eliberare a </w:t>
      </w:r>
      <w:r w:rsidR="001B7A74" w:rsidRPr="001B7A74">
        <w:rPr>
          <w:rFonts w:ascii="Arial" w:hAnsi="Arial" w:cs="Arial"/>
          <w:lang w:val="ro-RO"/>
        </w:rPr>
        <w:lastRenderedPageBreak/>
        <w:t xml:space="preserve">unei </w:t>
      </w:r>
      <w:proofErr w:type="spellStart"/>
      <w:r w:rsidR="001B7A74" w:rsidRPr="001B7A74">
        <w:rPr>
          <w:rFonts w:ascii="Arial" w:hAnsi="Arial" w:cs="Arial"/>
          <w:lang w:val="ro-RO"/>
        </w:rPr>
        <w:t>adeverinţe</w:t>
      </w:r>
      <w:proofErr w:type="spellEnd"/>
      <w:r w:rsidR="001B7A74" w:rsidRPr="001B7A74">
        <w:rPr>
          <w:rFonts w:ascii="Arial" w:hAnsi="Arial" w:cs="Arial"/>
          <w:lang w:val="ro-RO"/>
        </w:rPr>
        <w:t xml:space="preserve"> de venit, solicitarea unei opinii privind aplicarea </w:t>
      </w:r>
      <w:proofErr w:type="spellStart"/>
      <w:r w:rsidR="001B7A74" w:rsidRPr="001B7A74">
        <w:rPr>
          <w:rFonts w:ascii="Arial" w:hAnsi="Arial" w:cs="Arial"/>
          <w:lang w:val="ro-RO"/>
        </w:rPr>
        <w:t>legislaţiei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fiscale, cereri de </w:t>
      </w:r>
      <w:proofErr w:type="spellStart"/>
      <w:r w:rsidR="001B7A74" w:rsidRPr="001B7A74">
        <w:rPr>
          <w:rFonts w:ascii="Arial" w:hAnsi="Arial" w:cs="Arial"/>
          <w:lang w:val="ro-RO"/>
        </w:rPr>
        <w:t>audienţă</w:t>
      </w:r>
      <w:proofErr w:type="spellEnd"/>
      <w:r w:rsidR="001B7A74" w:rsidRPr="001B7A74">
        <w:rPr>
          <w:rFonts w:ascii="Arial" w:hAnsi="Arial" w:cs="Arial"/>
          <w:lang w:val="ro-RO"/>
        </w:rPr>
        <w:t xml:space="preserve">, sesizări, </w:t>
      </w:r>
      <w:proofErr w:type="spellStart"/>
      <w:r w:rsidR="001B7A74" w:rsidRPr="001B7A74">
        <w:rPr>
          <w:rFonts w:ascii="Arial" w:hAnsi="Arial" w:cs="Arial"/>
          <w:lang w:val="ro-RO"/>
        </w:rPr>
        <w:t>petiţii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, </w:t>
      </w:r>
      <w:proofErr w:type="spellStart"/>
      <w:r w:rsidR="001B7A74" w:rsidRPr="001B7A74">
        <w:rPr>
          <w:rFonts w:ascii="Arial" w:hAnsi="Arial" w:cs="Arial"/>
          <w:lang w:val="ro-RO"/>
        </w:rPr>
        <w:t>reclamaţii</w:t>
      </w:r>
      <w:proofErr w:type="spellEnd"/>
      <w:r w:rsidR="001B7A74" w:rsidRPr="001B7A74">
        <w:rPr>
          <w:rFonts w:ascii="Arial" w:hAnsi="Arial" w:cs="Arial"/>
          <w:lang w:val="ro-RO"/>
        </w:rPr>
        <w:t xml:space="preserve">, solicitări privind </w:t>
      </w:r>
      <w:proofErr w:type="spellStart"/>
      <w:r w:rsidR="001B7A74" w:rsidRPr="001B7A74">
        <w:rPr>
          <w:rFonts w:ascii="Arial" w:hAnsi="Arial" w:cs="Arial"/>
          <w:lang w:val="ro-RO"/>
        </w:rPr>
        <w:t>informaţiile</w:t>
      </w:r>
      <w:proofErr w:type="spellEnd"/>
      <w:r w:rsidR="001B7A74" w:rsidRPr="001B7A74">
        <w:rPr>
          <w:rFonts w:ascii="Arial" w:hAnsi="Arial" w:cs="Arial"/>
          <w:lang w:val="ro-RO"/>
        </w:rPr>
        <w:t xml:space="preserve"> publice </w:t>
      </w:r>
      <w:proofErr w:type="spellStart"/>
      <w:r w:rsidR="001B7A74" w:rsidRPr="001B7A74">
        <w:rPr>
          <w:rFonts w:ascii="Arial" w:hAnsi="Arial" w:cs="Arial"/>
          <w:lang w:val="ro-RO"/>
        </w:rPr>
        <w:t>şi</w:t>
      </w:r>
      <w:proofErr w:type="spellEnd"/>
      <w:r w:rsidR="001B7A74" w:rsidRPr="001B7A74">
        <w:rPr>
          <w:rFonts w:ascii="Arial" w:hAnsi="Arial" w:cs="Arial"/>
          <w:lang w:val="ro-RO"/>
        </w:rPr>
        <w:t xml:space="preserve"> altele asemenea.</w:t>
      </w:r>
    </w:p>
    <w:p w14:paraId="7A4BD247" w14:textId="48CD38BD" w:rsidR="00967C28" w:rsidRDefault="001B7A74" w:rsidP="00615CA2">
      <w:pPr>
        <w:jc w:val="both"/>
        <w:rPr>
          <w:rFonts w:ascii="Arial" w:hAnsi="Arial" w:cs="Arial"/>
          <w:b/>
          <w:bCs/>
          <w:i/>
          <w:iCs/>
          <w:lang w:val="ro-RO"/>
        </w:rPr>
      </w:pPr>
      <w:r w:rsidRPr="00967C28">
        <w:rPr>
          <w:rFonts w:ascii="Arial" w:hAnsi="Arial" w:cs="Arial"/>
          <w:b/>
          <w:bCs/>
          <w:lang w:val="ro-RO"/>
        </w:rPr>
        <w:t>N</w:t>
      </w:r>
      <w:r w:rsidR="00967C28" w:rsidRPr="00967C28">
        <w:rPr>
          <w:rFonts w:ascii="Arial" w:hAnsi="Arial" w:cs="Arial"/>
          <w:b/>
          <w:bCs/>
          <w:lang w:val="ro-RO"/>
        </w:rPr>
        <w:t xml:space="preserve">edepunerea documentelor prin intermediul </w:t>
      </w:r>
      <w:r w:rsidR="00067DE2">
        <w:rPr>
          <w:rFonts w:ascii="Arial" w:hAnsi="Arial" w:cs="Arial"/>
          <w:b/>
          <w:bCs/>
          <w:lang w:val="ro-RO"/>
        </w:rPr>
        <w:t>S</w:t>
      </w:r>
      <w:r w:rsidR="00067DE2" w:rsidRPr="00967C28">
        <w:rPr>
          <w:rFonts w:ascii="Arial" w:hAnsi="Arial" w:cs="Arial"/>
          <w:b/>
          <w:bCs/>
          <w:lang w:val="ro-RO"/>
        </w:rPr>
        <w:t xml:space="preserve">pațiului </w:t>
      </w:r>
      <w:r w:rsidR="00067DE2">
        <w:rPr>
          <w:rFonts w:ascii="Arial" w:hAnsi="Arial" w:cs="Arial"/>
          <w:b/>
          <w:bCs/>
          <w:lang w:val="ro-RO"/>
        </w:rPr>
        <w:t>P</w:t>
      </w:r>
      <w:r w:rsidR="00067DE2" w:rsidRPr="00967C28">
        <w:rPr>
          <w:rFonts w:ascii="Arial" w:hAnsi="Arial" w:cs="Arial"/>
          <w:b/>
          <w:bCs/>
          <w:lang w:val="ro-RO"/>
        </w:rPr>
        <w:t xml:space="preserve">rivat </w:t>
      </w:r>
      <w:r w:rsidR="00067DE2">
        <w:rPr>
          <w:rFonts w:ascii="Arial" w:hAnsi="Arial" w:cs="Arial"/>
          <w:b/>
          <w:bCs/>
          <w:lang w:val="ro-RO"/>
        </w:rPr>
        <w:t>V</w:t>
      </w:r>
      <w:r w:rsidR="00067DE2" w:rsidRPr="00967C28">
        <w:rPr>
          <w:rFonts w:ascii="Arial" w:hAnsi="Arial" w:cs="Arial"/>
          <w:b/>
          <w:bCs/>
          <w:lang w:val="ro-RO"/>
        </w:rPr>
        <w:t xml:space="preserve">irtual </w:t>
      </w:r>
      <w:r w:rsidR="00967C28" w:rsidRPr="00967C28">
        <w:rPr>
          <w:rFonts w:ascii="Arial" w:hAnsi="Arial" w:cs="Arial"/>
          <w:b/>
          <w:bCs/>
          <w:lang w:val="ro-RO"/>
        </w:rPr>
        <w:t>este sancționată</w:t>
      </w:r>
      <w:r w:rsidRPr="001B7A74">
        <w:rPr>
          <w:rFonts w:ascii="Arial" w:hAnsi="Arial" w:cs="Arial"/>
          <w:b/>
          <w:bCs/>
          <w:i/>
          <w:iCs/>
          <w:lang w:val="ro-RO"/>
        </w:rPr>
        <w:t xml:space="preserve"> </w:t>
      </w:r>
    </w:p>
    <w:p w14:paraId="56915234" w14:textId="65F16F68" w:rsidR="009E6776" w:rsidRPr="001B7A74" w:rsidRDefault="00D7551F" w:rsidP="00615CA2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>A</w:t>
      </w:r>
      <w:r w:rsidR="003F64F3" w:rsidRPr="001B7A74">
        <w:rPr>
          <w:rFonts w:ascii="Arial" w:hAnsi="Arial" w:cs="Arial"/>
          <w:lang w:val="ro-RO"/>
        </w:rPr>
        <w:t>rt. 79 alin. (1</w:t>
      </w:r>
      <w:r w:rsidR="003F64F3" w:rsidRPr="001B7A74">
        <w:rPr>
          <w:rFonts w:ascii="Arial" w:hAnsi="Arial" w:cs="Arial"/>
          <w:vertAlign w:val="superscript"/>
          <w:lang w:val="ro-RO"/>
        </w:rPr>
        <w:t>2</w:t>
      </w:r>
      <w:r w:rsidR="003F64F3" w:rsidRPr="001B7A74">
        <w:rPr>
          <w:rFonts w:ascii="Arial" w:hAnsi="Arial" w:cs="Arial"/>
          <w:lang w:val="ro-RO"/>
        </w:rPr>
        <w:t>) stabilește o s</w:t>
      </w:r>
      <w:r w:rsidR="005236B3" w:rsidRPr="001B7A74">
        <w:rPr>
          <w:rFonts w:ascii="Arial" w:hAnsi="Arial" w:cs="Arial"/>
          <w:lang w:val="ro-RO"/>
        </w:rPr>
        <w:t>ancțiune</w:t>
      </w:r>
      <w:r w:rsidR="003F64F3" w:rsidRPr="001B7A74">
        <w:rPr>
          <w:rFonts w:ascii="Arial" w:hAnsi="Arial" w:cs="Arial"/>
          <w:lang w:val="ro-RO"/>
        </w:rPr>
        <w:t xml:space="preserve"> drastică</w:t>
      </w:r>
      <w:r w:rsidR="005236B3" w:rsidRPr="001B7A74">
        <w:rPr>
          <w:rFonts w:ascii="Arial" w:hAnsi="Arial" w:cs="Arial"/>
          <w:lang w:val="ro-RO"/>
        </w:rPr>
        <w:t xml:space="preserve"> pentru nedepunerea documentelor prin intermediul </w:t>
      </w:r>
      <w:r w:rsidR="00A93878" w:rsidRPr="001B7A74">
        <w:rPr>
          <w:rFonts w:ascii="Arial" w:hAnsi="Arial" w:cs="Arial"/>
          <w:lang w:val="ro-RO"/>
        </w:rPr>
        <w:t>platformei ANAF</w:t>
      </w:r>
      <w:r w:rsidR="001B7A74" w:rsidRPr="001B7A74">
        <w:rPr>
          <w:rFonts w:ascii="Arial" w:hAnsi="Arial" w:cs="Arial"/>
          <w:lang w:val="ro-RO"/>
        </w:rPr>
        <w:t xml:space="preserve">: </w:t>
      </w:r>
      <w:r w:rsidR="000F34A6" w:rsidRPr="001B7A74">
        <w:rPr>
          <w:rFonts w:ascii="Arial" w:hAnsi="Arial" w:cs="Arial"/>
          <w:lang w:val="ro-RO"/>
        </w:rPr>
        <w:t xml:space="preserve">neluarea acestora în considerare. </w:t>
      </w:r>
      <w:r w:rsidR="006F5AB4" w:rsidRPr="001B7A74">
        <w:rPr>
          <w:rFonts w:ascii="Arial" w:hAnsi="Arial" w:cs="Arial"/>
          <w:lang w:val="ro-RO"/>
        </w:rPr>
        <w:t>Conform noului text de lege</w:t>
      </w:r>
      <w:r w:rsidR="000F34A6" w:rsidRPr="001B7A74">
        <w:rPr>
          <w:rFonts w:ascii="Arial" w:hAnsi="Arial" w:cs="Arial"/>
          <w:lang w:val="ro-RO"/>
        </w:rPr>
        <w:t xml:space="preserve">, dacă </w:t>
      </w:r>
      <w:r w:rsidR="00CF2C36" w:rsidRPr="001B7A74">
        <w:rPr>
          <w:rFonts w:ascii="Arial" w:hAnsi="Arial" w:cs="Arial"/>
          <w:lang w:val="ro-RO"/>
        </w:rPr>
        <w:t>docu</w:t>
      </w:r>
      <w:r w:rsidR="00CE0E9D" w:rsidRPr="001B7A74">
        <w:rPr>
          <w:rFonts w:ascii="Arial" w:hAnsi="Arial" w:cs="Arial"/>
          <w:lang w:val="ro-RO"/>
        </w:rPr>
        <w:t>mentele</w:t>
      </w:r>
      <w:r w:rsidR="00CF2C36" w:rsidRPr="001B7A74">
        <w:rPr>
          <w:rFonts w:ascii="Arial" w:hAnsi="Arial" w:cs="Arial"/>
          <w:lang w:val="ro-RO"/>
        </w:rPr>
        <w:t xml:space="preserve"> </w:t>
      </w:r>
      <w:r w:rsidR="000358D7" w:rsidRPr="001B7A74">
        <w:rPr>
          <w:rFonts w:ascii="Arial" w:hAnsi="Arial" w:cs="Arial"/>
          <w:lang w:val="ro-RO"/>
        </w:rPr>
        <w:t xml:space="preserve">relevante </w:t>
      </w:r>
      <w:r w:rsidR="00C10C94" w:rsidRPr="001B7A74">
        <w:rPr>
          <w:rFonts w:ascii="Arial" w:hAnsi="Arial" w:cs="Arial"/>
          <w:lang w:val="ro-RO"/>
        </w:rPr>
        <w:t xml:space="preserve">vor fi depuse de către contribuabili </w:t>
      </w:r>
      <w:r w:rsidR="006216D5" w:rsidRPr="001B7A74">
        <w:rPr>
          <w:rFonts w:ascii="Arial" w:hAnsi="Arial" w:cs="Arial"/>
          <w:lang w:val="ro-RO"/>
        </w:rPr>
        <w:t xml:space="preserve">în format </w:t>
      </w:r>
      <w:r w:rsidRPr="001B7A74">
        <w:rPr>
          <w:rFonts w:ascii="Arial" w:hAnsi="Arial" w:cs="Arial"/>
          <w:lang w:val="ro-RO"/>
        </w:rPr>
        <w:t>fizic</w:t>
      </w:r>
      <w:r w:rsidR="006216D5" w:rsidRPr="001B7A74">
        <w:rPr>
          <w:rFonts w:ascii="Arial" w:hAnsi="Arial" w:cs="Arial"/>
          <w:lang w:val="ro-RO"/>
        </w:rPr>
        <w:t xml:space="preserve">, </w:t>
      </w:r>
      <w:r w:rsidR="00CF2C36" w:rsidRPr="001B7A74">
        <w:rPr>
          <w:rFonts w:ascii="Arial" w:hAnsi="Arial" w:cs="Arial"/>
          <w:lang w:val="ro-RO"/>
        </w:rPr>
        <w:t xml:space="preserve">prin registratura organului fiscal </w:t>
      </w:r>
      <w:r w:rsidR="006216D5" w:rsidRPr="001B7A74">
        <w:rPr>
          <w:rFonts w:ascii="Arial" w:hAnsi="Arial" w:cs="Arial"/>
          <w:lang w:val="ro-RO"/>
        </w:rPr>
        <w:t>sau prin poștă</w:t>
      </w:r>
      <w:r w:rsidR="00CF2C36" w:rsidRPr="001B7A74">
        <w:rPr>
          <w:rFonts w:ascii="Arial" w:hAnsi="Arial" w:cs="Arial"/>
          <w:lang w:val="ro-RO"/>
        </w:rPr>
        <w:t>,</w:t>
      </w:r>
      <w:r w:rsidR="009E6776" w:rsidRPr="001B7A74">
        <w:rPr>
          <w:rFonts w:ascii="Arial" w:hAnsi="Arial" w:cs="Arial"/>
          <w:lang w:val="ro-RO"/>
        </w:rPr>
        <w:t xml:space="preserve"> organele fiscale </w:t>
      </w:r>
      <w:r w:rsidRPr="001B7A74">
        <w:rPr>
          <w:rFonts w:ascii="Arial" w:hAnsi="Arial" w:cs="Arial"/>
          <w:lang w:val="ro-RO"/>
        </w:rPr>
        <w:t xml:space="preserve">nu le </w:t>
      </w:r>
      <w:r w:rsidR="009E6776" w:rsidRPr="001B7A74">
        <w:rPr>
          <w:rFonts w:ascii="Arial" w:hAnsi="Arial" w:cs="Arial"/>
          <w:lang w:val="ro-RO"/>
        </w:rPr>
        <w:t xml:space="preserve">vor </w:t>
      </w:r>
      <w:r w:rsidRPr="001B7A74">
        <w:rPr>
          <w:rFonts w:ascii="Arial" w:hAnsi="Arial" w:cs="Arial"/>
          <w:lang w:val="ro-RO"/>
        </w:rPr>
        <w:t xml:space="preserve">lua în </w:t>
      </w:r>
      <w:r w:rsidR="009E6776" w:rsidRPr="001B7A74">
        <w:rPr>
          <w:rFonts w:ascii="Arial" w:hAnsi="Arial" w:cs="Arial"/>
          <w:lang w:val="ro-RO"/>
        </w:rPr>
        <w:t>considera</w:t>
      </w:r>
      <w:r w:rsidRPr="001B7A74">
        <w:rPr>
          <w:rFonts w:ascii="Arial" w:hAnsi="Arial" w:cs="Arial"/>
          <w:lang w:val="ro-RO"/>
        </w:rPr>
        <w:t>re</w:t>
      </w:r>
      <w:r w:rsidR="009E6776" w:rsidRPr="001B7A74">
        <w:rPr>
          <w:rFonts w:ascii="Arial" w:hAnsi="Arial" w:cs="Arial"/>
          <w:lang w:val="ro-RO"/>
        </w:rPr>
        <w:t xml:space="preserve">. </w:t>
      </w:r>
    </w:p>
    <w:p w14:paraId="5E6988E6" w14:textId="78828294" w:rsidR="00D7551F" w:rsidRPr="001B7A74" w:rsidRDefault="00E64E56" w:rsidP="00002429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 xml:space="preserve">Neluarea în considerare a acestor documente poate avea </w:t>
      </w:r>
      <w:r w:rsidR="008F4897" w:rsidRPr="001B7A74">
        <w:rPr>
          <w:rFonts w:ascii="Arial" w:hAnsi="Arial" w:cs="Arial"/>
          <w:lang w:val="ro-RO"/>
        </w:rPr>
        <w:t xml:space="preserve">consecințe </w:t>
      </w:r>
      <w:r w:rsidR="009A6D74" w:rsidRPr="001B7A74">
        <w:rPr>
          <w:rFonts w:ascii="Arial" w:hAnsi="Arial" w:cs="Arial"/>
          <w:lang w:val="ro-RO"/>
        </w:rPr>
        <w:t>severe</w:t>
      </w:r>
      <w:r w:rsidRPr="001B7A74">
        <w:rPr>
          <w:rFonts w:ascii="Arial" w:hAnsi="Arial" w:cs="Arial"/>
          <w:lang w:val="ro-RO"/>
        </w:rPr>
        <w:t xml:space="preserve"> </w:t>
      </w:r>
      <w:r w:rsidR="004465EA" w:rsidRPr="001B7A74">
        <w:rPr>
          <w:rFonts w:ascii="Arial" w:hAnsi="Arial" w:cs="Arial"/>
          <w:lang w:val="ro-RO"/>
        </w:rPr>
        <w:t xml:space="preserve">asupra drepturilor </w:t>
      </w:r>
      <w:r w:rsidR="008F4897" w:rsidRPr="001B7A74">
        <w:rPr>
          <w:rFonts w:ascii="Arial" w:hAnsi="Arial" w:cs="Arial"/>
          <w:lang w:val="ro-RO"/>
        </w:rPr>
        <w:t>și obligațiilor contribuabililor</w:t>
      </w:r>
      <w:r w:rsidR="00D7551F" w:rsidRPr="001B7A74">
        <w:rPr>
          <w:rFonts w:ascii="Arial" w:hAnsi="Arial" w:cs="Arial"/>
          <w:lang w:val="ro-RO"/>
        </w:rPr>
        <w:t>, conducând fie la pierderea drepturilor</w:t>
      </w:r>
      <w:r w:rsidR="001B7A74" w:rsidRPr="001B7A74">
        <w:rPr>
          <w:rFonts w:ascii="Arial" w:hAnsi="Arial" w:cs="Arial"/>
          <w:lang w:val="ro-RO"/>
        </w:rPr>
        <w:t>,</w:t>
      </w:r>
      <w:r w:rsidR="00D7551F" w:rsidRPr="001B7A74">
        <w:rPr>
          <w:rFonts w:ascii="Arial" w:hAnsi="Arial" w:cs="Arial"/>
          <w:lang w:val="ro-RO"/>
        </w:rPr>
        <w:t xml:space="preserve"> fie la aplicarea de sancțiuni pentru neîndeplinirea la timp a obligațiilor</w:t>
      </w:r>
      <w:r w:rsidR="007D361C" w:rsidRPr="001B7A74">
        <w:rPr>
          <w:rFonts w:ascii="Arial" w:hAnsi="Arial" w:cs="Arial"/>
          <w:lang w:val="ro-RO"/>
        </w:rPr>
        <w:t>.</w:t>
      </w:r>
      <w:r w:rsidR="00997114" w:rsidRPr="001B7A74">
        <w:rPr>
          <w:rFonts w:ascii="Arial" w:hAnsi="Arial" w:cs="Arial"/>
          <w:lang w:val="ro-RO"/>
        </w:rPr>
        <w:t xml:space="preserve"> </w:t>
      </w:r>
    </w:p>
    <w:p w14:paraId="6EFAF57D" w14:textId="2CCEA462" w:rsidR="00237A32" w:rsidRPr="001B7A74" w:rsidRDefault="00D7551F" w:rsidP="00002429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>Acest risc este unul major</w:t>
      </w:r>
      <w:r w:rsidR="00741735" w:rsidRPr="001B7A74">
        <w:rPr>
          <w:rFonts w:ascii="Arial" w:hAnsi="Arial" w:cs="Arial"/>
          <w:lang w:val="ro-RO"/>
        </w:rPr>
        <w:t xml:space="preserve">, </w:t>
      </w:r>
      <w:r w:rsidRPr="001B7A74">
        <w:rPr>
          <w:rFonts w:ascii="Arial" w:hAnsi="Arial" w:cs="Arial"/>
          <w:lang w:val="ro-RO"/>
        </w:rPr>
        <w:t xml:space="preserve">cu atât mai mult cu cât în practică se întâmplă frecvent ca un contribuabil să își exercite un drept chiar în ultima zi în care </w:t>
      </w:r>
      <w:r w:rsidR="00741735" w:rsidRPr="001B7A74">
        <w:rPr>
          <w:rFonts w:ascii="Arial" w:hAnsi="Arial" w:cs="Arial"/>
          <w:lang w:val="ro-RO"/>
        </w:rPr>
        <w:t xml:space="preserve">mai </w:t>
      </w:r>
      <w:r w:rsidRPr="001B7A74">
        <w:rPr>
          <w:rFonts w:ascii="Arial" w:hAnsi="Arial" w:cs="Arial"/>
          <w:lang w:val="ro-RO"/>
        </w:rPr>
        <w:t xml:space="preserve">este posibil </w:t>
      </w:r>
      <w:r w:rsidR="00741735" w:rsidRPr="001B7A74">
        <w:rPr>
          <w:rFonts w:ascii="Arial" w:hAnsi="Arial" w:cs="Arial"/>
          <w:lang w:val="ro-RO"/>
        </w:rPr>
        <w:t xml:space="preserve">să o facă </w:t>
      </w:r>
      <w:r w:rsidRPr="001B7A74">
        <w:rPr>
          <w:rFonts w:ascii="Arial" w:hAnsi="Arial" w:cs="Arial"/>
          <w:lang w:val="ro-RO"/>
        </w:rPr>
        <w:t>(de exemplu formularea contestației fiscale în a 45-a zi de la primirea deciziei de impunere contestate)</w:t>
      </w:r>
      <w:r w:rsidR="00741735" w:rsidRPr="001B7A74">
        <w:rPr>
          <w:rFonts w:ascii="Arial" w:hAnsi="Arial" w:cs="Arial"/>
          <w:lang w:val="ro-RO"/>
        </w:rPr>
        <w:t>.</w:t>
      </w:r>
    </w:p>
    <w:p w14:paraId="3454D7F7" w14:textId="0654A3FE" w:rsidR="00BC12F4" w:rsidRPr="001B7A74" w:rsidRDefault="00EC2F62" w:rsidP="00002429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>Totodată</w:t>
      </w:r>
      <w:r w:rsidR="0052146A" w:rsidRPr="001B7A74">
        <w:rPr>
          <w:rFonts w:ascii="Arial" w:hAnsi="Arial" w:cs="Arial"/>
          <w:lang w:val="ro-RO"/>
        </w:rPr>
        <w:t xml:space="preserve">, </w:t>
      </w:r>
      <w:r w:rsidR="00156D40" w:rsidRPr="001B7A74">
        <w:rPr>
          <w:rFonts w:ascii="Arial" w:hAnsi="Arial" w:cs="Arial"/>
          <w:lang w:val="ro-RO"/>
        </w:rPr>
        <w:t>noul text de lege</w:t>
      </w:r>
      <w:r w:rsidR="0052146A" w:rsidRPr="001B7A74">
        <w:rPr>
          <w:rFonts w:ascii="Arial" w:hAnsi="Arial" w:cs="Arial"/>
          <w:lang w:val="ro-RO"/>
        </w:rPr>
        <w:t xml:space="preserve"> stabilește </w:t>
      </w:r>
      <w:r w:rsidR="00156D40" w:rsidRPr="001B7A74">
        <w:rPr>
          <w:rFonts w:ascii="Arial" w:hAnsi="Arial" w:cs="Arial"/>
          <w:lang w:val="ro-RO"/>
        </w:rPr>
        <w:t>că</w:t>
      </w:r>
      <w:r w:rsidR="00323579">
        <w:rPr>
          <w:rFonts w:ascii="Arial" w:hAnsi="Arial" w:cs="Arial"/>
          <w:lang w:val="ro-RO"/>
        </w:rPr>
        <w:t>,</w:t>
      </w:r>
      <w:r w:rsidR="00156D40" w:rsidRPr="001B7A74">
        <w:rPr>
          <w:rFonts w:ascii="Arial" w:hAnsi="Arial" w:cs="Arial"/>
          <w:lang w:val="ro-RO"/>
        </w:rPr>
        <w:t xml:space="preserve"> în măsura în care documentele au fost depuse în format </w:t>
      </w:r>
      <w:r w:rsidR="00741735" w:rsidRPr="001B7A74">
        <w:rPr>
          <w:rFonts w:ascii="Arial" w:hAnsi="Arial" w:cs="Arial"/>
          <w:lang w:val="ro-RO"/>
        </w:rPr>
        <w:t>fizic</w:t>
      </w:r>
      <w:r w:rsidR="00156D40" w:rsidRPr="001B7A74">
        <w:rPr>
          <w:rFonts w:ascii="Arial" w:hAnsi="Arial" w:cs="Arial"/>
          <w:lang w:val="ro-RO"/>
        </w:rPr>
        <w:t xml:space="preserve"> la registratură </w:t>
      </w:r>
      <w:r w:rsidR="001B7A74" w:rsidRPr="001B7A74">
        <w:rPr>
          <w:rFonts w:ascii="Arial" w:hAnsi="Arial" w:cs="Arial"/>
          <w:lang w:val="ro-RO"/>
        </w:rPr>
        <w:t>și</w:t>
      </w:r>
      <w:r w:rsidR="00156D40" w:rsidRPr="001B7A74">
        <w:rPr>
          <w:rFonts w:ascii="Arial" w:hAnsi="Arial" w:cs="Arial"/>
          <w:lang w:val="ro-RO"/>
        </w:rPr>
        <w:t xml:space="preserve"> nu prin intermediul Spațiului Privat Virtual, </w:t>
      </w:r>
      <w:r w:rsidR="002A1A56" w:rsidRPr="001B7A74">
        <w:rPr>
          <w:rFonts w:ascii="Arial" w:hAnsi="Arial" w:cs="Arial"/>
          <w:lang w:val="ro-RO"/>
        </w:rPr>
        <w:t>organu</w:t>
      </w:r>
      <w:r w:rsidR="00156D40" w:rsidRPr="001B7A74">
        <w:rPr>
          <w:rFonts w:ascii="Arial" w:hAnsi="Arial" w:cs="Arial"/>
          <w:lang w:val="ro-RO"/>
        </w:rPr>
        <w:t xml:space="preserve">l </w:t>
      </w:r>
      <w:r w:rsidR="002A1A56" w:rsidRPr="001B7A74">
        <w:rPr>
          <w:rFonts w:ascii="Arial" w:hAnsi="Arial" w:cs="Arial"/>
          <w:lang w:val="ro-RO"/>
        </w:rPr>
        <w:t xml:space="preserve">fiscal </w:t>
      </w:r>
      <w:r w:rsidR="00156D40" w:rsidRPr="001B7A74">
        <w:rPr>
          <w:rFonts w:ascii="Arial" w:hAnsi="Arial" w:cs="Arial"/>
          <w:lang w:val="ro-RO"/>
        </w:rPr>
        <w:t xml:space="preserve">are obligația </w:t>
      </w:r>
      <w:r w:rsidR="002A1A56" w:rsidRPr="001B7A74">
        <w:rPr>
          <w:rFonts w:ascii="Arial" w:hAnsi="Arial" w:cs="Arial"/>
          <w:lang w:val="ro-RO"/>
        </w:rPr>
        <w:t>de a</w:t>
      </w:r>
      <w:r w:rsidR="0063061E" w:rsidRPr="001B7A74">
        <w:rPr>
          <w:rFonts w:ascii="Arial" w:hAnsi="Arial" w:cs="Arial"/>
          <w:lang w:val="ro-RO"/>
        </w:rPr>
        <w:t xml:space="preserve"> notifica </w:t>
      </w:r>
      <w:r w:rsidR="0063061E" w:rsidRPr="001B7A74">
        <w:rPr>
          <w:rFonts w:ascii="Arial" w:hAnsi="Arial" w:cs="Arial"/>
          <w:i/>
          <w:iCs/>
          <w:lang w:val="ro-RO"/>
        </w:rPr>
        <w:t>contribuabilii/</w:t>
      </w:r>
      <w:r w:rsidR="00323579">
        <w:rPr>
          <w:rFonts w:ascii="Arial" w:hAnsi="Arial" w:cs="Arial"/>
          <w:i/>
          <w:iCs/>
          <w:lang w:val="ro-RO"/>
        </w:rPr>
        <w:t xml:space="preserve"> </w:t>
      </w:r>
      <w:r w:rsidR="0063061E" w:rsidRPr="001B7A74">
        <w:rPr>
          <w:rFonts w:ascii="Arial" w:hAnsi="Arial" w:cs="Arial"/>
          <w:i/>
          <w:iCs/>
          <w:lang w:val="ro-RO"/>
        </w:rPr>
        <w:t>plătitorii cu privire la obligativitatea comunicării</w:t>
      </w:r>
      <w:r w:rsidR="00AF6FDD" w:rsidRPr="001B7A74">
        <w:rPr>
          <w:rFonts w:ascii="Arial" w:hAnsi="Arial" w:cs="Arial"/>
          <w:i/>
          <w:iCs/>
          <w:lang w:val="ro-RO"/>
        </w:rPr>
        <w:t xml:space="preserve"> documentelor</w:t>
      </w:r>
      <w:r w:rsidR="0063061E" w:rsidRPr="001B7A74">
        <w:rPr>
          <w:rFonts w:ascii="Arial" w:hAnsi="Arial" w:cs="Arial"/>
          <w:i/>
          <w:iCs/>
          <w:lang w:val="ro-RO"/>
        </w:rPr>
        <w:t xml:space="preserve"> prin intermediul mijloacelor electronice de transmitere la distanță</w:t>
      </w:r>
      <w:r w:rsidR="00881B9B" w:rsidRPr="001B7A74">
        <w:rPr>
          <w:rFonts w:ascii="Arial" w:hAnsi="Arial" w:cs="Arial"/>
          <w:lang w:val="ro-RO"/>
        </w:rPr>
        <w:t>.</w:t>
      </w:r>
    </w:p>
    <w:p w14:paraId="7B4D2707" w14:textId="025643C2" w:rsidR="00881B9B" w:rsidRPr="001B7A74" w:rsidRDefault="00595B5C" w:rsidP="00002429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 xml:space="preserve">Cu toate acestea, </w:t>
      </w:r>
      <w:r w:rsidR="00156D40" w:rsidRPr="001B7A74">
        <w:rPr>
          <w:rFonts w:ascii="Arial" w:hAnsi="Arial" w:cs="Arial"/>
          <w:lang w:val="ro-RO"/>
        </w:rPr>
        <w:t xml:space="preserve">este important de subliniat că </w:t>
      </w:r>
      <w:r w:rsidR="00E7412A" w:rsidRPr="001B7A74">
        <w:rPr>
          <w:rFonts w:ascii="Arial" w:hAnsi="Arial" w:cs="Arial"/>
          <w:lang w:val="ro-RO"/>
        </w:rPr>
        <w:t xml:space="preserve">această notificare nu va produce niciun </w:t>
      </w:r>
      <w:r w:rsidR="006C18BF" w:rsidRPr="001B7A74">
        <w:rPr>
          <w:rFonts w:ascii="Arial" w:hAnsi="Arial" w:cs="Arial"/>
          <w:lang w:val="ro-RO"/>
        </w:rPr>
        <w:t xml:space="preserve">alt </w:t>
      </w:r>
      <w:r w:rsidR="00E7412A" w:rsidRPr="001B7A74">
        <w:rPr>
          <w:rFonts w:ascii="Arial" w:hAnsi="Arial" w:cs="Arial"/>
          <w:lang w:val="ro-RO"/>
        </w:rPr>
        <w:t xml:space="preserve">efect în afară de a </w:t>
      </w:r>
      <w:r w:rsidR="006C18BF" w:rsidRPr="001B7A74">
        <w:rPr>
          <w:rFonts w:ascii="Arial" w:hAnsi="Arial" w:cs="Arial"/>
          <w:lang w:val="ro-RO"/>
        </w:rPr>
        <w:t xml:space="preserve">informa contribuabilul cu privire la obligativitatea depunerii documentelor </w:t>
      </w:r>
      <w:r w:rsidR="002950A8" w:rsidRPr="001B7A74">
        <w:rPr>
          <w:rFonts w:ascii="Arial" w:hAnsi="Arial" w:cs="Arial"/>
          <w:lang w:val="ro-RO"/>
        </w:rPr>
        <w:t>prin mijloace electronice</w:t>
      </w:r>
      <w:r w:rsidR="006C18BF" w:rsidRPr="001B7A74">
        <w:rPr>
          <w:rFonts w:ascii="Arial" w:hAnsi="Arial" w:cs="Arial"/>
          <w:lang w:val="ro-RO"/>
        </w:rPr>
        <w:t>,</w:t>
      </w:r>
      <w:r w:rsidR="002B163E" w:rsidRPr="001B7A74">
        <w:rPr>
          <w:rFonts w:ascii="Arial" w:hAnsi="Arial" w:cs="Arial"/>
          <w:lang w:val="ro-RO"/>
        </w:rPr>
        <w:t xml:space="preserve"> </w:t>
      </w:r>
      <w:r w:rsidR="00997114" w:rsidRPr="001B7A74">
        <w:rPr>
          <w:rFonts w:ascii="Arial" w:hAnsi="Arial" w:cs="Arial"/>
          <w:lang w:val="ro-RO"/>
        </w:rPr>
        <w:t xml:space="preserve">astfel încât contribuabilul nu va fi, spre exemplu, repus în termen în </w:t>
      </w:r>
      <w:r w:rsidR="00AF6FDD" w:rsidRPr="001B7A74">
        <w:rPr>
          <w:rFonts w:ascii="Arial" w:hAnsi="Arial" w:cs="Arial"/>
          <w:lang w:val="ro-RO"/>
        </w:rPr>
        <w:t xml:space="preserve">situația </w:t>
      </w:r>
      <w:r w:rsidR="00047363" w:rsidRPr="001B7A74">
        <w:rPr>
          <w:rFonts w:ascii="Arial" w:hAnsi="Arial" w:cs="Arial"/>
          <w:lang w:val="ro-RO"/>
        </w:rPr>
        <w:t xml:space="preserve">în care depășește </w:t>
      </w:r>
      <w:r w:rsidR="004F367D" w:rsidRPr="001B7A74">
        <w:rPr>
          <w:rFonts w:ascii="Arial" w:hAnsi="Arial" w:cs="Arial"/>
          <w:lang w:val="ro-RO"/>
        </w:rPr>
        <w:t>o dată limită</w:t>
      </w:r>
      <w:r w:rsidR="00047363" w:rsidRPr="001B7A74">
        <w:rPr>
          <w:rFonts w:ascii="Arial" w:hAnsi="Arial" w:cs="Arial"/>
          <w:lang w:val="ro-RO"/>
        </w:rPr>
        <w:t xml:space="preserve"> pentru depunerea unui document</w:t>
      </w:r>
      <w:r w:rsidR="00173B3B" w:rsidRPr="001B7A74">
        <w:rPr>
          <w:rFonts w:ascii="Arial" w:hAnsi="Arial" w:cs="Arial"/>
          <w:lang w:val="ro-RO"/>
        </w:rPr>
        <w:t>.</w:t>
      </w:r>
      <w:r w:rsidR="001B7A74" w:rsidRPr="001B7A74">
        <w:rPr>
          <w:rFonts w:ascii="Arial" w:hAnsi="Arial" w:cs="Arial"/>
          <w:lang w:val="ro-RO"/>
        </w:rPr>
        <w:t xml:space="preserve"> </w:t>
      </w:r>
    </w:p>
    <w:p w14:paraId="5E9962C4" w14:textId="71B3DDAE" w:rsidR="00871CCD" w:rsidRDefault="00047363" w:rsidP="00002429">
      <w:pPr>
        <w:jc w:val="both"/>
        <w:rPr>
          <w:rFonts w:ascii="Arial" w:hAnsi="Arial" w:cs="Arial"/>
          <w:lang w:val="ro-RO"/>
        </w:rPr>
      </w:pPr>
      <w:r w:rsidRPr="001B7A74">
        <w:rPr>
          <w:rFonts w:ascii="Arial" w:hAnsi="Arial" w:cs="Arial"/>
          <w:lang w:val="ro-RO"/>
        </w:rPr>
        <w:t xml:space="preserve">Având în vedere </w:t>
      </w:r>
      <w:r w:rsidR="00A51044" w:rsidRPr="001B7A74">
        <w:rPr>
          <w:rFonts w:ascii="Arial" w:hAnsi="Arial" w:cs="Arial"/>
          <w:lang w:val="ro-RO"/>
        </w:rPr>
        <w:t xml:space="preserve">ambițiosul text de lege adoptat de Guvern, nu putem spera decât </w:t>
      </w:r>
      <w:r w:rsidR="002B4ED5" w:rsidRPr="001B7A74">
        <w:rPr>
          <w:rFonts w:ascii="Arial" w:hAnsi="Arial" w:cs="Arial"/>
          <w:lang w:val="ro-RO"/>
        </w:rPr>
        <w:t xml:space="preserve">că ANAF va </w:t>
      </w:r>
      <w:r w:rsidR="00944BA2" w:rsidRPr="001B7A74">
        <w:rPr>
          <w:rFonts w:ascii="Arial" w:hAnsi="Arial" w:cs="Arial"/>
          <w:lang w:val="ro-RO"/>
        </w:rPr>
        <w:t xml:space="preserve">adopta actele normative necesare pentru </w:t>
      </w:r>
      <w:r w:rsidR="0084777E" w:rsidRPr="001B7A74">
        <w:rPr>
          <w:rFonts w:ascii="Arial" w:hAnsi="Arial" w:cs="Arial"/>
          <w:lang w:val="ro-RO"/>
        </w:rPr>
        <w:t xml:space="preserve">aplicarea în mod corespunzător </w:t>
      </w:r>
      <w:r w:rsidR="00D71B95" w:rsidRPr="001B7A74">
        <w:rPr>
          <w:rFonts w:ascii="Arial" w:hAnsi="Arial" w:cs="Arial"/>
          <w:lang w:val="ro-RO"/>
        </w:rPr>
        <w:t>a noii legislații</w:t>
      </w:r>
      <w:r w:rsidR="001A648C">
        <w:rPr>
          <w:rFonts w:ascii="Arial" w:hAnsi="Arial" w:cs="Arial"/>
          <w:lang w:val="ro-RO"/>
        </w:rPr>
        <w:t xml:space="preserve"> și că</w:t>
      </w:r>
      <w:r w:rsidR="00D71B95" w:rsidRPr="001B7A74">
        <w:rPr>
          <w:rFonts w:ascii="Arial" w:hAnsi="Arial" w:cs="Arial"/>
          <w:lang w:val="ro-RO"/>
        </w:rPr>
        <w:t xml:space="preserve"> va pune</w:t>
      </w:r>
      <w:r w:rsidR="002B4ED5" w:rsidRPr="001B7A74">
        <w:rPr>
          <w:rFonts w:ascii="Arial" w:hAnsi="Arial" w:cs="Arial"/>
          <w:lang w:val="ro-RO"/>
        </w:rPr>
        <w:t xml:space="preserve"> la dispoziția contribuabililor toate informațiile necesare pentru a</w:t>
      </w:r>
      <w:r w:rsidR="00CE4EB3">
        <w:rPr>
          <w:rFonts w:ascii="Arial" w:hAnsi="Arial" w:cs="Arial"/>
          <w:lang w:val="ro-RO"/>
        </w:rPr>
        <w:t>-</w:t>
      </w:r>
      <w:r w:rsidR="002B4ED5" w:rsidRPr="001B7A74">
        <w:rPr>
          <w:rFonts w:ascii="Arial" w:hAnsi="Arial" w:cs="Arial"/>
          <w:lang w:val="ro-RO"/>
        </w:rPr>
        <w:t>și putea îndeplini cu succes obligații</w:t>
      </w:r>
      <w:r w:rsidR="00741735" w:rsidRPr="001B7A74">
        <w:rPr>
          <w:rFonts w:ascii="Arial" w:hAnsi="Arial" w:cs="Arial"/>
          <w:lang w:val="ro-RO"/>
        </w:rPr>
        <w:t>le</w:t>
      </w:r>
      <w:r w:rsidR="001A648C">
        <w:rPr>
          <w:rFonts w:ascii="Arial" w:hAnsi="Arial" w:cs="Arial"/>
          <w:lang w:val="ro-RO"/>
        </w:rPr>
        <w:t xml:space="preserve">. De asemenea, </w:t>
      </w:r>
      <w:r w:rsidR="00137E0D">
        <w:rPr>
          <w:rFonts w:ascii="Arial" w:hAnsi="Arial" w:cs="Arial"/>
          <w:lang w:val="ro-RO"/>
        </w:rPr>
        <w:t>va fi necesar</w:t>
      </w:r>
      <w:r w:rsidR="00CE4EB3">
        <w:rPr>
          <w:rFonts w:ascii="Arial" w:hAnsi="Arial" w:cs="Arial"/>
          <w:lang w:val="ro-RO"/>
        </w:rPr>
        <w:t xml:space="preserve"> ca autoritatea</w:t>
      </w:r>
      <w:r w:rsidR="00137E0D">
        <w:rPr>
          <w:rFonts w:ascii="Arial" w:hAnsi="Arial" w:cs="Arial"/>
          <w:lang w:val="ro-RO"/>
        </w:rPr>
        <w:t xml:space="preserve"> să stabilea</w:t>
      </w:r>
      <w:r w:rsidR="00A15423">
        <w:rPr>
          <w:rFonts w:ascii="Arial" w:hAnsi="Arial" w:cs="Arial"/>
          <w:lang w:val="ro-RO"/>
        </w:rPr>
        <w:t xml:space="preserve">scă </w:t>
      </w:r>
      <w:r w:rsidR="002B4ED5" w:rsidRPr="001B7A74">
        <w:rPr>
          <w:rFonts w:ascii="Arial" w:hAnsi="Arial" w:cs="Arial"/>
          <w:lang w:val="ro-RO"/>
        </w:rPr>
        <w:t xml:space="preserve">și remediile necesare pentru </w:t>
      </w:r>
      <w:r w:rsidR="00C27A8E" w:rsidRPr="001B7A74">
        <w:rPr>
          <w:rFonts w:ascii="Arial" w:hAnsi="Arial" w:cs="Arial"/>
          <w:lang w:val="ro-RO"/>
        </w:rPr>
        <w:t xml:space="preserve"> </w:t>
      </w:r>
      <w:r w:rsidR="00683653" w:rsidRPr="001B7A74">
        <w:rPr>
          <w:rFonts w:ascii="Arial" w:hAnsi="Arial" w:cs="Arial"/>
          <w:lang w:val="ro-RO"/>
        </w:rPr>
        <w:t>apăra</w:t>
      </w:r>
      <w:r w:rsidR="00165157" w:rsidRPr="001B7A74">
        <w:rPr>
          <w:rFonts w:ascii="Arial" w:hAnsi="Arial" w:cs="Arial"/>
          <w:lang w:val="ro-RO"/>
        </w:rPr>
        <w:t>rea</w:t>
      </w:r>
      <w:r w:rsidR="00C27A8E" w:rsidRPr="001B7A74">
        <w:rPr>
          <w:rFonts w:ascii="Arial" w:hAnsi="Arial" w:cs="Arial"/>
          <w:lang w:val="ro-RO"/>
        </w:rPr>
        <w:t xml:space="preserve"> dreptu</w:t>
      </w:r>
      <w:r w:rsidR="00683653" w:rsidRPr="001B7A74">
        <w:rPr>
          <w:rFonts w:ascii="Arial" w:hAnsi="Arial" w:cs="Arial"/>
          <w:lang w:val="ro-RO"/>
        </w:rPr>
        <w:t>ri</w:t>
      </w:r>
      <w:r w:rsidR="00A15423">
        <w:rPr>
          <w:rFonts w:ascii="Arial" w:hAnsi="Arial" w:cs="Arial"/>
          <w:lang w:val="ro-RO"/>
        </w:rPr>
        <w:t>lor contribuabililor</w:t>
      </w:r>
      <w:r w:rsidR="001B7A74" w:rsidRPr="001B7A74">
        <w:rPr>
          <w:rFonts w:ascii="Arial" w:hAnsi="Arial" w:cs="Arial"/>
          <w:lang w:val="ro-RO"/>
        </w:rPr>
        <w:t>,</w:t>
      </w:r>
      <w:r w:rsidR="00C27A8E" w:rsidRPr="001B7A74">
        <w:rPr>
          <w:rFonts w:ascii="Arial" w:hAnsi="Arial" w:cs="Arial"/>
          <w:lang w:val="ro-RO"/>
        </w:rPr>
        <w:t xml:space="preserve"> </w:t>
      </w:r>
      <w:r w:rsidR="00683653" w:rsidRPr="001B7A74">
        <w:rPr>
          <w:rFonts w:ascii="Arial" w:hAnsi="Arial" w:cs="Arial"/>
          <w:lang w:val="ro-RO"/>
        </w:rPr>
        <w:t xml:space="preserve">în </w:t>
      </w:r>
      <w:r w:rsidR="001B7A74" w:rsidRPr="001B7A74">
        <w:rPr>
          <w:rFonts w:ascii="Arial" w:hAnsi="Arial" w:cs="Arial"/>
          <w:lang w:val="ro-RO"/>
        </w:rPr>
        <w:t xml:space="preserve">situația </w:t>
      </w:r>
      <w:r w:rsidR="00683653" w:rsidRPr="001B7A74">
        <w:rPr>
          <w:rFonts w:ascii="Arial" w:hAnsi="Arial" w:cs="Arial"/>
          <w:lang w:val="ro-RO"/>
        </w:rPr>
        <w:t xml:space="preserve">în care platforma dezvoltată de ANAF nu </w:t>
      </w:r>
      <w:r w:rsidR="000C6C2E" w:rsidRPr="001B7A74">
        <w:rPr>
          <w:rFonts w:ascii="Arial" w:hAnsi="Arial" w:cs="Arial"/>
          <w:lang w:val="ro-RO"/>
        </w:rPr>
        <w:t>se</w:t>
      </w:r>
      <w:r w:rsidR="001B7A74" w:rsidRPr="001B7A74">
        <w:rPr>
          <w:rFonts w:ascii="Arial" w:hAnsi="Arial" w:cs="Arial"/>
          <w:lang w:val="ro-RO"/>
        </w:rPr>
        <w:t xml:space="preserve"> va</w:t>
      </w:r>
      <w:r w:rsidR="000C6C2E" w:rsidRPr="001B7A74">
        <w:rPr>
          <w:rFonts w:ascii="Arial" w:hAnsi="Arial" w:cs="Arial"/>
          <w:lang w:val="ro-RO"/>
        </w:rPr>
        <w:t xml:space="preserve"> ridic</w:t>
      </w:r>
      <w:r w:rsidR="001B7A74" w:rsidRPr="001B7A74">
        <w:rPr>
          <w:rFonts w:ascii="Arial" w:hAnsi="Arial" w:cs="Arial"/>
          <w:lang w:val="ro-RO"/>
        </w:rPr>
        <w:t>a</w:t>
      </w:r>
      <w:r w:rsidR="000C6C2E" w:rsidRPr="001B7A74">
        <w:rPr>
          <w:rFonts w:ascii="Arial" w:hAnsi="Arial" w:cs="Arial"/>
          <w:lang w:val="ro-RO"/>
        </w:rPr>
        <w:t xml:space="preserve"> </w:t>
      </w:r>
      <w:r w:rsidR="00521F2D" w:rsidRPr="001B7A74">
        <w:rPr>
          <w:rFonts w:ascii="Arial" w:hAnsi="Arial" w:cs="Arial"/>
          <w:lang w:val="ro-RO"/>
        </w:rPr>
        <w:t xml:space="preserve">la nivelul </w:t>
      </w:r>
      <w:r w:rsidR="000C6C2E" w:rsidRPr="001B7A74">
        <w:rPr>
          <w:rFonts w:ascii="Arial" w:hAnsi="Arial" w:cs="Arial"/>
          <w:lang w:val="ro-RO"/>
        </w:rPr>
        <w:t>așteptărilor</w:t>
      </w:r>
      <w:r w:rsidR="00521F2D" w:rsidRPr="001B7A74">
        <w:rPr>
          <w:rFonts w:ascii="Arial" w:hAnsi="Arial" w:cs="Arial"/>
          <w:lang w:val="ro-RO"/>
        </w:rPr>
        <w:t xml:space="preserve"> </w:t>
      </w:r>
      <w:r w:rsidR="001B7A74" w:rsidRPr="001B7A74">
        <w:rPr>
          <w:rFonts w:ascii="Arial" w:hAnsi="Arial" w:cs="Arial"/>
          <w:lang w:val="ro-RO"/>
        </w:rPr>
        <w:t>Executivului</w:t>
      </w:r>
      <w:r w:rsidR="007F3001" w:rsidRPr="001B7A74">
        <w:rPr>
          <w:rFonts w:ascii="Arial" w:hAnsi="Arial" w:cs="Arial"/>
          <w:lang w:val="ro-RO"/>
        </w:rPr>
        <w:t>.</w:t>
      </w:r>
    </w:p>
    <w:p w14:paraId="6DAF8A25" w14:textId="0253AA33" w:rsidR="007D41A7" w:rsidRPr="007D41A7" w:rsidRDefault="007D41A7" w:rsidP="007D41A7">
      <w:pPr>
        <w:jc w:val="center"/>
        <w:rPr>
          <w:rFonts w:ascii="Arial" w:hAnsi="Arial" w:cs="Arial"/>
          <w:sz w:val="18"/>
          <w:szCs w:val="18"/>
          <w:lang w:val="ro-RO"/>
        </w:rPr>
      </w:pPr>
      <w:r w:rsidRPr="007D41A7">
        <w:rPr>
          <w:rFonts w:ascii="Arial" w:hAnsi="Arial" w:cs="Arial"/>
          <w:sz w:val="18"/>
          <w:szCs w:val="18"/>
          <w:lang w:val="ro-RO"/>
        </w:rPr>
        <w:t>***</w:t>
      </w:r>
    </w:p>
    <w:p w14:paraId="772EF0F1" w14:textId="77777777" w:rsidR="00282176" w:rsidRPr="004D4A05" w:rsidRDefault="00282176" w:rsidP="0028217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ro-RO"/>
        </w:rPr>
      </w:pPr>
      <w:r w:rsidRPr="004D4A05">
        <w:rPr>
          <w:rFonts w:ascii="Arial" w:hAnsi="Arial" w:cs="Arial"/>
          <w:b/>
          <w:bCs/>
          <w:sz w:val="18"/>
          <w:szCs w:val="18"/>
          <w:lang w:val="ro-RO"/>
        </w:rPr>
        <w:t xml:space="preserve">Despre Băncilă, Diaconu </w:t>
      </w:r>
      <w:proofErr w:type="spellStart"/>
      <w:r w:rsidRPr="004D4A05">
        <w:rPr>
          <w:rFonts w:ascii="Arial" w:hAnsi="Arial" w:cs="Arial"/>
          <w:b/>
          <w:bCs/>
          <w:sz w:val="18"/>
          <w:szCs w:val="18"/>
          <w:lang w:val="ro-RO"/>
        </w:rPr>
        <w:t>şi</w:t>
      </w:r>
      <w:proofErr w:type="spellEnd"/>
      <w:r w:rsidRPr="004D4A05">
        <w:rPr>
          <w:rFonts w:ascii="Arial" w:hAnsi="Arial" w:cs="Arial"/>
          <w:b/>
          <w:bCs/>
          <w:sz w:val="18"/>
          <w:szCs w:val="18"/>
          <w:lang w:val="ro-RO"/>
        </w:rPr>
        <w:t xml:space="preserve"> Asociații SPRL</w:t>
      </w:r>
    </w:p>
    <w:p w14:paraId="5EDE3DCB" w14:textId="77777777" w:rsidR="00282176" w:rsidRPr="004D4A05" w:rsidRDefault="00282176" w:rsidP="00282176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ro-RO"/>
        </w:rPr>
      </w:pPr>
      <w:r w:rsidRPr="004D4A05">
        <w:rPr>
          <w:rFonts w:ascii="Arial" w:hAnsi="Arial" w:cs="Arial"/>
          <w:sz w:val="18"/>
          <w:szCs w:val="18"/>
          <w:lang w:val="ro-RO"/>
        </w:rPr>
        <w:t>Băncilă, Diaconu și Asociații SPRL este o societate de avocați ce oferă servicii juridice complete, care includ atât servicii de consultanță juridică cât și asistență și reprezentare în fața instanțelor de judecată, având o practică importantă de controverse și dispute fiscale.</w:t>
      </w:r>
    </w:p>
    <w:p w14:paraId="0EF5727C" w14:textId="77777777" w:rsidR="00282176" w:rsidRPr="004D4A05" w:rsidRDefault="00282176" w:rsidP="00282176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4D4A05">
        <w:rPr>
          <w:rFonts w:ascii="Arial" w:hAnsi="Arial" w:cs="Arial"/>
          <w:sz w:val="18"/>
          <w:szCs w:val="18"/>
          <w:lang w:val="ro-RO"/>
        </w:rPr>
        <w:t xml:space="preserve">Băncilă, Diaconu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şi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Asociaţii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SPRL este membră a societăților din grupul Ernst &amp; Young Global Ltd și face parte din rețeaua globală EY Law, aflată în plină expansiune, în cadrul căreia lucrează peste 2400 de avocați în mai mult de 90 de jurisdicții. </w:t>
      </w:r>
    </w:p>
    <w:p w14:paraId="7935BB70" w14:textId="77777777" w:rsidR="00282176" w:rsidRPr="004D4A05" w:rsidRDefault="00282176" w:rsidP="00282176">
      <w:pPr>
        <w:spacing w:after="0" w:line="240" w:lineRule="auto"/>
        <w:rPr>
          <w:rFonts w:ascii="Arial" w:hAnsi="Arial" w:cs="Arial"/>
          <w:sz w:val="18"/>
          <w:szCs w:val="18"/>
          <w:lang w:val="ro-RO"/>
        </w:rPr>
      </w:pPr>
      <w:r w:rsidRPr="004D4A05">
        <w:rPr>
          <w:rFonts w:ascii="Arial" w:hAnsi="Arial" w:cs="Arial"/>
          <w:sz w:val="18"/>
          <w:szCs w:val="18"/>
          <w:lang w:val="ro-RO"/>
        </w:rPr>
        <w:t xml:space="preserve">Experiența noastră a fost recunoscută de piață și de publicații internaționale.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Chambers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Global 2019 a recunoscut practica noastră de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Corporate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/M&amp;A în timp ce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Chambers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Europe 2019 și 2020 au plasat practica noastră de Controverse și Dispute Fiscale pe banda 1. Totodată, The Legal 500 Europe,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Middle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East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</w:t>
      </w:r>
      <w:proofErr w:type="spellStart"/>
      <w:r w:rsidRPr="004D4A05">
        <w:rPr>
          <w:rFonts w:ascii="Arial" w:hAnsi="Arial" w:cs="Arial"/>
          <w:sz w:val="18"/>
          <w:szCs w:val="18"/>
          <w:lang w:val="ro-RO"/>
        </w:rPr>
        <w:t>and</w:t>
      </w:r>
      <w:proofErr w:type="spellEnd"/>
      <w:r w:rsidRPr="004D4A05">
        <w:rPr>
          <w:rFonts w:ascii="Arial" w:hAnsi="Arial" w:cs="Arial"/>
          <w:sz w:val="18"/>
          <w:szCs w:val="18"/>
          <w:lang w:val="ro-RO"/>
        </w:rPr>
        <w:t xml:space="preserve"> Africa 2019 și 2020 au premiat practica noastră de Drept Comercial, Drept Societar și M&amp;A, ediția 2020 plasând practica de Controverse și Dispute Fiscale pe poziția 1.</w:t>
      </w:r>
    </w:p>
    <w:p w14:paraId="02E3A510" w14:textId="73079F63" w:rsidR="003857B1" w:rsidRPr="007D41A7" w:rsidRDefault="00282176" w:rsidP="007D41A7">
      <w:pPr>
        <w:spacing w:after="0" w:line="240" w:lineRule="auto"/>
        <w:rPr>
          <w:rFonts w:ascii="EYInterstate" w:hAnsi="EYInterstate"/>
          <w:i/>
          <w:iCs/>
          <w:sz w:val="20"/>
          <w:szCs w:val="20"/>
          <w:lang w:val="ro-RO"/>
        </w:rPr>
      </w:pPr>
      <w:r w:rsidRPr="004D4A05">
        <w:rPr>
          <w:rFonts w:ascii="Arial" w:hAnsi="Arial" w:cs="Arial"/>
          <w:sz w:val="18"/>
          <w:szCs w:val="18"/>
          <w:lang w:val="ro-RO"/>
        </w:rPr>
        <w:t xml:space="preserve">Pentru informații suplimentare cu privire la societatea noastră de avocați vă rugăm accesați </w:t>
      </w:r>
      <w:r>
        <w:rPr>
          <w:rFonts w:ascii="Arial" w:hAnsi="Arial" w:cs="Arial"/>
          <w:sz w:val="18"/>
          <w:szCs w:val="18"/>
          <w:lang w:val="ro-RO"/>
        </w:rPr>
        <w:t>www.ra-law.ro</w:t>
      </w:r>
      <w:r w:rsidRPr="004D4A05">
        <w:rPr>
          <w:rFonts w:ascii="Arial" w:hAnsi="Arial" w:cs="Arial"/>
          <w:sz w:val="18"/>
          <w:szCs w:val="18"/>
          <w:lang w:val="ro-RO"/>
        </w:rPr>
        <w:t xml:space="preserve"> </w:t>
      </w:r>
    </w:p>
    <w:sectPr w:rsidR="003857B1" w:rsidRPr="007D41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2AEBA" w14:textId="77777777" w:rsidR="003D67C8" w:rsidRDefault="003D67C8" w:rsidP="00507FCA">
      <w:pPr>
        <w:spacing w:after="0" w:line="240" w:lineRule="auto"/>
      </w:pPr>
      <w:r>
        <w:separator/>
      </w:r>
    </w:p>
  </w:endnote>
  <w:endnote w:type="continuationSeparator" w:id="0">
    <w:p w14:paraId="376ED0F8" w14:textId="77777777" w:rsidR="003D67C8" w:rsidRDefault="003D67C8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17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45F0A" w14:textId="234418D6" w:rsidR="001F1079" w:rsidRDefault="001F1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B39D8" w14:textId="77777777" w:rsidR="001F1079" w:rsidRDefault="001F1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6990" w14:textId="77777777" w:rsidR="003D67C8" w:rsidRDefault="003D67C8" w:rsidP="00507FCA">
      <w:pPr>
        <w:spacing w:after="0" w:line="240" w:lineRule="auto"/>
      </w:pPr>
      <w:r>
        <w:separator/>
      </w:r>
    </w:p>
  </w:footnote>
  <w:footnote w:type="continuationSeparator" w:id="0">
    <w:p w14:paraId="621C46B2" w14:textId="77777777" w:rsidR="003D67C8" w:rsidRDefault="003D67C8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119" w:type="dxa"/>
      <w:tblInd w:w="7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</w:tblGrid>
    <w:tr w:rsidR="00CB5D4B" w14:paraId="7433C5ED" w14:textId="77777777" w:rsidTr="000B2CC4">
      <w:tc>
        <w:tcPr>
          <w:tcW w:w="3119" w:type="dxa"/>
        </w:tcPr>
        <w:p w14:paraId="7AC50A94" w14:textId="45D2EB8A" w:rsidR="00CB5D4B" w:rsidRPr="00272BDA" w:rsidRDefault="00CB5D4B" w:rsidP="00CB5D4B">
          <w:pPr>
            <w:pStyle w:val="EYBusinessaddress"/>
          </w:pPr>
        </w:p>
      </w:tc>
    </w:tr>
  </w:tbl>
  <w:p w14:paraId="66D8ACAF" w14:textId="7C08CAE1" w:rsidR="000B2CC4" w:rsidRDefault="00155818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06A6F8" wp14:editId="22E9F90D">
              <wp:simplePos x="0" y="0"/>
              <wp:positionH relativeFrom="margin">
                <wp:posOffset>3409950</wp:posOffset>
              </wp:positionH>
              <wp:positionV relativeFrom="paragraph">
                <wp:posOffset>27305</wp:posOffset>
              </wp:positionV>
              <wp:extent cx="2907665" cy="1404620"/>
              <wp:effectExtent l="0" t="0" r="6985" b="0"/>
              <wp:wrapSquare wrapText="bothSides"/>
              <wp:docPr id="217" name="Casetă tex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31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119"/>
                          </w:tblGrid>
                          <w:tr w:rsidR="00155818" w14:paraId="283C1E1A" w14:textId="77777777" w:rsidTr="00F75301">
                            <w:tc>
                              <w:tcPr>
                                <w:tcW w:w="3119" w:type="dxa"/>
                              </w:tcPr>
                              <w:p w14:paraId="30B1A11F" w14:textId="77777777" w:rsidR="00155818" w:rsidRPr="00272BDA" w:rsidRDefault="00155818" w:rsidP="004B17DB">
                                <w:pPr>
                                  <w:pStyle w:val="EYBusinessaddress"/>
                                </w:pPr>
                                <w:r>
                                  <w:t>Ernst &amp; Young SRL / Bancila &amp; Diaconu</w:t>
                                </w:r>
                              </w:p>
                              <w:p w14:paraId="297EE0C1" w14:textId="77777777" w:rsidR="00155818" w:rsidRPr="00272BDA" w:rsidRDefault="00155818" w:rsidP="004B17DB">
                                <w:pPr>
                                  <w:pStyle w:val="EYBusinessaddress"/>
                                </w:pPr>
                                <w:r>
                                  <w:t xml:space="preserve">Bucharest Tower </w:t>
                                </w:r>
                                <w:proofErr w:type="spellStart"/>
                                <w:r>
                                  <w:t>Center</w:t>
                                </w:r>
                                <w:proofErr w:type="spellEnd"/>
                                <w:r>
                                  <w:t xml:space="preserve"> Building, 22</w:t>
                                </w:r>
                                <w:r w:rsidRPr="00B14477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 Floor</w:t>
                                </w:r>
                              </w:p>
                              <w:p w14:paraId="03811253" w14:textId="77777777" w:rsidR="00155818" w:rsidRPr="00272BDA" w:rsidRDefault="00155818" w:rsidP="004B17DB">
                                <w:pPr>
                                  <w:pStyle w:val="EYBusinessaddress"/>
                                </w:pPr>
                                <w:r>
                                  <w:t>15-17 Ion Mihalache Blvd., Sector 1</w:t>
                                </w:r>
                              </w:p>
                              <w:p w14:paraId="09A8B533" w14:textId="77777777" w:rsidR="00155818" w:rsidRPr="00272BDA" w:rsidRDefault="00155818" w:rsidP="004B17DB">
                                <w:pPr>
                                  <w:pStyle w:val="EYBusinessaddress"/>
                                </w:pPr>
                                <w:r>
                                  <w:t>011171 Bucharest, Romania</w:t>
                                </w:r>
                              </w:p>
                            </w:tc>
                          </w:tr>
                        </w:tbl>
                        <w:p w14:paraId="255B843E" w14:textId="77777777" w:rsidR="00155818" w:rsidRPr="002004B4" w:rsidRDefault="00155818" w:rsidP="00155818">
                          <w:pPr>
                            <w:spacing w:after="0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06A6F8" id="_x0000_t202" coordsize="21600,21600" o:spt="202" path="m,l,21600r21600,l21600,xe">
              <v:stroke joinstyle="miter"/>
              <v:path gradientshapeok="t" o:connecttype="rect"/>
            </v:shapetype>
            <v:shape id="Casetă text 217" o:spid="_x0000_s1026" type="#_x0000_t202" style="position:absolute;margin-left:268.5pt;margin-top:2.15pt;width:228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" stroked="f">
              <v:textbox style="mso-fit-shape-to-text:t">
                <w:txbxContent>
                  <w:tbl>
                    <w:tblPr>
                      <w:tblStyle w:val="TableGrid"/>
                      <w:tblW w:w="31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119"/>
                    </w:tblGrid>
                    <w:tr w:rsidR="00155818" w14:paraId="283C1E1A" w14:textId="77777777" w:rsidTr="00F75301">
                      <w:tc>
                        <w:tcPr>
                          <w:tcW w:w="3119" w:type="dxa"/>
                        </w:tcPr>
                        <w:p w14:paraId="30B1A11F" w14:textId="77777777" w:rsidR="00155818" w:rsidRPr="00272BDA" w:rsidRDefault="00155818" w:rsidP="004B17DB">
                          <w:pPr>
                            <w:pStyle w:val="EYBusinessaddress"/>
                          </w:pPr>
                          <w:r>
                            <w:t>Ernst &amp; Young SRL / Bancila &amp; Diaconu</w:t>
                          </w:r>
                        </w:p>
                        <w:p w14:paraId="297EE0C1" w14:textId="77777777" w:rsidR="00155818" w:rsidRPr="00272BDA" w:rsidRDefault="00155818" w:rsidP="004B17DB">
                          <w:pPr>
                            <w:pStyle w:val="EYBusinessaddress"/>
                          </w:pPr>
                          <w:r>
                            <w:t xml:space="preserve">Bucharest Tower </w:t>
                          </w:r>
                          <w:proofErr w:type="spellStart"/>
                          <w:r>
                            <w:t>Center</w:t>
                          </w:r>
                          <w:proofErr w:type="spellEnd"/>
                          <w:r>
                            <w:t xml:space="preserve"> Building, 22</w:t>
                          </w:r>
                          <w:r w:rsidRPr="00B14477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Floor</w:t>
                          </w:r>
                        </w:p>
                        <w:p w14:paraId="03811253" w14:textId="77777777" w:rsidR="00155818" w:rsidRPr="00272BDA" w:rsidRDefault="00155818" w:rsidP="004B17DB">
                          <w:pPr>
                            <w:pStyle w:val="EYBusinessaddress"/>
                          </w:pPr>
                          <w:r>
                            <w:t>15-17 Ion Mihalache Blvd., Sector 1</w:t>
                          </w:r>
                        </w:p>
                        <w:p w14:paraId="09A8B533" w14:textId="77777777" w:rsidR="00155818" w:rsidRPr="00272BDA" w:rsidRDefault="00155818" w:rsidP="004B17DB">
                          <w:pPr>
                            <w:pStyle w:val="EYBusinessaddress"/>
                          </w:pPr>
                          <w:r>
                            <w:t>011171 Bucharest, Romania</w:t>
                          </w:r>
                        </w:p>
                      </w:tc>
                    </w:tr>
                  </w:tbl>
                  <w:p w14:paraId="255B843E" w14:textId="77777777" w:rsidR="00155818" w:rsidRPr="002004B4" w:rsidRDefault="00155818" w:rsidP="00155818">
                    <w:pPr>
                      <w:spacing w:after="0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F3083">
      <w:rPr>
        <w:rFonts w:ascii="Arial" w:hAnsi="Arial" w:cs="Arial"/>
        <w:b/>
        <w:bCs/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5CAEB242" wp14:editId="38786F30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03120" cy="666115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C9D"/>
    <w:multiLevelType w:val="hybridMultilevel"/>
    <w:tmpl w:val="980C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B36"/>
    <w:multiLevelType w:val="hybridMultilevel"/>
    <w:tmpl w:val="14D4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733"/>
    <w:multiLevelType w:val="hybridMultilevel"/>
    <w:tmpl w:val="804A0940"/>
    <w:lvl w:ilvl="0" w:tplc="6534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4C"/>
    <w:rsid w:val="00002429"/>
    <w:rsid w:val="000100BA"/>
    <w:rsid w:val="00011096"/>
    <w:rsid w:val="00011A4F"/>
    <w:rsid w:val="00017591"/>
    <w:rsid w:val="000358D7"/>
    <w:rsid w:val="00047363"/>
    <w:rsid w:val="00063E35"/>
    <w:rsid w:val="00067DE2"/>
    <w:rsid w:val="0008211F"/>
    <w:rsid w:val="0009029F"/>
    <w:rsid w:val="0009609A"/>
    <w:rsid w:val="000B2CC4"/>
    <w:rsid w:val="000C6C2E"/>
    <w:rsid w:val="000F34A6"/>
    <w:rsid w:val="001009ED"/>
    <w:rsid w:val="0010170A"/>
    <w:rsid w:val="001172D9"/>
    <w:rsid w:val="00123AE9"/>
    <w:rsid w:val="00124EAE"/>
    <w:rsid w:val="0013281A"/>
    <w:rsid w:val="00137E0D"/>
    <w:rsid w:val="0014588B"/>
    <w:rsid w:val="00155818"/>
    <w:rsid w:val="00156D40"/>
    <w:rsid w:val="00165157"/>
    <w:rsid w:val="00173B3B"/>
    <w:rsid w:val="00184E0F"/>
    <w:rsid w:val="0018510A"/>
    <w:rsid w:val="00197E36"/>
    <w:rsid w:val="001A648C"/>
    <w:rsid w:val="001B7A74"/>
    <w:rsid w:val="001C262F"/>
    <w:rsid w:val="001C7C00"/>
    <w:rsid w:val="001D5717"/>
    <w:rsid w:val="001E7B25"/>
    <w:rsid w:val="001F0C79"/>
    <w:rsid w:val="001F1079"/>
    <w:rsid w:val="001F4BD7"/>
    <w:rsid w:val="001F4D5E"/>
    <w:rsid w:val="0020279C"/>
    <w:rsid w:val="002324E2"/>
    <w:rsid w:val="00235061"/>
    <w:rsid w:val="00237A32"/>
    <w:rsid w:val="00282176"/>
    <w:rsid w:val="00285EF7"/>
    <w:rsid w:val="002950A8"/>
    <w:rsid w:val="00295F5D"/>
    <w:rsid w:val="002A0E27"/>
    <w:rsid w:val="002A16A7"/>
    <w:rsid w:val="002A1A56"/>
    <w:rsid w:val="002A371F"/>
    <w:rsid w:val="002B0EF3"/>
    <w:rsid w:val="002B163E"/>
    <w:rsid w:val="002B4ED5"/>
    <w:rsid w:val="002D490B"/>
    <w:rsid w:val="002D4E14"/>
    <w:rsid w:val="002E675D"/>
    <w:rsid w:val="002F0BB5"/>
    <w:rsid w:val="003161FA"/>
    <w:rsid w:val="00316ACF"/>
    <w:rsid w:val="00320A9A"/>
    <w:rsid w:val="00323579"/>
    <w:rsid w:val="00325278"/>
    <w:rsid w:val="00327FEE"/>
    <w:rsid w:val="00343F34"/>
    <w:rsid w:val="003476DC"/>
    <w:rsid w:val="003548BA"/>
    <w:rsid w:val="0037283E"/>
    <w:rsid w:val="003857B1"/>
    <w:rsid w:val="00386DB8"/>
    <w:rsid w:val="003A354C"/>
    <w:rsid w:val="003A7821"/>
    <w:rsid w:val="003B70A9"/>
    <w:rsid w:val="003C5714"/>
    <w:rsid w:val="003C5F76"/>
    <w:rsid w:val="003D67C8"/>
    <w:rsid w:val="003E0678"/>
    <w:rsid w:val="003E3740"/>
    <w:rsid w:val="003F4178"/>
    <w:rsid w:val="003F63BA"/>
    <w:rsid w:val="003F64F3"/>
    <w:rsid w:val="003F7960"/>
    <w:rsid w:val="00423A04"/>
    <w:rsid w:val="004378EE"/>
    <w:rsid w:val="004410D8"/>
    <w:rsid w:val="004465EA"/>
    <w:rsid w:val="00466BD0"/>
    <w:rsid w:val="00475DB5"/>
    <w:rsid w:val="00476A31"/>
    <w:rsid w:val="004805BB"/>
    <w:rsid w:val="00492350"/>
    <w:rsid w:val="004A09D6"/>
    <w:rsid w:val="004B3118"/>
    <w:rsid w:val="004C1400"/>
    <w:rsid w:val="004D736A"/>
    <w:rsid w:val="004E0DFE"/>
    <w:rsid w:val="004E3AE8"/>
    <w:rsid w:val="004F367D"/>
    <w:rsid w:val="00507FCA"/>
    <w:rsid w:val="0052146A"/>
    <w:rsid w:val="00521F2D"/>
    <w:rsid w:val="00523555"/>
    <w:rsid w:val="005236B3"/>
    <w:rsid w:val="00553A46"/>
    <w:rsid w:val="00571C8F"/>
    <w:rsid w:val="00595B5C"/>
    <w:rsid w:val="005B25D6"/>
    <w:rsid w:val="005C2AE3"/>
    <w:rsid w:val="005C4954"/>
    <w:rsid w:val="005C7540"/>
    <w:rsid w:val="005D35E0"/>
    <w:rsid w:val="005D525F"/>
    <w:rsid w:val="005D577E"/>
    <w:rsid w:val="005E00C1"/>
    <w:rsid w:val="005E0AEA"/>
    <w:rsid w:val="006066FD"/>
    <w:rsid w:val="00607395"/>
    <w:rsid w:val="00615CA2"/>
    <w:rsid w:val="00620F1D"/>
    <w:rsid w:val="006216D5"/>
    <w:rsid w:val="0063061E"/>
    <w:rsid w:val="00630D57"/>
    <w:rsid w:val="00634164"/>
    <w:rsid w:val="006371B0"/>
    <w:rsid w:val="00642F98"/>
    <w:rsid w:val="0064779A"/>
    <w:rsid w:val="00660241"/>
    <w:rsid w:val="00675F42"/>
    <w:rsid w:val="00680796"/>
    <w:rsid w:val="00683653"/>
    <w:rsid w:val="00686260"/>
    <w:rsid w:val="006A1789"/>
    <w:rsid w:val="006A307B"/>
    <w:rsid w:val="006A6166"/>
    <w:rsid w:val="006B1DCC"/>
    <w:rsid w:val="006B32EE"/>
    <w:rsid w:val="006C18BF"/>
    <w:rsid w:val="006F1DFB"/>
    <w:rsid w:val="006F1FCE"/>
    <w:rsid w:val="006F2E2D"/>
    <w:rsid w:val="006F4D78"/>
    <w:rsid w:val="006F5AB4"/>
    <w:rsid w:val="007014D6"/>
    <w:rsid w:val="007224E1"/>
    <w:rsid w:val="00741735"/>
    <w:rsid w:val="00747621"/>
    <w:rsid w:val="007505AE"/>
    <w:rsid w:val="00782FF7"/>
    <w:rsid w:val="007C31B9"/>
    <w:rsid w:val="007D361C"/>
    <w:rsid w:val="007D41A7"/>
    <w:rsid w:val="007E1AF2"/>
    <w:rsid w:val="007E5576"/>
    <w:rsid w:val="007E6466"/>
    <w:rsid w:val="007F3001"/>
    <w:rsid w:val="007F732B"/>
    <w:rsid w:val="00810A5C"/>
    <w:rsid w:val="0084777E"/>
    <w:rsid w:val="00855F51"/>
    <w:rsid w:val="00860544"/>
    <w:rsid w:val="00871CCD"/>
    <w:rsid w:val="00881B9B"/>
    <w:rsid w:val="008B3DED"/>
    <w:rsid w:val="008C75E4"/>
    <w:rsid w:val="008E4281"/>
    <w:rsid w:val="008F4897"/>
    <w:rsid w:val="00900D4C"/>
    <w:rsid w:val="00926C40"/>
    <w:rsid w:val="00933A95"/>
    <w:rsid w:val="009347B8"/>
    <w:rsid w:val="00944BA2"/>
    <w:rsid w:val="00951BF8"/>
    <w:rsid w:val="009612CE"/>
    <w:rsid w:val="00967C28"/>
    <w:rsid w:val="00987C63"/>
    <w:rsid w:val="0099687A"/>
    <w:rsid w:val="00997114"/>
    <w:rsid w:val="009A0C28"/>
    <w:rsid w:val="009A0D09"/>
    <w:rsid w:val="009A1227"/>
    <w:rsid w:val="009A1533"/>
    <w:rsid w:val="009A291B"/>
    <w:rsid w:val="009A6D74"/>
    <w:rsid w:val="009B0089"/>
    <w:rsid w:val="009B1B8B"/>
    <w:rsid w:val="009C44BD"/>
    <w:rsid w:val="009C5012"/>
    <w:rsid w:val="009E42F5"/>
    <w:rsid w:val="009E6776"/>
    <w:rsid w:val="00A05861"/>
    <w:rsid w:val="00A15423"/>
    <w:rsid w:val="00A224B1"/>
    <w:rsid w:val="00A27204"/>
    <w:rsid w:val="00A51044"/>
    <w:rsid w:val="00A63E25"/>
    <w:rsid w:val="00A7338E"/>
    <w:rsid w:val="00A73A7A"/>
    <w:rsid w:val="00A93878"/>
    <w:rsid w:val="00AA0706"/>
    <w:rsid w:val="00AA7033"/>
    <w:rsid w:val="00AB1987"/>
    <w:rsid w:val="00AB5EFB"/>
    <w:rsid w:val="00AF5CB1"/>
    <w:rsid w:val="00AF6FDD"/>
    <w:rsid w:val="00B26C49"/>
    <w:rsid w:val="00B56697"/>
    <w:rsid w:val="00B6728C"/>
    <w:rsid w:val="00B77646"/>
    <w:rsid w:val="00BB6F0C"/>
    <w:rsid w:val="00BC12F4"/>
    <w:rsid w:val="00BC28C0"/>
    <w:rsid w:val="00BC7E8A"/>
    <w:rsid w:val="00C10C94"/>
    <w:rsid w:val="00C11A81"/>
    <w:rsid w:val="00C26131"/>
    <w:rsid w:val="00C27A8E"/>
    <w:rsid w:val="00C508FB"/>
    <w:rsid w:val="00C722F5"/>
    <w:rsid w:val="00C82108"/>
    <w:rsid w:val="00C9408F"/>
    <w:rsid w:val="00CA747A"/>
    <w:rsid w:val="00CA76A7"/>
    <w:rsid w:val="00CB5D29"/>
    <w:rsid w:val="00CB5D4B"/>
    <w:rsid w:val="00CB7843"/>
    <w:rsid w:val="00CB7FB2"/>
    <w:rsid w:val="00CC6B2B"/>
    <w:rsid w:val="00CD6580"/>
    <w:rsid w:val="00CE0E9D"/>
    <w:rsid w:val="00CE4EB3"/>
    <w:rsid w:val="00CF2C36"/>
    <w:rsid w:val="00D040DC"/>
    <w:rsid w:val="00D05E6D"/>
    <w:rsid w:val="00D24C20"/>
    <w:rsid w:val="00D26950"/>
    <w:rsid w:val="00D27F8D"/>
    <w:rsid w:val="00D42474"/>
    <w:rsid w:val="00D54BC9"/>
    <w:rsid w:val="00D550D1"/>
    <w:rsid w:val="00D65DA6"/>
    <w:rsid w:val="00D66852"/>
    <w:rsid w:val="00D71B95"/>
    <w:rsid w:val="00D739E4"/>
    <w:rsid w:val="00D7551F"/>
    <w:rsid w:val="00D77D5D"/>
    <w:rsid w:val="00D801CF"/>
    <w:rsid w:val="00D802C8"/>
    <w:rsid w:val="00D91498"/>
    <w:rsid w:val="00DC175A"/>
    <w:rsid w:val="00DC7110"/>
    <w:rsid w:val="00DE796F"/>
    <w:rsid w:val="00DF4D20"/>
    <w:rsid w:val="00E0172E"/>
    <w:rsid w:val="00E110F9"/>
    <w:rsid w:val="00E224CA"/>
    <w:rsid w:val="00E30F45"/>
    <w:rsid w:val="00E46069"/>
    <w:rsid w:val="00E50E49"/>
    <w:rsid w:val="00E64E56"/>
    <w:rsid w:val="00E71E03"/>
    <w:rsid w:val="00E7412A"/>
    <w:rsid w:val="00E82035"/>
    <w:rsid w:val="00EA21B6"/>
    <w:rsid w:val="00EC2F62"/>
    <w:rsid w:val="00EF6CF7"/>
    <w:rsid w:val="00F01F3C"/>
    <w:rsid w:val="00F02F1A"/>
    <w:rsid w:val="00F051D1"/>
    <w:rsid w:val="00F212BA"/>
    <w:rsid w:val="00F32201"/>
    <w:rsid w:val="00F3227A"/>
    <w:rsid w:val="00F44C3B"/>
    <w:rsid w:val="00F55E34"/>
    <w:rsid w:val="00FA76A1"/>
    <w:rsid w:val="00FB00CC"/>
    <w:rsid w:val="00FC1F92"/>
    <w:rsid w:val="00FC358A"/>
    <w:rsid w:val="00FC7EC5"/>
    <w:rsid w:val="00FD7158"/>
    <w:rsid w:val="00FE475A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CDB2"/>
  <w15:chartTrackingRefBased/>
  <w15:docId w15:val="{1BFDEE25-171E-4E32-88B2-A9A5E29B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7F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F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9"/>
  </w:style>
  <w:style w:type="paragraph" w:styleId="Footer">
    <w:name w:val="footer"/>
    <w:basedOn w:val="Normal"/>
    <w:link w:val="FooterChar"/>
    <w:uiPriority w:val="99"/>
    <w:unhideWhenUsed/>
    <w:rsid w:val="001F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9"/>
  </w:style>
  <w:style w:type="paragraph" w:styleId="BalloonText">
    <w:name w:val="Balloon Text"/>
    <w:basedOn w:val="Normal"/>
    <w:link w:val="BalloonTextChar"/>
    <w:uiPriority w:val="99"/>
    <w:semiHidden/>
    <w:unhideWhenUsed/>
    <w:rsid w:val="000B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C4"/>
    <w:rPr>
      <w:rFonts w:ascii="Segoe UI" w:hAnsi="Segoe UI" w:cs="Segoe UI"/>
      <w:sz w:val="18"/>
      <w:szCs w:val="18"/>
    </w:rPr>
  </w:style>
  <w:style w:type="paragraph" w:customStyle="1" w:styleId="EYBusinessaddress">
    <w:name w:val="EY Business address"/>
    <w:basedOn w:val="Normal"/>
    <w:rsid w:val="000B2CC4"/>
    <w:pPr>
      <w:suppressAutoHyphens/>
      <w:spacing w:after="0" w:line="170" w:lineRule="atLeast"/>
    </w:pPr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table" w:styleId="TableGrid">
    <w:name w:val="Table Grid"/>
    <w:basedOn w:val="TableNormal"/>
    <w:rsid w:val="000B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YBodytextwithparaspaceChar">
    <w:name w:val="EY Body text (with para space) Char"/>
    <w:link w:val="EYBodytextwithparaspace"/>
    <w:rsid w:val="00B56697"/>
    <w:rPr>
      <w:rFonts w:ascii="Arial" w:hAnsi="Arial"/>
      <w:kern w:val="12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B56697"/>
    <w:pPr>
      <w:tabs>
        <w:tab w:val="left" w:pos="907"/>
      </w:tabs>
      <w:suppressAutoHyphens/>
      <w:spacing w:after="400" w:line="360" w:lineRule="auto"/>
    </w:pPr>
    <w:rPr>
      <w:rFonts w:ascii="Arial" w:hAnsi="Arial"/>
      <w:kern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56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647361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25464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2001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924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Luiza</cp:lastModifiedBy>
  <cp:revision>17</cp:revision>
  <dcterms:created xsi:type="dcterms:W3CDTF">2021-09-20T15:13:00Z</dcterms:created>
  <dcterms:modified xsi:type="dcterms:W3CDTF">2021-09-22T06:31:00Z</dcterms:modified>
</cp:coreProperties>
</file>