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FD0" w:rsidRDefault="00F35C7C" w:rsidP="00A13BE3">
      <w:pPr>
        <w:tabs>
          <w:tab w:val="left" w:pos="1701"/>
        </w:tabs>
        <w:jc w:val="right"/>
      </w:pPr>
      <w:r>
        <w:t>Exemplar nr. _________</w:t>
      </w:r>
    </w:p>
    <w:p w:rsidR="006F3D0D" w:rsidRDefault="0082404A" w:rsidP="00A13BE3">
      <w:pPr>
        <w:tabs>
          <w:tab w:val="left" w:pos="1701"/>
        </w:tabs>
        <w:jc w:val="right"/>
      </w:pPr>
      <w:r>
        <w:tab/>
      </w:r>
      <w:r>
        <w:tab/>
      </w:r>
      <w:r>
        <w:tab/>
      </w:r>
      <w:r>
        <w:tab/>
      </w:r>
      <w:r>
        <w:tab/>
      </w:r>
      <w:r>
        <w:tab/>
      </w:r>
      <w:r>
        <w:tab/>
      </w:r>
      <w:r>
        <w:tab/>
      </w:r>
    </w:p>
    <w:p w:rsidR="00F51FD3" w:rsidRPr="00F51FD3" w:rsidRDefault="00F51FD3" w:rsidP="00F51FD3">
      <w:pPr>
        <w:ind w:left="3540"/>
        <w:rPr>
          <w:rFonts w:ascii="Calibri" w:eastAsia="Calibri" w:hAnsi="Calibri"/>
          <w:lang w:val="ro-RO"/>
        </w:rPr>
      </w:pPr>
      <w:r w:rsidRPr="00F51FD3">
        <w:rPr>
          <w:b/>
        </w:rPr>
        <w:t>PROIECT</w:t>
      </w:r>
    </w:p>
    <w:tbl>
      <w:tblPr>
        <w:tblW w:w="5000" w:type="pct"/>
        <w:tblCellMar>
          <w:top w:w="15" w:type="dxa"/>
          <w:left w:w="15" w:type="dxa"/>
          <w:bottom w:w="15" w:type="dxa"/>
          <w:right w:w="15" w:type="dxa"/>
        </w:tblCellMar>
        <w:tblLook w:val="04A0" w:firstRow="1" w:lastRow="0" w:firstColumn="1" w:lastColumn="0" w:noHBand="0" w:noVBand="1"/>
      </w:tblPr>
      <w:tblGrid>
        <w:gridCol w:w="8038"/>
        <w:gridCol w:w="893"/>
      </w:tblGrid>
      <w:tr w:rsidR="00F51FD3" w:rsidRPr="00F51FD3" w:rsidTr="000A0C20">
        <w:tc>
          <w:tcPr>
            <w:tcW w:w="0" w:type="auto"/>
            <w:tcMar>
              <w:top w:w="0" w:type="dxa"/>
              <w:left w:w="45" w:type="dxa"/>
              <w:bottom w:w="0" w:type="dxa"/>
              <w:right w:w="45" w:type="dxa"/>
            </w:tcMar>
            <w:hideMark/>
          </w:tcPr>
          <w:p w:rsidR="00F51FD3" w:rsidRDefault="00F51FD3" w:rsidP="00F51FD3">
            <w:pPr>
              <w:tabs>
                <w:tab w:val="left" w:pos="3094"/>
              </w:tabs>
              <w:spacing w:after="0" w:line="240" w:lineRule="auto"/>
              <w:ind w:left="0"/>
              <w:jc w:val="center"/>
              <w:rPr>
                <w:rFonts w:cs="Arial"/>
                <w:b/>
                <w:lang w:val="sv-SE"/>
              </w:rPr>
            </w:pPr>
            <w:r w:rsidRPr="00F51FD3">
              <w:rPr>
                <w:rFonts w:cs="Arial"/>
                <w:b/>
                <w:lang w:val="sv-SE"/>
              </w:rPr>
              <w:t>O R D I N</w:t>
            </w:r>
          </w:p>
          <w:p w:rsidR="00F51FD3" w:rsidRPr="00F51FD3" w:rsidRDefault="00F51FD3" w:rsidP="00F51FD3">
            <w:pPr>
              <w:tabs>
                <w:tab w:val="left" w:pos="3094"/>
              </w:tabs>
              <w:spacing w:after="0" w:line="240" w:lineRule="auto"/>
              <w:ind w:left="0"/>
              <w:jc w:val="center"/>
              <w:rPr>
                <w:rFonts w:eastAsia="Times New Roman" w:cs="Arial"/>
                <w:b/>
                <w:bCs/>
                <w:lang w:eastAsia="ro-RO"/>
              </w:rPr>
            </w:pPr>
          </w:p>
          <w:p w:rsidR="00F51FD3" w:rsidRPr="00F51FD3" w:rsidRDefault="00F51FD3" w:rsidP="00F51FD3">
            <w:pPr>
              <w:tabs>
                <w:tab w:val="left" w:pos="3094"/>
              </w:tabs>
              <w:spacing w:after="0" w:line="240" w:lineRule="auto"/>
              <w:ind w:left="0"/>
              <w:jc w:val="center"/>
              <w:rPr>
                <w:rFonts w:eastAsia="Times New Roman" w:cs="Arial"/>
                <w:b/>
                <w:bCs/>
                <w:lang w:val="ro-RO" w:eastAsia="ro-RO"/>
              </w:rPr>
            </w:pPr>
            <w:r w:rsidRPr="00F51FD3">
              <w:rPr>
                <w:rFonts w:eastAsia="Times New Roman" w:cs="Arial"/>
                <w:b/>
                <w:bCs/>
                <w:lang w:val="ro-RO" w:eastAsia="ro-RO"/>
              </w:rPr>
              <w:t xml:space="preserve">pentru </w:t>
            </w:r>
            <w:bookmarkStart w:id="0" w:name="_Hlk76998665"/>
            <w:bookmarkStart w:id="1" w:name="_Hlk76998331"/>
            <w:r w:rsidR="008C0D1C" w:rsidRPr="00F51FD3">
              <w:rPr>
                <w:rFonts w:eastAsia="Times New Roman" w:cs="Arial"/>
                <w:b/>
                <w:bCs/>
                <w:lang w:val="ro-RO" w:eastAsia="ro-RO"/>
              </w:rPr>
              <w:t>aprobarea proceduri</w:t>
            </w:r>
            <w:r w:rsidR="006F5C3F">
              <w:rPr>
                <w:rFonts w:eastAsia="Times New Roman" w:cs="Arial"/>
                <w:b/>
                <w:bCs/>
                <w:lang w:val="ro-RO" w:eastAsia="ro-RO"/>
              </w:rPr>
              <w:t>i reactivării avizului stins din eroare și indisponibilizarea în</w:t>
            </w:r>
            <w:r w:rsidR="008C0D1C" w:rsidRPr="00F51FD3">
              <w:rPr>
                <w:rFonts w:eastAsia="Times New Roman" w:cs="Arial"/>
                <w:b/>
                <w:bCs/>
                <w:lang w:val="ro-RO" w:eastAsia="ro-RO"/>
              </w:rPr>
              <w:t xml:space="preserve"> R</w:t>
            </w:r>
            <w:bookmarkEnd w:id="0"/>
            <w:r w:rsidR="008C0D1C" w:rsidRPr="00F51FD3">
              <w:rPr>
                <w:rFonts w:eastAsia="Times New Roman" w:cs="Arial"/>
                <w:b/>
                <w:bCs/>
                <w:lang w:val="ro-RO" w:eastAsia="ro-RO"/>
              </w:rPr>
              <w:t xml:space="preserve">egistrul Național de Publicitate Mobiliară </w:t>
            </w:r>
            <w:r w:rsidR="006F5C3F">
              <w:rPr>
                <w:rFonts w:eastAsia="Times New Roman" w:cs="Arial"/>
                <w:b/>
                <w:bCs/>
                <w:lang w:val="ro-RO" w:eastAsia="ro-RO"/>
              </w:rPr>
              <w:t xml:space="preserve">a bunurilor pe perioada analizei cererii de reactivare </w:t>
            </w:r>
            <w:bookmarkEnd w:id="1"/>
          </w:p>
          <w:p w:rsidR="00F51FD3" w:rsidRPr="00F51FD3" w:rsidRDefault="00F51FD3" w:rsidP="00F51FD3">
            <w:pPr>
              <w:tabs>
                <w:tab w:val="left" w:pos="3094"/>
              </w:tabs>
              <w:spacing w:after="260" w:line="240" w:lineRule="auto"/>
              <w:ind w:left="0"/>
              <w:jc w:val="center"/>
              <w:rPr>
                <w:rFonts w:eastAsia="Times New Roman" w:cs="Arial"/>
                <w:lang w:val="ro-RO" w:eastAsia="ro-RO"/>
              </w:rPr>
            </w:pPr>
          </w:p>
          <w:p w:rsidR="00F51FD3" w:rsidRPr="00F51FD3" w:rsidRDefault="00F51FD3" w:rsidP="00F51FD3">
            <w:pPr>
              <w:tabs>
                <w:tab w:val="left" w:pos="3094"/>
              </w:tabs>
              <w:spacing w:after="0" w:line="240" w:lineRule="auto"/>
              <w:ind w:left="806" w:hanging="806"/>
              <w:rPr>
                <w:rFonts w:eastAsia="Times New Roman" w:cs="Arial"/>
                <w:b/>
                <w:lang w:val="ro-RO" w:eastAsia="ro-RO"/>
              </w:rPr>
            </w:pPr>
            <w:r w:rsidRPr="00F51FD3">
              <w:rPr>
                <w:rFonts w:eastAsia="Times New Roman" w:cs="Arial"/>
                <w:b/>
                <w:lang w:val="ro-RO" w:eastAsia="ro-RO"/>
              </w:rPr>
              <w:t>Ministrul Justiției,</w:t>
            </w:r>
          </w:p>
        </w:tc>
        <w:tc>
          <w:tcPr>
            <w:tcW w:w="500" w:type="pct"/>
            <w:tcMar>
              <w:top w:w="0" w:type="dxa"/>
              <w:left w:w="45" w:type="dxa"/>
              <w:bottom w:w="0" w:type="dxa"/>
              <w:right w:w="45" w:type="dxa"/>
            </w:tcMar>
          </w:tcPr>
          <w:p w:rsidR="00F51FD3" w:rsidRPr="00F51FD3" w:rsidRDefault="00F51FD3" w:rsidP="00F51FD3">
            <w:pPr>
              <w:tabs>
                <w:tab w:val="left" w:pos="3094"/>
              </w:tabs>
              <w:spacing w:after="0" w:line="240" w:lineRule="auto"/>
              <w:ind w:left="0"/>
              <w:jc w:val="right"/>
              <w:rPr>
                <w:rFonts w:eastAsia="Times New Roman" w:cs="Arial"/>
                <w:lang w:val="ro-RO" w:eastAsia="ro-RO"/>
              </w:rPr>
            </w:pPr>
          </w:p>
        </w:tc>
      </w:tr>
      <w:tr w:rsidR="00F51FD3" w:rsidRPr="00F51FD3" w:rsidTr="000A0C20">
        <w:tc>
          <w:tcPr>
            <w:tcW w:w="0" w:type="auto"/>
            <w:tcMar>
              <w:top w:w="0" w:type="dxa"/>
              <w:left w:w="45" w:type="dxa"/>
              <w:bottom w:w="0" w:type="dxa"/>
              <w:right w:w="45" w:type="dxa"/>
            </w:tcMar>
          </w:tcPr>
          <w:p w:rsidR="00F51FD3" w:rsidRPr="00F51FD3" w:rsidRDefault="00F51FD3" w:rsidP="00F51FD3">
            <w:pPr>
              <w:tabs>
                <w:tab w:val="left" w:pos="3094"/>
              </w:tabs>
              <w:spacing w:after="0" w:line="240" w:lineRule="auto"/>
              <w:ind w:left="0"/>
              <w:jc w:val="center"/>
              <w:rPr>
                <w:rFonts w:eastAsia="Times New Roman" w:cs="Arial"/>
                <w:b/>
                <w:bCs/>
                <w:lang w:val="ro-RO" w:eastAsia="ro-RO"/>
              </w:rPr>
            </w:pPr>
          </w:p>
        </w:tc>
        <w:tc>
          <w:tcPr>
            <w:tcW w:w="500" w:type="pct"/>
            <w:tcMar>
              <w:top w:w="0" w:type="dxa"/>
              <w:left w:w="45" w:type="dxa"/>
              <w:bottom w:w="0" w:type="dxa"/>
              <w:right w:w="45" w:type="dxa"/>
            </w:tcMar>
          </w:tcPr>
          <w:p w:rsidR="00F51FD3" w:rsidRPr="00F51FD3" w:rsidRDefault="00F51FD3" w:rsidP="00F51FD3">
            <w:pPr>
              <w:tabs>
                <w:tab w:val="left" w:pos="3094"/>
              </w:tabs>
              <w:spacing w:after="0" w:line="240" w:lineRule="auto"/>
              <w:ind w:left="0"/>
              <w:jc w:val="right"/>
              <w:rPr>
                <w:rFonts w:eastAsia="Times New Roman" w:cs="Arial"/>
                <w:lang w:val="ro-RO" w:eastAsia="ro-RO"/>
              </w:rPr>
            </w:pPr>
          </w:p>
        </w:tc>
      </w:tr>
    </w:tbl>
    <w:p w:rsidR="00F51FD3" w:rsidRDefault="00F51FD3" w:rsidP="00F51FD3">
      <w:pPr>
        <w:tabs>
          <w:tab w:val="left" w:pos="3094"/>
        </w:tabs>
        <w:spacing w:after="0" w:line="240" w:lineRule="auto"/>
        <w:ind w:left="0"/>
        <w:rPr>
          <w:rFonts w:eastAsia="Times New Roman" w:cs="Arial"/>
          <w:iCs/>
          <w:lang w:val="ro-RO" w:eastAsia="ro-RO"/>
        </w:rPr>
      </w:pPr>
      <w:r>
        <w:rPr>
          <w:rFonts w:eastAsia="Times New Roman" w:cs="Arial"/>
          <w:iCs/>
          <w:lang w:val="ro-RO" w:eastAsia="ro-RO"/>
        </w:rPr>
        <w:tab/>
      </w:r>
    </w:p>
    <w:p w:rsidR="00C46CC1" w:rsidRDefault="008760AA" w:rsidP="008760AA">
      <w:pPr>
        <w:tabs>
          <w:tab w:val="left" w:pos="709"/>
        </w:tabs>
        <w:spacing w:after="0" w:line="240" w:lineRule="auto"/>
        <w:ind w:left="0"/>
        <w:rPr>
          <w:rFonts w:eastAsia="Times New Roman" w:cs="Arial"/>
          <w:iCs/>
          <w:lang w:val="ro-RO" w:eastAsia="ro-RO"/>
        </w:rPr>
      </w:pPr>
      <w:r>
        <w:rPr>
          <w:rFonts w:eastAsia="Times New Roman" w:cs="Arial"/>
          <w:iCs/>
          <w:lang w:val="ro-RO" w:eastAsia="ro-RO"/>
        </w:rPr>
        <w:tab/>
      </w:r>
      <w:r w:rsidR="00C46CC1">
        <w:rPr>
          <w:rFonts w:eastAsia="Times New Roman" w:cs="Arial"/>
          <w:iCs/>
          <w:lang w:val="ro-RO" w:eastAsia="ro-RO"/>
        </w:rPr>
        <w:t>Având în vedere prevederile art. III din Legea nr. 196/</w:t>
      </w:r>
      <w:r w:rsidR="00F35C7C">
        <w:rPr>
          <w:rFonts w:eastAsia="Times New Roman" w:cs="Arial"/>
          <w:iCs/>
          <w:lang w:val="ro-RO" w:eastAsia="ro-RO"/>
        </w:rPr>
        <w:t xml:space="preserve">2020 </w:t>
      </w:r>
      <w:r w:rsidR="00C46CC1">
        <w:rPr>
          <w:rFonts w:eastAsia="Times New Roman" w:cs="Arial"/>
          <w:iCs/>
          <w:lang w:val="ro-RO" w:eastAsia="ro-RO"/>
        </w:rPr>
        <w:t xml:space="preserve">pentru modificarea și completarea </w:t>
      </w:r>
      <w:r w:rsidR="00C46CC1" w:rsidRPr="00F51FD3">
        <w:rPr>
          <w:rFonts w:eastAsia="Times New Roman" w:cs="Arial"/>
          <w:iCs/>
          <w:lang w:val="ro-RO" w:eastAsia="ro-RO"/>
        </w:rPr>
        <w:t>Leg</w:t>
      </w:r>
      <w:r w:rsidR="00C46CC1">
        <w:rPr>
          <w:rFonts w:eastAsia="Times New Roman" w:cs="Arial"/>
          <w:iCs/>
          <w:lang w:val="ro-RO" w:eastAsia="ro-RO"/>
        </w:rPr>
        <w:t>ii</w:t>
      </w:r>
      <w:r w:rsidR="00C46CC1" w:rsidRPr="00F51FD3">
        <w:rPr>
          <w:rFonts w:eastAsia="Times New Roman" w:cs="Arial"/>
          <w:iCs/>
          <w:lang w:val="ro-RO" w:eastAsia="ro-RO"/>
        </w:rPr>
        <w:t xml:space="preserve"> nr. 297/2018 privind Registrul Național de Publicitate Mobiliară și pentru abrogarea Ordonanței Guvernului </w:t>
      </w:r>
      <w:hyperlink r:id="rId8" w:history="1">
        <w:r w:rsidR="00C46CC1" w:rsidRPr="00F51FD3">
          <w:rPr>
            <w:rFonts w:eastAsia="Times New Roman" w:cs="Arial"/>
            <w:iCs/>
            <w:lang w:val="ro-RO" w:eastAsia="ro-RO"/>
          </w:rPr>
          <w:t>nr. 89/2000</w:t>
        </w:r>
      </w:hyperlink>
      <w:r w:rsidR="00C46CC1" w:rsidRPr="00F51FD3">
        <w:rPr>
          <w:rFonts w:eastAsia="Times New Roman" w:cs="Arial"/>
          <w:iCs/>
          <w:lang w:val="ro-RO" w:eastAsia="ro-RO"/>
        </w:rPr>
        <w:t xml:space="preserve"> privind unele măsuri pentru autorizarea operatorilor și efectuarea înscrierilor în Arhiva Electronică de Garanții Reale Mobiliare</w:t>
      </w:r>
      <w:r w:rsidR="00C46CC1">
        <w:rPr>
          <w:rFonts w:eastAsia="Times New Roman" w:cs="Arial"/>
          <w:iCs/>
          <w:lang w:val="ro-RO" w:eastAsia="ro-RO"/>
        </w:rPr>
        <w:t>,</w:t>
      </w:r>
    </w:p>
    <w:p w:rsidR="00F51FD3" w:rsidRDefault="00C46CC1" w:rsidP="008760AA">
      <w:pPr>
        <w:tabs>
          <w:tab w:val="left" w:pos="709"/>
        </w:tabs>
        <w:spacing w:after="0" w:line="240" w:lineRule="auto"/>
        <w:ind w:left="0"/>
        <w:rPr>
          <w:rFonts w:eastAsia="Times New Roman" w:cs="Arial"/>
          <w:iCs/>
          <w:lang w:val="ro-RO" w:eastAsia="ro-RO"/>
        </w:rPr>
      </w:pPr>
      <w:r>
        <w:rPr>
          <w:rFonts w:eastAsia="Times New Roman" w:cs="Arial"/>
          <w:iCs/>
          <w:lang w:val="ro-RO" w:eastAsia="ro-RO"/>
        </w:rPr>
        <w:tab/>
        <w:t>În baza</w:t>
      </w:r>
      <w:r w:rsidR="00F51FD3" w:rsidRPr="00F51FD3">
        <w:rPr>
          <w:rFonts w:eastAsia="Times New Roman" w:cs="Arial"/>
          <w:iCs/>
          <w:lang w:val="ro-RO" w:eastAsia="ro-RO"/>
        </w:rPr>
        <w:t xml:space="preserve"> dispozițiil</w:t>
      </w:r>
      <w:r>
        <w:rPr>
          <w:rFonts w:eastAsia="Times New Roman" w:cs="Arial"/>
          <w:iCs/>
          <w:lang w:val="ro-RO" w:eastAsia="ro-RO"/>
        </w:rPr>
        <w:t>or</w:t>
      </w:r>
      <w:r w:rsidR="00F51FD3" w:rsidRPr="00F51FD3">
        <w:rPr>
          <w:rFonts w:eastAsia="Times New Roman" w:cs="Arial"/>
          <w:iCs/>
          <w:lang w:val="ro-RO" w:eastAsia="ro-RO"/>
        </w:rPr>
        <w:t xml:space="preserve"> art. 41 </w:t>
      </w:r>
      <w:r>
        <w:rPr>
          <w:rFonts w:eastAsia="Times New Roman" w:cs="Arial"/>
          <w:iCs/>
          <w:lang w:val="ro-RO" w:eastAsia="ro-RO"/>
        </w:rPr>
        <w:t xml:space="preserve">alin. (1) </w:t>
      </w:r>
      <w:r w:rsidR="00F51FD3" w:rsidRPr="00F51FD3">
        <w:rPr>
          <w:rFonts w:eastAsia="Times New Roman" w:cs="Arial"/>
          <w:iCs/>
          <w:lang w:val="ro-RO" w:eastAsia="ro-RO"/>
        </w:rPr>
        <w:t xml:space="preserve">din Legea nr. 297/2018 privind </w:t>
      </w:r>
      <w:r>
        <w:rPr>
          <w:rFonts w:eastAsia="Times New Roman" w:cs="Arial"/>
          <w:iCs/>
          <w:lang w:val="ro-RO" w:eastAsia="ro-RO"/>
        </w:rPr>
        <w:t>p</w:t>
      </w:r>
      <w:r w:rsidR="00F51FD3" w:rsidRPr="00F51FD3">
        <w:rPr>
          <w:rFonts w:eastAsia="Times New Roman" w:cs="Arial"/>
          <w:iCs/>
          <w:lang w:val="ro-RO" w:eastAsia="ro-RO"/>
        </w:rPr>
        <w:t>ublicitate</w:t>
      </w:r>
      <w:r>
        <w:rPr>
          <w:rFonts w:eastAsia="Times New Roman" w:cs="Arial"/>
          <w:iCs/>
          <w:lang w:val="ro-RO" w:eastAsia="ro-RO"/>
        </w:rPr>
        <w:t>a</w:t>
      </w:r>
      <w:r w:rsidR="00F51FD3" w:rsidRPr="00F51FD3">
        <w:rPr>
          <w:rFonts w:eastAsia="Times New Roman" w:cs="Arial"/>
          <w:iCs/>
          <w:lang w:val="ro-RO" w:eastAsia="ro-RO"/>
        </w:rPr>
        <w:t xml:space="preserve"> </w:t>
      </w:r>
      <w:r>
        <w:rPr>
          <w:rFonts w:eastAsia="Times New Roman" w:cs="Arial"/>
          <w:iCs/>
          <w:lang w:val="ro-RO" w:eastAsia="ro-RO"/>
        </w:rPr>
        <w:t>m</w:t>
      </w:r>
      <w:r w:rsidR="00F51FD3" w:rsidRPr="00F51FD3">
        <w:rPr>
          <w:rFonts w:eastAsia="Times New Roman" w:cs="Arial"/>
          <w:iCs/>
          <w:lang w:val="ro-RO" w:eastAsia="ro-RO"/>
        </w:rPr>
        <w:t>obiliară, </w:t>
      </w:r>
      <w:r>
        <w:rPr>
          <w:rFonts w:eastAsia="Times New Roman" w:cs="Arial"/>
          <w:iCs/>
          <w:lang w:val="ro-RO" w:eastAsia="ro-RO"/>
        </w:rPr>
        <w:t>republicată,</w:t>
      </w:r>
      <w:r w:rsidR="00F51FD3" w:rsidRPr="00F51FD3">
        <w:rPr>
          <w:rFonts w:eastAsia="Times New Roman" w:cs="Arial"/>
          <w:iCs/>
          <w:lang w:val="ro-RO" w:eastAsia="ro-RO"/>
        </w:rPr>
        <w:t xml:space="preserve"> </w:t>
      </w:r>
    </w:p>
    <w:p w:rsidR="008B296D" w:rsidRPr="00F51FD3" w:rsidRDefault="008B296D" w:rsidP="008B296D">
      <w:pPr>
        <w:tabs>
          <w:tab w:val="left" w:pos="709"/>
        </w:tabs>
        <w:spacing w:after="0" w:line="240" w:lineRule="auto"/>
        <w:ind w:left="0"/>
        <w:rPr>
          <w:rFonts w:eastAsia="Times New Roman" w:cs="Arial"/>
          <w:iCs/>
          <w:lang w:val="ro-RO" w:eastAsia="ro-RO"/>
        </w:rPr>
      </w:pPr>
      <w:r>
        <w:rPr>
          <w:rFonts w:eastAsia="Times New Roman" w:cs="Arial"/>
          <w:iCs/>
          <w:lang w:val="ro-RO" w:eastAsia="ro-RO"/>
        </w:rPr>
        <w:tab/>
        <w:t xml:space="preserve">Ținând seama de propunerile formulate de Corpul Operatorilor </w:t>
      </w:r>
      <w:r w:rsidR="004B6E57">
        <w:rPr>
          <w:rFonts w:eastAsia="Times New Roman" w:cs="Arial"/>
          <w:lang w:val="ro-RO" w:eastAsia="ro-RO"/>
        </w:rPr>
        <w:t>Registrului Național de Publicitate Mobiliară</w:t>
      </w:r>
      <w:r>
        <w:rPr>
          <w:rFonts w:eastAsia="Times New Roman" w:cs="Arial"/>
          <w:iCs/>
          <w:lang w:val="ro-RO" w:eastAsia="ro-RO"/>
        </w:rPr>
        <w:t xml:space="preserve"> prin adresa nr. </w:t>
      </w:r>
      <w:r w:rsidR="00C46CC1">
        <w:rPr>
          <w:rFonts w:eastAsia="Times New Roman" w:cs="Arial"/>
          <w:iCs/>
          <w:lang w:val="ro-RO" w:eastAsia="ro-RO"/>
        </w:rPr>
        <w:t>23</w:t>
      </w:r>
      <w:r>
        <w:rPr>
          <w:rFonts w:eastAsia="Times New Roman" w:cs="Arial"/>
          <w:iCs/>
          <w:lang w:val="ro-RO" w:eastAsia="ro-RO"/>
        </w:rPr>
        <w:t>9/</w:t>
      </w:r>
      <w:r w:rsidR="00C46CC1">
        <w:rPr>
          <w:rFonts w:eastAsia="Times New Roman" w:cs="Arial"/>
          <w:iCs/>
          <w:lang w:val="ro-RO" w:eastAsia="ro-RO"/>
        </w:rPr>
        <w:t>26</w:t>
      </w:r>
      <w:r>
        <w:rPr>
          <w:rFonts w:eastAsia="Times New Roman" w:cs="Arial"/>
          <w:iCs/>
          <w:lang w:val="ro-RO" w:eastAsia="ro-RO"/>
        </w:rPr>
        <w:t>.0</w:t>
      </w:r>
      <w:r w:rsidR="00C46CC1">
        <w:rPr>
          <w:rFonts w:eastAsia="Times New Roman" w:cs="Arial"/>
          <w:iCs/>
          <w:lang w:val="ro-RO" w:eastAsia="ro-RO"/>
        </w:rPr>
        <w:t>5</w:t>
      </w:r>
      <w:r>
        <w:rPr>
          <w:rFonts w:eastAsia="Times New Roman" w:cs="Arial"/>
          <w:iCs/>
          <w:lang w:val="ro-RO" w:eastAsia="ro-RO"/>
        </w:rPr>
        <w:t>.20</w:t>
      </w:r>
      <w:r w:rsidR="00C46CC1">
        <w:rPr>
          <w:rFonts w:eastAsia="Times New Roman" w:cs="Arial"/>
          <w:iCs/>
          <w:lang w:val="ro-RO" w:eastAsia="ro-RO"/>
        </w:rPr>
        <w:t>2</w:t>
      </w:r>
      <w:r>
        <w:rPr>
          <w:rFonts w:eastAsia="Times New Roman" w:cs="Arial"/>
          <w:iCs/>
          <w:lang w:val="ro-RO" w:eastAsia="ro-RO"/>
        </w:rPr>
        <w:t xml:space="preserve">1, înregistrată la Ministerul Justiţiei cu nr. </w:t>
      </w:r>
      <w:r w:rsidR="00C46CC1">
        <w:rPr>
          <w:rFonts w:eastAsia="Times New Roman" w:cs="Arial"/>
          <w:iCs/>
          <w:lang w:val="ro-RO" w:eastAsia="ro-RO"/>
        </w:rPr>
        <w:t>53470</w:t>
      </w:r>
      <w:r>
        <w:rPr>
          <w:rFonts w:eastAsia="Times New Roman" w:cs="Arial"/>
          <w:iCs/>
          <w:lang w:val="ro-RO" w:eastAsia="ro-RO"/>
        </w:rPr>
        <w:t>/</w:t>
      </w:r>
      <w:r w:rsidR="00C46CC1">
        <w:rPr>
          <w:rFonts w:eastAsia="Times New Roman" w:cs="Arial"/>
          <w:iCs/>
          <w:lang w:val="ro-RO" w:eastAsia="ro-RO"/>
        </w:rPr>
        <w:t>31</w:t>
      </w:r>
      <w:r>
        <w:rPr>
          <w:rFonts w:eastAsia="Times New Roman" w:cs="Arial"/>
          <w:iCs/>
          <w:lang w:val="ro-RO" w:eastAsia="ro-RO"/>
        </w:rPr>
        <w:t>.0</w:t>
      </w:r>
      <w:r w:rsidR="00C46CC1">
        <w:rPr>
          <w:rFonts w:eastAsia="Times New Roman" w:cs="Arial"/>
          <w:iCs/>
          <w:lang w:val="ro-RO" w:eastAsia="ro-RO"/>
        </w:rPr>
        <w:t>5</w:t>
      </w:r>
      <w:r>
        <w:rPr>
          <w:rFonts w:eastAsia="Times New Roman" w:cs="Arial"/>
          <w:iCs/>
          <w:lang w:val="ro-RO" w:eastAsia="ro-RO"/>
        </w:rPr>
        <w:t>.20</w:t>
      </w:r>
      <w:r w:rsidR="00C46CC1">
        <w:rPr>
          <w:rFonts w:eastAsia="Times New Roman" w:cs="Arial"/>
          <w:iCs/>
          <w:lang w:val="ro-RO" w:eastAsia="ro-RO"/>
        </w:rPr>
        <w:t>2</w:t>
      </w:r>
      <w:r>
        <w:rPr>
          <w:rFonts w:eastAsia="Times New Roman" w:cs="Arial"/>
          <w:iCs/>
          <w:lang w:val="ro-RO" w:eastAsia="ro-RO"/>
        </w:rPr>
        <w:t>1,</w:t>
      </w:r>
    </w:p>
    <w:p w:rsidR="00F51FD3" w:rsidRPr="00F51FD3" w:rsidRDefault="00F51FD3" w:rsidP="00F51FD3">
      <w:pPr>
        <w:tabs>
          <w:tab w:val="left" w:pos="709"/>
        </w:tabs>
        <w:spacing w:after="0" w:line="240" w:lineRule="auto"/>
        <w:ind w:left="0"/>
        <w:rPr>
          <w:rFonts w:eastAsia="Times New Roman" w:cs="Arial"/>
          <w:iCs/>
          <w:lang w:val="ro-RO" w:eastAsia="ro-RO"/>
        </w:rPr>
      </w:pPr>
      <w:r>
        <w:rPr>
          <w:rFonts w:eastAsia="Times New Roman" w:cs="Arial"/>
          <w:iCs/>
          <w:lang w:val="ro-RO" w:eastAsia="ro-RO"/>
        </w:rPr>
        <w:tab/>
      </w:r>
      <w:r w:rsidRPr="00F51FD3">
        <w:rPr>
          <w:rFonts w:eastAsia="Times New Roman" w:cs="Arial"/>
          <w:iCs/>
          <w:lang w:val="ro-RO" w:eastAsia="ro-RO"/>
        </w:rPr>
        <w:t xml:space="preserve">În temeiul </w:t>
      </w:r>
      <w:hyperlink r:id="rId9" w:history="1">
        <w:r w:rsidRPr="00F51FD3">
          <w:rPr>
            <w:rFonts w:eastAsia="Times New Roman" w:cs="Arial"/>
            <w:iCs/>
            <w:lang w:val="ro-RO" w:eastAsia="ro-RO"/>
          </w:rPr>
          <w:t>art. 13</w:t>
        </w:r>
      </w:hyperlink>
      <w:r w:rsidRPr="00F51FD3">
        <w:rPr>
          <w:rFonts w:eastAsia="Times New Roman" w:cs="Arial"/>
          <w:iCs/>
          <w:lang w:val="ro-RO" w:eastAsia="ro-RO"/>
        </w:rPr>
        <w:t xml:space="preserve"> din Hotărârea Guvernului nr. 652/2009 privind organizarea și funcționarea Ministerului Justiției, cu modificările și completările ulterioare,</w:t>
      </w:r>
    </w:p>
    <w:p w:rsidR="00F51FD3" w:rsidRPr="00F51FD3" w:rsidRDefault="00F51FD3" w:rsidP="00F51FD3">
      <w:pPr>
        <w:tabs>
          <w:tab w:val="left" w:pos="3094"/>
        </w:tabs>
        <w:spacing w:after="0" w:line="240" w:lineRule="auto"/>
        <w:ind w:left="0"/>
        <w:rPr>
          <w:rFonts w:eastAsia="Times New Roman" w:cs="Arial"/>
          <w:i/>
          <w:iCs/>
          <w:lang w:val="ro-RO" w:eastAsia="ro-RO"/>
        </w:rPr>
      </w:pPr>
      <w:r w:rsidRPr="00F51FD3">
        <w:rPr>
          <w:rFonts w:eastAsia="Times New Roman" w:cs="Arial"/>
          <w:i/>
          <w:iCs/>
          <w:lang w:val="ro-RO" w:eastAsia="ro-RO"/>
        </w:rPr>
        <w:br/>
        <w:t xml:space="preserve">  </w:t>
      </w:r>
    </w:p>
    <w:p w:rsidR="00F51FD3" w:rsidRPr="00F51FD3" w:rsidRDefault="00F51FD3" w:rsidP="00F51FD3">
      <w:pPr>
        <w:tabs>
          <w:tab w:val="left" w:pos="3094"/>
        </w:tabs>
        <w:spacing w:after="0" w:line="240" w:lineRule="auto"/>
        <w:ind w:left="0"/>
        <w:jc w:val="left"/>
        <w:rPr>
          <w:rFonts w:eastAsia="Times New Roman" w:cs="Arial"/>
          <w:b/>
          <w:lang w:val="ro-RO" w:eastAsia="ro-RO"/>
        </w:rPr>
      </w:pPr>
      <w:r w:rsidRPr="00F51FD3">
        <w:rPr>
          <w:rFonts w:eastAsia="Times New Roman" w:cs="Arial"/>
          <w:b/>
          <w:lang w:val="ro-RO" w:eastAsia="ro-RO"/>
        </w:rPr>
        <w:t xml:space="preserve">Emite următorul </w:t>
      </w:r>
    </w:p>
    <w:p w:rsidR="00F51FD3" w:rsidRPr="00F51FD3" w:rsidRDefault="00F51FD3" w:rsidP="00F51FD3">
      <w:pPr>
        <w:tabs>
          <w:tab w:val="left" w:pos="3094"/>
        </w:tabs>
        <w:spacing w:after="0" w:line="240" w:lineRule="auto"/>
        <w:ind w:left="0"/>
        <w:jc w:val="center"/>
        <w:rPr>
          <w:rFonts w:cs="Arial"/>
          <w:b/>
          <w:lang w:val="sv-SE"/>
        </w:rPr>
      </w:pPr>
      <w:r w:rsidRPr="00F51FD3">
        <w:rPr>
          <w:rFonts w:cs="Arial"/>
          <w:b/>
          <w:lang w:val="sv-SE"/>
        </w:rPr>
        <w:t xml:space="preserve">O R D I N  </w:t>
      </w:r>
    </w:p>
    <w:p w:rsidR="00F51FD3" w:rsidRPr="00F51FD3" w:rsidRDefault="00F51FD3" w:rsidP="00F51FD3">
      <w:pPr>
        <w:tabs>
          <w:tab w:val="left" w:pos="3094"/>
        </w:tabs>
        <w:spacing w:after="0" w:line="240" w:lineRule="auto"/>
        <w:ind w:left="0"/>
        <w:jc w:val="center"/>
        <w:rPr>
          <w:rFonts w:eastAsia="Times New Roman" w:cs="Arial"/>
          <w:lang w:val="ro-RO" w:eastAsia="ro-RO"/>
        </w:rPr>
      </w:pPr>
      <w:r w:rsidRPr="00F51FD3">
        <w:rPr>
          <w:rFonts w:eastAsia="Times New Roman" w:cs="Arial"/>
          <w:lang w:val="ro-RO" w:eastAsia="ro-RO"/>
        </w:rPr>
        <w:br/>
      </w:r>
    </w:p>
    <w:p w:rsidR="008C0D1C" w:rsidRDefault="00F51FD3" w:rsidP="00F51FD3">
      <w:pPr>
        <w:tabs>
          <w:tab w:val="left" w:pos="709"/>
        </w:tabs>
        <w:spacing w:after="0" w:line="240" w:lineRule="auto"/>
        <w:ind w:left="0"/>
        <w:rPr>
          <w:rFonts w:eastAsia="Times New Roman" w:cs="Arial"/>
          <w:lang w:val="ro-RO" w:eastAsia="ro-RO"/>
        </w:rPr>
      </w:pPr>
      <w:r>
        <w:rPr>
          <w:rFonts w:eastAsia="Times New Roman" w:cs="Arial"/>
          <w:b/>
          <w:bCs/>
          <w:lang w:val="ro-RO" w:eastAsia="ro-RO"/>
        </w:rPr>
        <w:tab/>
      </w:r>
      <w:r w:rsidRPr="00F51FD3">
        <w:rPr>
          <w:rFonts w:eastAsia="Times New Roman" w:cs="Arial"/>
          <w:b/>
          <w:bCs/>
          <w:lang w:val="ro-RO" w:eastAsia="ro-RO"/>
        </w:rPr>
        <w:t xml:space="preserve">Art. </w:t>
      </w:r>
      <w:r w:rsidR="006F5C3F">
        <w:rPr>
          <w:rFonts w:eastAsia="Times New Roman" w:cs="Arial"/>
          <w:b/>
          <w:bCs/>
          <w:lang w:val="ro-RO" w:eastAsia="ro-RO"/>
        </w:rPr>
        <w:t>1</w:t>
      </w:r>
      <w:r w:rsidRPr="00F51FD3">
        <w:rPr>
          <w:rFonts w:eastAsia="Times New Roman" w:cs="Arial"/>
          <w:b/>
          <w:bCs/>
          <w:lang w:val="ro-RO" w:eastAsia="ro-RO"/>
        </w:rPr>
        <w:t xml:space="preserve">. </w:t>
      </w:r>
      <w:r w:rsidR="008C0D1C">
        <w:rPr>
          <w:rFonts w:eastAsia="Times New Roman" w:cs="Arial"/>
          <w:b/>
          <w:bCs/>
          <w:lang w:val="ro-RO" w:eastAsia="ro-RO"/>
        </w:rPr>
        <w:t>–</w:t>
      </w:r>
      <w:r w:rsidRPr="00F51FD3">
        <w:rPr>
          <w:rFonts w:eastAsia="Times New Roman" w:cs="Arial"/>
          <w:lang w:val="ro-RO" w:eastAsia="ro-RO"/>
        </w:rPr>
        <w:t xml:space="preserve"> </w:t>
      </w:r>
      <w:r w:rsidR="006F5C3F">
        <w:rPr>
          <w:rFonts w:eastAsia="Times New Roman" w:cs="Arial"/>
          <w:lang w:val="ro-RO" w:eastAsia="ro-RO"/>
        </w:rPr>
        <w:t xml:space="preserve">Se aprobă Procedura </w:t>
      </w:r>
      <w:r w:rsidR="006F5C3F" w:rsidRPr="006F5C3F">
        <w:rPr>
          <w:rFonts w:eastAsia="Times New Roman" w:cs="Arial"/>
          <w:lang w:val="ro-RO" w:eastAsia="ro-RO"/>
        </w:rPr>
        <w:t>reactivării avizului stins din eroare și indisponibilizarea în Registrul Național de Publicitate Mobiliară a bunurilor pe perioada analizei cererii de reactivare</w:t>
      </w:r>
      <w:r w:rsidR="006F5C3F">
        <w:rPr>
          <w:rFonts w:eastAsia="Times New Roman" w:cs="Arial"/>
          <w:lang w:val="ro-RO" w:eastAsia="ro-RO"/>
        </w:rPr>
        <w:t>, prevăzută în anexa care face parte integrantă din prezentul ordin.</w:t>
      </w:r>
    </w:p>
    <w:p w:rsidR="004C3C8E" w:rsidRDefault="00F51FD3" w:rsidP="00F35C7C">
      <w:pPr>
        <w:spacing w:after="0" w:line="240" w:lineRule="auto"/>
        <w:ind w:left="0"/>
        <w:rPr>
          <w:rFonts w:eastAsia="Times New Roman" w:cs="Arial"/>
          <w:bCs/>
          <w:lang w:val="ro-RO" w:eastAsia="ro-RO"/>
        </w:rPr>
      </w:pPr>
      <w:r>
        <w:rPr>
          <w:rFonts w:eastAsia="Times New Roman" w:cs="Arial"/>
          <w:b/>
          <w:bCs/>
          <w:lang w:val="ro-RO" w:eastAsia="ro-RO"/>
        </w:rPr>
        <w:tab/>
      </w:r>
      <w:r w:rsidR="004C3C8E" w:rsidRPr="004C3C8E">
        <w:rPr>
          <w:rFonts w:eastAsia="Times New Roman" w:cs="Arial"/>
          <w:b/>
          <w:bCs/>
          <w:lang w:val="ro-RO" w:eastAsia="ro-RO"/>
        </w:rPr>
        <w:t xml:space="preserve">Art. </w:t>
      </w:r>
      <w:r w:rsidR="006F5C3F">
        <w:rPr>
          <w:rFonts w:eastAsia="Times New Roman" w:cs="Arial"/>
          <w:b/>
          <w:bCs/>
          <w:lang w:val="ro-RO" w:eastAsia="ro-RO"/>
        </w:rPr>
        <w:t>2</w:t>
      </w:r>
      <w:r w:rsidR="004C3C8E" w:rsidRPr="004C3C8E">
        <w:rPr>
          <w:rFonts w:eastAsia="Times New Roman" w:cs="Arial"/>
          <w:b/>
          <w:bCs/>
          <w:lang w:val="ro-RO" w:eastAsia="ro-RO"/>
        </w:rPr>
        <w:t xml:space="preserve">. </w:t>
      </w:r>
      <w:r w:rsidR="006F5C3F">
        <w:rPr>
          <w:rFonts w:eastAsia="Times New Roman" w:cs="Arial"/>
          <w:bCs/>
          <w:lang w:val="ro-RO" w:eastAsia="ro-RO"/>
        </w:rPr>
        <w:t>–</w:t>
      </w:r>
      <w:r w:rsidR="00095AA6">
        <w:rPr>
          <w:rFonts w:eastAsia="Times New Roman" w:cs="Arial"/>
          <w:bCs/>
          <w:lang w:val="ro-RO" w:eastAsia="ro-RO"/>
        </w:rPr>
        <w:t xml:space="preserve"> </w:t>
      </w:r>
      <w:r w:rsidR="006F5C3F">
        <w:rPr>
          <w:rFonts w:eastAsia="Times New Roman" w:cs="Arial"/>
          <w:bCs/>
          <w:lang w:val="ro-RO" w:eastAsia="ro-RO"/>
        </w:rPr>
        <w:t xml:space="preserve">La data intrării în vigoare a prezentului ordin se abrogă art. 2 din </w:t>
      </w:r>
      <w:r w:rsidR="006F5C3F" w:rsidRPr="006F5C3F">
        <w:rPr>
          <w:rFonts w:eastAsia="Times New Roman" w:cs="Arial"/>
          <w:bCs/>
          <w:lang w:val="ro-RO" w:eastAsia="ro-RO"/>
        </w:rPr>
        <w:t xml:space="preserve">Ordinul </w:t>
      </w:r>
      <w:r w:rsidR="006F5C3F">
        <w:rPr>
          <w:rFonts w:eastAsia="Times New Roman" w:cs="Arial"/>
          <w:bCs/>
          <w:lang w:val="ro-RO" w:eastAsia="ro-RO"/>
        </w:rPr>
        <w:t xml:space="preserve">ministrului justiției </w:t>
      </w:r>
      <w:r w:rsidR="006F5C3F" w:rsidRPr="006F5C3F">
        <w:rPr>
          <w:rFonts w:eastAsia="Times New Roman" w:cs="Arial"/>
          <w:bCs/>
          <w:lang w:val="ro-RO" w:eastAsia="ro-RO"/>
        </w:rPr>
        <w:t>nr. 29/</w:t>
      </w:r>
      <w:r w:rsidR="006F5C3F">
        <w:rPr>
          <w:rFonts w:eastAsia="Times New Roman" w:cs="Arial"/>
          <w:bCs/>
          <w:lang w:val="ro-RO" w:eastAsia="ro-RO"/>
        </w:rPr>
        <w:t>C/</w:t>
      </w:r>
      <w:r w:rsidR="006F5C3F" w:rsidRPr="006F5C3F">
        <w:rPr>
          <w:rFonts w:eastAsia="Times New Roman" w:cs="Arial"/>
          <w:bCs/>
          <w:lang w:val="ro-RO" w:eastAsia="ro-RO"/>
        </w:rPr>
        <w:t>2020 pentru aprobarea procedurilor prevăzute de art. 41 din Legea nr. 297/2018 privind Registrul Național de Publicitate Mobiliară și pentru abrogarea Ordonanței Guvernului nr. 89/2000 privind unele măsuri pentru autorizarea operatorilor și efectuarea înscrierilor în Arhiva Electronică de Garanții Reale Mobiliare</w:t>
      </w:r>
      <w:r w:rsidR="006F5C3F">
        <w:rPr>
          <w:rFonts w:eastAsia="Times New Roman" w:cs="Arial"/>
          <w:bCs/>
          <w:lang w:val="ro-RO" w:eastAsia="ro-RO"/>
        </w:rPr>
        <w:t>, și Anexa nr. 2 – Procedura r</w:t>
      </w:r>
      <w:r w:rsidR="00095AA6" w:rsidRPr="00095AA6">
        <w:rPr>
          <w:rFonts w:eastAsia="Times New Roman" w:cs="Arial"/>
          <w:bCs/>
          <w:lang w:val="ro-RO" w:eastAsia="ro-RO"/>
        </w:rPr>
        <w:t>eactivării avizelor a căror stingere a fost efectuată eronat în Registrul Național de Publicitate Mobiliară</w:t>
      </w:r>
      <w:r w:rsidR="006F5C3F">
        <w:rPr>
          <w:rFonts w:eastAsia="Times New Roman" w:cs="Arial"/>
          <w:bCs/>
          <w:lang w:val="ro-RO" w:eastAsia="ro-RO"/>
        </w:rPr>
        <w:t xml:space="preserve"> </w:t>
      </w:r>
      <w:r w:rsidR="00794367">
        <w:rPr>
          <w:rFonts w:eastAsia="Times New Roman" w:cs="Arial"/>
          <w:bCs/>
          <w:lang w:val="ro-RO" w:eastAsia="ro-RO"/>
        </w:rPr>
        <w:t>- la același ordin.</w:t>
      </w:r>
      <w:r w:rsidR="00095AA6">
        <w:rPr>
          <w:rFonts w:eastAsia="Times New Roman" w:cs="Arial"/>
          <w:bCs/>
          <w:lang w:val="ro-RO" w:eastAsia="ro-RO"/>
        </w:rPr>
        <w:t xml:space="preserve"> </w:t>
      </w:r>
    </w:p>
    <w:p w:rsidR="00F51FD3" w:rsidRDefault="00F51FD3" w:rsidP="00A13BE3">
      <w:pPr>
        <w:tabs>
          <w:tab w:val="left" w:pos="709"/>
        </w:tabs>
        <w:spacing w:after="0" w:line="240" w:lineRule="auto"/>
        <w:ind w:left="0"/>
        <w:rPr>
          <w:rFonts w:eastAsia="Times New Roman" w:cs="Arial"/>
          <w:lang w:val="ro-RO" w:eastAsia="ro-RO"/>
        </w:rPr>
      </w:pPr>
      <w:r>
        <w:rPr>
          <w:rFonts w:eastAsia="Times New Roman" w:cs="Arial"/>
          <w:b/>
          <w:bCs/>
          <w:lang w:val="ro-RO" w:eastAsia="ro-RO"/>
        </w:rPr>
        <w:tab/>
      </w:r>
      <w:r w:rsidRPr="00F51FD3">
        <w:rPr>
          <w:rFonts w:eastAsia="Times New Roman" w:cs="Arial"/>
          <w:b/>
          <w:bCs/>
          <w:lang w:val="ro-RO" w:eastAsia="ro-RO"/>
        </w:rPr>
        <w:t xml:space="preserve">Art. </w:t>
      </w:r>
      <w:r w:rsidR="00794367">
        <w:rPr>
          <w:rFonts w:eastAsia="Times New Roman" w:cs="Arial"/>
          <w:b/>
          <w:bCs/>
          <w:lang w:val="ro-RO" w:eastAsia="ro-RO"/>
        </w:rPr>
        <w:t>3</w:t>
      </w:r>
      <w:r w:rsidRPr="00F51FD3">
        <w:rPr>
          <w:rFonts w:eastAsia="Times New Roman" w:cs="Arial"/>
          <w:b/>
          <w:bCs/>
          <w:lang w:val="ro-RO" w:eastAsia="ro-RO"/>
        </w:rPr>
        <w:t xml:space="preserve">. </w:t>
      </w:r>
      <w:r w:rsidR="00F35C7C">
        <w:rPr>
          <w:rFonts w:eastAsia="Times New Roman" w:cs="Arial"/>
          <w:b/>
          <w:bCs/>
          <w:lang w:val="ro-RO" w:eastAsia="ro-RO"/>
        </w:rPr>
        <w:t>–</w:t>
      </w:r>
      <w:r w:rsidRPr="00F51FD3">
        <w:rPr>
          <w:rFonts w:eastAsia="Times New Roman" w:cs="Arial"/>
          <w:lang w:val="ro-RO" w:eastAsia="ro-RO"/>
        </w:rPr>
        <w:t xml:space="preserve"> </w:t>
      </w:r>
      <w:r w:rsidR="00F35C7C">
        <w:rPr>
          <w:rFonts w:eastAsia="Times New Roman" w:cs="Arial"/>
          <w:lang w:val="ro-RO" w:eastAsia="ro-RO"/>
        </w:rPr>
        <w:t>Compartimentul publicitate mobiliară</w:t>
      </w:r>
      <w:r w:rsidRPr="00F51FD3">
        <w:rPr>
          <w:rFonts w:eastAsia="Times New Roman" w:cs="Arial"/>
          <w:lang w:val="ro-RO" w:eastAsia="ro-RO"/>
        </w:rPr>
        <w:t xml:space="preserve"> </w:t>
      </w:r>
      <w:r w:rsidR="008B296D">
        <w:rPr>
          <w:rFonts w:eastAsia="Times New Roman" w:cs="Arial"/>
          <w:lang w:val="ro-RO" w:eastAsia="ro-RO"/>
        </w:rPr>
        <w:t xml:space="preserve">și Corpul Operatorilor Registrului Național de Publicitate Mobiliară </w:t>
      </w:r>
      <w:r w:rsidRPr="00F51FD3">
        <w:rPr>
          <w:rFonts w:eastAsia="Times New Roman" w:cs="Arial"/>
          <w:lang w:val="ro-RO" w:eastAsia="ro-RO"/>
        </w:rPr>
        <w:t>v</w:t>
      </w:r>
      <w:r w:rsidR="008B296D">
        <w:rPr>
          <w:rFonts w:eastAsia="Times New Roman" w:cs="Arial"/>
          <w:lang w:val="ro-RO" w:eastAsia="ro-RO"/>
        </w:rPr>
        <w:t>or</w:t>
      </w:r>
      <w:r w:rsidRPr="00F51FD3">
        <w:rPr>
          <w:rFonts w:eastAsia="Times New Roman" w:cs="Arial"/>
          <w:lang w:val="ro-RO" w:eastAsia="ro-RO"/>
        </w:rPr>
        <w:t xml:space="preserve"> lua măsurile necesare în vederea </w:t>
      </w:r>
      <w:r w:rsidR="00D52B58">
        <w:rPr>
          <w:rFonts w:eastAsia="Times New Roman" w:cs="Arial"/>
          <w:lang w:val="ro-RO" w:eastAsia="ro-RO"/>
        </w:rPr>
        <w:t>a</w:t>
      </w:r>
      <w:r w:rsidRPr="00F51FD3">
        <w:rPr>
          <w:rFonts w:eastAsia="Times New Roman" w:cs="Arial"/>
          <w:lang w:val="ro-RO" w:eastAsia="ro-RO"/>
        </w:rPr>
        <w:t xml:space="preserve">ducerii la îndeplinire a prevederilor prezentului ordin.  </w:t>
      </w:r>
    </w:p>
    <w:p w:rsidR="00794367" w:rsidRDefault="00F51FD3" w:rsidP="00F51FD3">
      <w:pPr>
        <w:tabs>
          <w:tab w:val="left" w:pos="709"/>
        </w:tabs>
        <w:spacing w:after="0" w:line="240" w:lineRule="auto"/>
        <w:ind w:left="0"/>
        <w:rPr>
          <w:rFonts w:eastAsia="Times New Roman" w:cs="Arial"/>
          <w:lang w:val="ro-RO" w:eastAsia="ro-RO"/>
        </w:rPr>
      </w:pPr>
      <w:r>
        <w:rPr>
          <w:rFonts w:eastAsia="Times New Roman" w:cs="Arial"/>
          <w:b/>
          <w:bCs/>
          <w:lang w:val="ro-RO" w:eastAsia="ro-RO"/>
        </w:rPr>
        <w:tab/>
      </w:r>
      <w:r w:rsidRPr="00F51FD3">
        <w:rPr>
          <w:rFonts w:eastAsia="Times New Roman" w:cs="Arial"/>
          <w:b/>
          <w:bCs/>
          <w:lang w:val="ro-RO" w:eastAsia="ro-RO"/>
        </w:rPr>
        <w:t xml:space="preserve">Art. </w:t>
      </w:r>
      <w:r w:rsidR="00794367">
        <w:rPr>
          <w:rFonts w:eastAsia="Times New Roman" w:cs="Arial"/>
          <w:b/>
          <w:bCs/>
          <w:lang w:val="ro-RO" w:eastAsia="ro-RO"/>
        </w:rPr>
        <w:t>4</w:t>
      </w:r>
      <w:r w:rsidRPr="00F51FD3">
        <w:rPr>
          <w:rFonts w:eastAsia="Times New Roman" w:cs="Arial"/>
          <w:b/>
          <w:bCs/>
          <w:lang w:val="ro-RO" w:eastAsia="ro-RO"/>
        </w:rPr>
        <w:t>. -</w:t>
      </w:r>
      <w:r w:rsidRPr="00F51FD3">
        <w:rPr>
          <w:rFonts w:eastAsia="Times New Roman" w:cs="Arial"/>
          <w:lang w:val="ro-RO" w:eastAsia="ro-RO"/>
        </w:rPr>
        <w:t xml:space="preserve"> Prezentul ordin se publică în Monitorul Oficial al României, Partea I. </w:t>
      </w:r>
    </w:p>
    <w:p w:rsidR="00F51FD3" w:rsidRDefault="00F51FD3" w:rsidP="00F51FD3">
      <w:pPr>
        <w:tabs>
          <w:tab w:val="left" w:pos="709"/>
        </w:tabs>
        <w:spacing w:after="0" w:line="240" w:lineRule="auto"/>
        <w:ind w:left="0"/>
        <w:rPr>
          <w:rFonts w:eastAsia="Times New Roman" w:cs="Arial"/>
          <w:lang w:val="ro-RO" w:eastAsia="ro-RO"/>
        </w:rPr>
      </w:pPr>
      <w:r w:rsidRPr="00F51FD3">
        <w:rPr>
          <w:rFonts w:eastAsia="Times New Roman" w:cs="Arial"/>
          <w:lang w:val="ro-RO" w:eastAsia="ro-RO"/>
        </w:rPr>
        <w:t xml:space="preserve"> </w:t>
      </w:r>
    </w:p>
    <w:p w:rsidR="00794367" w:rsidRDefault="00794367" w:rsidP="00F51FD3">
      <w:pPr>
        <w:tabs>
          <w:tab w:val="left" w:pos="709"/>
        </w:tabs>
        <w:spacing w:after="0" w:line="240" w:lineRule="auto"/>
        <w:ind w:left="0"/>
        <w:rPr>
          <w:rFonts w:eastAsia="Times New Roman" w:cs="Arial"/>
          <w:lang w:val="ro-RO" w:eastAsia="ro-RO"/>
        </w:rPr>
      </w:pPr>
    </w:p>
    <w:p w:rsidR="00794367" w:rsidRDefault="00794367" w:rsidP="00F51FD3">
      <w:pPr>
        <w:tabs>
          <w:tab w:val="left" w:pos="709"/>
        </w:tabs>
        <w:spacing w:after="0" w:line="240" w:lineRule="auto"/>
        <w:ind w:left="0"/>
        <w:rPr>
          <w:rFonts w:eastAsia="Times New Roman" w:cs="Arial"/>
          <w:lang w:val="ro-RO" w:eastAsia="ro-RO"/>
        </w:rPr>
      </w:pPr>
    </w:p>
    <w:p w:rsidR="00794367" w:rsidRPr="00794367" w:rsidRDefault="00794367" w:rsidP="00794367">
      <w:pPr>
        <w:tabs>
          <w:tab w:val="left" w:pos="709"/>
        </w:tabs>
        <w:spacing w:after="0" w:line="240" w:lineRule="auto"/>
        <w:ind w:left="0"/>
        <w:jc w:val="right"/>
        <w:rPr>
          <w:rFonts w:eastAsia="Times New Roman" w:cs="Arial"/>
          <w:lang w:val="ro-RO" w:eastAsia="ro-RO"/>
        </w:rPr>
      </w:pPr>
      <w:r w:rsidRPr="00794367">
        <w:rPr>
          <w:rFonts w:eastAsia="Times New Roman" w:cs="Arial"/>
          <w:lang w:val="ro-RO" w:eastAsia="ro-RO"/>
        </w:rPr>
        <w:lastRenderedPageBreak/>
        <w:t>Anexa</w:t>
      </w:r>
    </w:p>
    <w:p w:rsidR="00794367" w:rsidRPr="00794367" w:rsidRDefault="00794367" w:rsidP="00794367">
      <w:pPr>
        <w:tabs>
          <w:tab w:val="left" w:pos="709"/>
        </w:tabs>
        <w:spacing w:after="0" w:line="240" w:lineRule="auto"/>
        <w:ind w:left="0"/>
        <w:rPr>
          <w:rFonts w:eastAsia="Times New Roman" w:cs="Arial"/>
          <w:lang w:val="ro-RO" w:eastAsia="ro-RO"/>
        </w:rPr>
      </w:pPr>
    </w:p>
    <w:p w:rsidR="00794367" w:rsidRDefault="00794367" w:rsidP="00794367">
      <w:pPr>
        <w:tabs>
          <w:tab w:val="left" w:pos="709"/>
        </w:tabs>
        <w:spacing w:after="0" w:line="240" w:lineRule="auto"/>
        <w:ind w:left="0"/>
        <w:jc w:val="center"/>
        <w:rPr>
          <w:rFonts w:eastAsia="Times New Roman" w:cs="Arial"/>
          <w:b/>
          <w:lang w:val="ro-RO" w:eastAsia="ro-RO"/>
        </w:rPr>
      </w:pPr>
      <w:r w:rsidRPr="00794367">
        <w:rPr>
          <w:rFonts w:eastAsia="Times New Roman" w:cs="Arial"/>
          <w:b/>
          <w:lang w:val="ro-RO" w:eastAsia="ro-RO"/>
        </w:rPr>
        <w:t xml:space="preserve">Procedura reactivării avizului stins din eroare și indisponibilizarea </w:t>
      </w:r>
    </w:p>
    <w:p w:rsidR="00794367" w:rsidRPr="00794367" w:rsidRDefault="00794367" w:rsidP="00794367">
      <w:pPr>
        <w:tabs>
          <w:tab w:val="left" w:pos="709"/>
        </w:tabs>
        <w:spacing w:after="0" w:line="240" w:lineRule="auto"/>
        <w:ind w:left="0"/>
        <w:jc w:val="center"/>
        <w:rPr>
          <w:rFonts w:eastAsia="Times New Roman" w:cs="Arial"/>
          <w:b/>
          <w:lang w:val="ro-RO" w:eastAsia="ro-RO"/>
        </w:rPr>
      </w:pPr>
      <w:r w:rsidRPr="00794367">
        <w:rPr>
          <w:rFonts w:eastAsia="Times New Roman" w:cs="Arial"/>
          <w:b/>
          <w:lang w:val="ro-RO" w:eastAsia="ro-RO"/>
        </w:rPr>
        <w:t>în Registrul Național de Publicitate Mobiliară a bunurilor pe perioada analizei cererii de reactivare</w:t>
      </w:r>
    </w:p>
    <w:p w:rsidR="00794367" w:rsidRPr="00794367" w:rsidRDefault="00794367" w:rsidP="00794367">
      <w:pPr>
        <w:tabs>
          <w:tab w:val="left" w:pos="709"/>
        </w:tabs>
        <w:spacing w:after="0" w:line="240" w:lineRule="auto"/>
        <w:ind w:left="0"/>
        <w:rPr>
          <w:rFonts w:eastAsia="Times New Roman" w:cs="Arial"/>
          <w:lang w:val="ro-RO" w:eastAsia="ro-RO"/>
        </w:rPr>
      </w:pPr>
    </w:p>
    <w:p w:rsidR="00794367" w:rsidRPr="00794367" w:rsidRDefault="00794367" w:rsidP="00794367">
      <w:pPr>
        <w:tabs>
          <w:tab w:val="left" w:pos="709"/>
        </w:tabs>
        <w:spacing w:after="0" w:line="240" w:lineRule="auto"/>
        <w:ind w:left="0"/>
        <w:rPr>
          <w:rFonts w:eastAsia="Times New Roman" w:cs="Arial"/>
          <w:lang w:val="ro-RO" w:eastAsia="ro-RO"/>
        </w:rPr>
      </w:pP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 xml:space="preserve">Art. 1. - Procedura reactivării avizului stins din eroare și indisponibilizarea în Registrul Național de Publicitate Mobiliară (RNPM) a bunurilor pe perioada analizei cererii de reactivare este întemeiată pe principiul dreptului la îndreptarea gratuită a erorilor cauzate neintenționat în furnizarea serviciului de înscriere în Registrul Național de Publicitate Mobiliară, cu respectarea drepturilor înscrise de terții de bună-credință. </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Art. 2. – (1) În cazul înscrierii în mod eronat a unui aviz de stingere de către un operator/agent sau de către Corpul Operatorilor RNPM, entitatea care a înregistrat în RNPM avizul respectiv, la sesizarea oricărei persoane interesate sau din oficiu, în termen de cel mult două zile lucrătoare de la data constatării erorii, este obligată să completeze și să înscrie în RNPM un formular de aviz de îndreptare a erorii materiale din culpa operatorului/ agentului conținută în avizele de înscriere, selectându-se tipul „Stingerea eronată a unui aviz”.</w:t>
      </w:r>
    </w:p>
    <w:p w:rsidR="00BF3D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 xml:space="preserve">(2) În situațiile în care, la data sesizării erorii, agentul împuternicit care a efectuat stingerea din eroare se află în imposibilitatea de a efectua înscrieri în RNPM din orice motiv, operațiunile prevăzute în prezenta procedură vor fi preluate de către operatorul care a împuternicit agentul respectiv.  </w:t>
      </w:r>
    </w:p>
    <w:p w:rsidR="00BF3D67" w:rsidRDefault="00BF3D67" w:rsidP="00794367">
      <w:pPr>
        <w:tabs>
          <w:tab w:val="left" w:pos="709"/>
        </w:tabs>
        <w:spacing w:after="0" w:line="240" w:lineRule="auto"/>
        <w:ind w:left="0"/>
        <w:rPr>
          <w:rFonts w:eastAsia="Times New Roman" w:cs="Arial"/>
          <w:lang w:val="ro-RO" w:eastAsia="ro-RO"/>
        </w:rPr>
      </w:pPr>
      <w:r>
        <w:rPr>
          <w:rFonts w:eastAsia="Times New Roman" w:cs="Arial"/>
          <w:lang w:val="ro-RO" w:eastAsia="ro-RO"/>
        </w:rPr>
        <w:t xml:space="preserve">(3) În situațiile în care, la data sesizării erorii, atât agentul </w:t>
      </w:r>
      <w:r w:rsidR="00DA627B" w:rsidRPr="00794367">
        <w:rPr>
          <w:rFonts w:eastAsia="Times New Roman" w:cs="Arial"/>
          <w:lang w:val="ro-RO" w:eastAsia="ro-RO"/>
        </w:rPr>
        <w:t>care a efectuat stingerea din eroare</w:t>
      </w:r>
      <w:r w:rsidR="00DA627B">
        <w:rPr>
          <w:rFonts w:eastAsia="Times New Roman" w:cs="Arial"/>
          <w:lang w:val="ro-RO" w:eastAsia="ro-RO"/>
        </w:rPr>
        <w:t xml:space="preserve"> </w:t>
      </w:r>
      <w:r>
        <w:rPr>
          <w:rFonts w:eastAsia="Times New Roman" w:cs="Arial"/>
          <w:lang w:val="ro-RO" w:eastAsia="ro-RO"/>
        </w:rPr>
        <w:t xml:space="preserve">sau operatorul care l-a împuternicit, cât și operatorul care a efectuat stingerea din eroare </w:t>
      </w:r>
      <w:r w:rsidRPr="00794367">
        <w:rPr>
          <w:rFonts w:eastAsia="Times New Roman" w:cs="Arial"/>
          <w:lang w:val="ro-RO" w:eastAsia="ro-RO"/>
        </w:rPr>
        <w:t xml:space="preserve">se află în imposibilitatea de a efectua înscrieri în RNPM din orice motiv, operațiunile prevăzute în prezenta procedură vor fi </w:t>
      </w:r>
      <w:r>
        <w:rPr>
          <w:rFonts w:eastAsia="Times New Roman" w:cs="Arial"/>
          <w:lang w:val="ro-RO" w:eastAsia="ro-RO"/>
        </w:rPr>
        <w:t>efectuate</w:t>
      </w:r>
      <w:r w:rsidRPr="00794367">
        <w:rPr>
          <w:rFonts w:eastAsia="Times New Roman" w:cs="Arial"/>
          <w:lang w:val="ro-RO" w:eastAsia="ro-RO"/>
        </w:rPr>
        <w:t xml:space="preserve"> de către </w:t>
      </w:r>
      <w:r>
        <w:rPr>
          <w:rFonts w:eastAsia="Times New Roman" w:cs="Arial"/>
          <w:lang w:val="ro-RO" w:eastAsia="ro-RO"/>
        </w:rPr>
        <w:t>Corpul Operatorilor RNPM.</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Art. 3. – În termen de o zi lucrătoare de la data efectuării înregistrării în RNPM a avizului de îndreptare a erorii materiale de tipul „Stingerea eronată a unui aviz”, operatorul/ agentul în cauză sau, după caz, Corpul Operatorilor RNPM va transmite Autorității de Supraveghere o cerere de aprobarea a înscrierii unui aviz de reactivare a avizului stins din eroare, în care se explică împrejurările în care s-a produs stingerea din eroare din culpa operatorului/agentului sau a Corpului Operatorilor</w:t>
      </w:r>
      <w:r w:rsidR="00FE04F6">
        <w:rPr>
          <w:rFonts w:eastAsia="Times New Roman" w:cs="Arial"/>
          <w:lang w:val="ro-RO" w:eastAsia="ro-RO"/>
        </w:rPr>
        <w:t xml:space="preserve"> RNPM</w:t>
      </w:r>
      <w:r w:rsidRPr="00794367">
        <w:rPr>
          <w:rFonts w:eastAsia="Times New Roman" w:cs="Arial"/>
          <w:lang w:val="ro-RO" w:eastAsia="ro-RO"/>
        </w:rPr>
        <w:t xml:space="preserve">. </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 xml:space="preserve">Art. 4. – (1) Cererea de aprobare a înscrierii unui aviz de reactivare a unui aviz stins din eroare adresată Autorității de Supraveghere va fi însoțită de următoarele documente: </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 xml:space="preserve">a) Formularul de aviz de înscriere care a stat la baza înscrierii eronate a avizului de stingere; </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 xml:space="preserve">b) Formularul de aviz de îndreptare a erorii materiale de tipul „Stingerea eronată a unui aviz”, semnat și înregistrat de operatorul/agentul în cauză sau, după caz, de Corpul Operatorilor RNPM, completat inclusiv cu date privind numărul de identificare, precum și data, ora, minutul și secunda înregistrării; </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 xml:space="preserve">c) Formularul de aviz de reactivare completat și semnat de operatorul/agentul în cauză sau, după caz, de Corpul Operatorilor RNPM, fără completarea rubricilor cuprinse în câmpul „Date generale privind actul juridic care stă la baza înscrierii curente” (Tip, Număr, Data încheierii), fiind bifat tipul de reactivare „Reactivarea unui aviz stins din eroarea operatorului/agentului”. </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 xml:space="preserve">(2) Documentele menționate pot fi înaintate pe suport hârtie, semnate de operatorul/ agentul în cauză, respectiv de Corpul Operatorilor RNPM, sau în format electronic, cu semnătură electronică calificată, bazată pe un certificat calificat valabil. </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 xml:space="preserve">(3) Operatorul/agentul în cauză sau, după caz, Corpul Operatorilor RNPM transmite persoanei/persoanelor care a/au solicitat înregistrarea formularului de aviz de înscriere </w:t>
      </w:r>
      <w:r w:rsidRPr="00794367">
        <w:rPr>
          <w:rFonts w:eastAsia="Times New Roman" w:cs="Arial"/>
          <w:lang w:val="ro-RO" w:eastAsia="ro-RO"/>
        </w:rPr>
        <w:lastRenderedPageBreak/>
        <w:t xml:space="preserve">stins din eroare o înștiințare referitoare la eroarea materială constatată, precum și o copie a avizului de îndreptare a erorii materiale din culpa operatorului/agentului, care a fost înregistrat în RNPM. </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 xml:space="preserve">Art. 5. – (1) Înregistrarea în RNPM, de către operator/agent sau, după caz, de către Corpul Operatorilor RNPM, a unui aviz de ipotecă mobiliară de îndreptare a erorii materiale de tipul „Stingerea eronată a unui aviz”, determină afișarea unui mesaj de avertizare „ATENȚIE – Există avize ce conțin bunuri indisponibilizate” atât pe site-urile oficiale ale Registrului, cât și în aplicația software utilizată de operatorii/agenții autorizați. </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(2) Mesajul de avertizare va apărea după efectuarea unei căutări, atât în pagina cuprinzând rezultatele căutării, cât și la vizualizarea oricărui aviz de înscriere, fiind însoțit de un link denumit „Lista de avize cu bunuri indisponibilizate” către o pagină în care pot fi vizualizate toate bunurile preluate din avizele stinse din eroare.</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 xml:space="preserve">(3) Pentru celelalte categorii de avize de înscriere: avize de </w:t>
      </w:r>
      <w:proofErr w:type="spellStart"/>
      <w:r w:rsidRPr="00794367">
        <w:rPr>
          <w:rFonts w:eastAsia="Times New Roman" w:cs="Arial"/>
          <w:lang w:val="ro-RO" w:eastAsia="ro-RO"/>
        </w:rPr>
        <w:t>fiducie</w:t>
      </w:r>
      <w:proofErr w:type="spellEnd"/>
      <w:r w:rsidRPr="00794367">
        <w:rPr>
          <w:rFonts w:eastAsia="Times New Roman" w:cs="Arial"/>
          <w:lang w:val="ro-RO" w:eastAsia="ro-RO"/>
        </w:rPr>
        <w:t xml:space="preserve">, avize specifice, avize de ipotecă - creanțe securitizate, avize de ipotecă - obligațiuni ipotecare, la înscrierea unui aviz de îndreptare a erorii materiale de tipul „Stingerea eronată a unui aviz”, nu se mai afișează mesajul de avertizare referitor la avizele de înscriere ce conțin bunuri indisponibilizate și nici „Lista de avize cu bunuri indisponibilizate”. </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 xml:space="preserve">Art. 6. – (1) În termen de 5 zile lucrătoare de la înregistrarea cererii de reactivare a unui aviz stins în mod eronat din culpa operatorului/agentului sau a Corpului Operatorilor RNPM, primită de la operatorul/agentul în cauză sau de la Corpul Operatorilor RNPM, Autoritatea de Supraveghere își exprimă acordul/dezacordul la reactivare. </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 xml:space="preserve">(2) În cadrul acestui termen, Autoritatea de Supraveghere poate solicita informații sau documente suplimentare operatorului/agentului în cauză sau, după caz, Corpului Operatorilor RNPM, care vor fi transmise de îndată. </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(3) Autoritatea de Supraveghere își exprimă acordul/dezacordul la reactivare prin ordin al ministrului justiției</w:t>
      </w:r>
      <w:r w:rsidR="00FE04F6">
        <w:rPr>
          <w:rFonts w:eastAsia="Times New Roman" w:cs="Arial"/>
          <w:lang w:val="ro-RO" w:eastAsia="ro-RO"/>
        </w:rPr>
        <w:t>, precum</w:t>
      </w:r>
      <w:r w:rsidRPr="00794367">
        <w:rPr>
          <w:rFonts w:eastAsia="Times New Roman" w:cs="Arial"/>
          <w:lang w:val="ro-RO" w:eastAsia="ro-RO"/>
        </w:rPr>
        <w:t xml:space="preserve"> și </w:t>
      </w:r>
      <w:r w:rsidR="008B1EA6">
        <w:rPr>
          <w:rFonts w:eastAsia="Times New Roman" w:cs="Arial"/>
          <w:lang w:val="ro-RO" w:eastAsia="ro-RO"/>
        </w:rPr>
        <w:t xml:space="preserve">prin </w:t>
      </w:r>
      <w:r w:rsidRPr="00794367">
        <w:rPr>
          <w:rFonts w:eastAsia="Times New Roman" w:cs="Arial"/>
          <w:lang w:val="ro-RO" w:eastAsia="ro-RO"/>
        </w:rPr>
        <w:t>utiliz</w:t>
      </w:r>
      <w:r w:rsidR="008B1EA6">
        <w:rPr>
          <w:rFonts w:eastAsia="Times New Roman" w:cs="Arial"/>
          <w:lang w:val="ro-RO" w:eastAsia="ro-RO"/>
        </w:rPr>
        <w:t>area</w:t>
      </w:r>
      <w:r w:rsidRPr="00794367">
        <w:rPr>
          <w:rFonts w:eastAsia="Times New Roman" w:cs="Arial"/>
          <w:lang w:val="ro-RO" w:eastAsia="ro-RO"/>
        </w:rPr>
        <w:t xml:space="preserve"> aplicați</w:t>
      </w:r>
      <w:r w:rsidR="008B1EA6">
        <w:rPr>
          <w:rFonts w:eastAsia="Times New Roman" w:cs="Arial"/>
          <w:lang w:val="ro-RO" w:eastAsia="ro-RO"/>
        </w:rPr>
        <w:t>ei</w:t>
      </w:r>
      <w:r w:rsidRPr="00794367">
        <w:rPr>
          <w:rFonts w:eastAsia="Times New Roman" w:cs="Arial"/>
          <w:lang w:val="ro-RO" w:eastAsia="ro-RO"/>
        </w:rPr>
        <w:t xml:space="preserve"> software, select</w:t>
      </w:r>
      <w:r w:rsidR="008B1EA6">
        <w:rPr>
          <w:rFonts w:eastAsia="Times New Roman" w:cs="Arial"/>
          <w:lang w:val="ro-RO" w:eastAsia="ro-RO"/>
        </w:rPr>
        <w:t>ând</w:t>
      </w:r>
      <w:r w:rsidRPr="00794367">
        <w:rPr>
          <w:rFonts w:eastAsia="Times New Roman" w:cs="Arial"/>
          <w:lang w:val="ro-RO" w:eastAsia="ro-RO"/>
        </w:rPr>
        <w:t xml:space="preserve"> numărul de identificare a avizului de îndreptare a erorii materiale de tipul „Stingerea eronată a unui aviz” corespunzător și acțion</w:t>
      </w:r>
      <w:r w:rsidR="008B1EA6">
        <w:rPr>
          <w:rFonts w:eastAsia="Times New Roman" w:cs="Arial"/>
          <w:lang w:val="ro-RO" w:eastAsia="ro-RO"/>
        </w:rPr>
        <w:t>ând</w:t>
      </w:r>
      <w:r w:rsidRPr="00794367">
        <w:rPr>
          <w:rFonts w:eastAsia="Times New Roman" w:cs="Arial"/>
          <w:lang w:val="ro-RO" w:eastAsia="ro-RO"/>
        </w:rPr>
        <w:t xml:space="preserve"> com</w:t>
      </w:r>
      <w:r w:rsidR="00FE04F6">
        <w:rPr>
          <w:rFonts w:eastAsia="Times New Roman" w:cs="Arial"/>
          <w:lang w:val="ro-RO" w:eastAsia="ro-RO"/>
        </w:rPr>
        <w:t>a</w:t>
      </w:r>
      <w:r w:rsidRPr="00794367">
        <w:rPr>
          <w:rFonts w:eastAsia="Times New Roman" w:cs="Arial"/>
          <w:lang w:val="ro-RO" w:eastAsia="ro-RO"/>
        </w:rPr>
        <w:t>n</w:t>
      </w:r>
      <w:r w:rsidR="008B1EA6">
        <w:rPr>
          <w:rFonts w:eastAsia="Times New Roman" w:cs="Arial"/>
          <w:lang w:val="ro-RO" w:eastAsia="ro-RO"/>
        </w:rPr>
        <w:t>da</w:t>
      </w:r>
      <w:r w:rsidRPr="00794367">
        <w:rPr>
          <w:rFonts w:eastAsia="Times New Roman" w:cs="Arial"/>
          <w:lang w:val="ro-RO" w:eastAsia="ro-RO"/>
        </w:rPr>
        <w:t xml:space="preserve"> fie de aprobare, fie de respingere; dacă nu se acționează nicio comandă sau comanda acționată este de respingere, sistemul informatic nu permite înscrierea ulterioară a unui aviz de reactivare pentru avizul menționat în cererea de reactivare. </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 xml:space="preserve">(4) Autoritatea de Supraveghere transmite operatorului/agentului în cauză sau, după caz, Corpului Operatorilor RNPM, ordinul ministrului justiției prin care își exprimă acordul/dezacordul la reactivare și confirmarea acționării comenzii de aprobare sau, după caz, de respingere în aplicația software. </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 xml:space="preserve">Art. 7. – În cazul în care cererea de reactivare este aprobată, Autoritatea de Supraveghere acționează comanda de aprobare în aplicația software pentru avizul de îndreptare a erorii materiale de tipul „Stingerea eronată a unui aviz”, selectând numărul de identificare respectiv, iar sistemul informatic adaugă automat mențiunea „Reactivarea a fost aprobată de către Autoritatea de Supraveghere” la vizualizarea acelui aviz atât pe site-urile publice, cât și în aplicația software utilizată de operatori/agenți. </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 xml:space="preserve">Art. 8. – (1) Îndată ce operatorul/agentul în cauză sau, după caz, Corpul Operatorilor RNPM primește ordinul cuprinzând acordul Autorității de Supraveghere pentru reactivare, completează numărul și data ordinului de aprobare emis de Autoritatea de Supraveghere în câmpurile rubricii „Date generale privind actul juridic care stă la baza înscrierii curente” și înscrie avizul de reactivare. </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 xml:space="preserve">(2) În sistemul informatic al RNPM, după înscrierea avizului de reactivare, lanțul de înscrieri, în care ultima înscriere era avizul de îndreptare a erorii materiale de tipul „Stingerea eronată a unui aviz”, devine activ; în cazul ipotecilor mobiliare, acest aviz de ipotecă este șters automat din lista avizelor ce conțin bunuri indisponibilizate. </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lastRenderedPageBreak/>
        <w:t xml:space="preserve">(3) </w:t>
      </w:r>
      <w:r w:rsidR="004222F6">
        <w:rPr>
          <w:rFonts w:eastAsia="Times New Roman" w:cs="Arial"/>
          <w:lang w:val="ro-RO" w:eastAsia="ro-RO"/>
        </w:rPr>
        <w:t>Imediat d</w:t>
      </w:r>
      <w:r w:rsidRPr="00794367">
        <w:rPr>
          <w:rFonts w:eastAsia="Times New Roman" w:cs="Arial"/>
          <w:lang w:val="ro-RO" w:eastAsia="ro-RO"/>
        </w:rPr>
        <w:t xml:space="preserve">upă înscrierea avizului de reactivare, operatorul/agentul în cauză sau, după caz, Corpul Operatorilor RNPM transmite persoanei/ persoanelor care a/au solicitat înregistrarea avizului de înscriere stins din eroare o adresă de înștiințare referitoare la înscrierea avizului de reactivare. </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 xml:space="preserve">Art. 9. – (1) În cazul în care cererea de reactivare nu este aprobată, Autoritatea de Supraveghere acționează comanda de respingere în aplicația software pentru avizul de îndreptare a erorii materiale de tipul „Stingerea eronată a unui aviz”, selectând numărul de identificare respectiv, iar sistemul informatic adaugă automat mențiunea „Nu a fost aprobată reactivarea de către Autoritatea de Supraveghere” la vizualizarea acelui aviz atât pe site-urile publice, cât și în aplicația software utilizată de operatori/agenți. </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 xml:space="preserve">(2) În sistemul informatic al RNPM, după acționarea comenzii de respingere, lanțul de înscrieri, în care ultima înscriere era avizul de îndreptare a erorii materiale de tipul „Stingerea eronată a unui aviz”, rămâne inactiv; în cazul ipotecilor mobiliare, acest aviz de ipotecă este șters automat din lista avizelor ce conțin bunuri indisponibilizate. </w:t>
      </w:r>
    </w:p>
    <w:p w:rsidR="00794367" w:rsidRP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 xml:space="preserve">(3) Autoritatea de Supraveghere transmite operatorului/agentului în cauză sau, după caz, Corpului Operatorilor RNPM ordinul ministrului justiției cuprinzând dezacordul la reactivare. </w:t>
      </w:r>
    </w:p>
    <w:p w:rsidR="00794367" w:rsidRDefault="00794367" w:rsidP="00794367">
      <w:pPr>
        <w:tabs>
          <w:tab w:val="left" w:pos="709"/>
        </w:tabs>
        <w:spacing w:after="0" w:line="240" w:lineRule="auto"/>
        <w:ind w:left="0"/>
        <w:rPr>
          <w:rFonts w:eastAsia="Times New Roman" w:cs="Arial"/>
          <w:lang w:val="ro-RO" w:eastAsia="ro-RO"/>
        </w:rPr>
      </w:pPr>
      <w:r w:rsidRPr="00794367">
        <w:rPr>
          <w:rFonts w:eastAsia="Times New Roman" w:cs="Arial"/>
          <w:lang w:val="ro-RO" w:eastAsia="ro-RO"/>
        </w:rPr>
        <w:t>(4) Operatorul/agentul în cauză sau, după caz, Corpul Operatorilor RNPM transmite</w:t>
      </w:r>
      <w:r w:rsidR="00095E68">
        <w:rPr>
          <w:rFonts w:eastAsia="Times New Roman" w:cs="Arial"/>
          <w:lang w:val="ro-RO" w:eastAsia="ro-RO"/>
        </w:rPr>
        <w:t xml:space="preserve"> de îndată</w:t>
      </w:r>
      <w:r w:rsidRPr="00794367">
        <w:rPr>
          <w:rFonts w:eastAsia="Times New Roman" w:cs="Arial"/>
          <w:lang w:val="ro-RO" w:eastAsia="ro-RO"/>
        </w:rPr>
        <w:t xml:space="preserve"> persoanei/persoanelor care a/au solicitat înregistrarea avizului de înscriere stins din eroare o adresă de înștiințare referitoare la respingerea înscrierii avizului de reactivare.</w:t>
      </w:r>
    </w:p>
    <w:p w:rsidR="00E3493A" w:rsidRDefault="00E3493A" w:rsidP="00F51FD3">
      <w:pPr>
        <w:tabs>
          <w:tab w:val="left" w:pos="709"/>
        </w:tabs>
        <w:spacing w:after="0" w:line="240" w:lineRule="auto"/>
        <w:ind w:left="0"/>
        <w:rPr>
          <w:rFonts w:eastAsia="Times New Roman" w:cs="Arial"/>
          <w:lang w:val="ro-RO" w:eastAsia="ro-RO"/>
        </w:rPr>
      </w:pPr>
    </w:p>
    <w:p w:rsidR="00E3493A" w:rsidRDefault="00E3493A" w:rsidP="00F51FD3">
      <w:pPr>
        <w:tabs>
          <w:tab w:val="left" w:pos="709"/>
        </w:tabs>
        <w:spacing w:after="0" w:line="240" w:lineRule="auto"/>
        <w:ind w:left="0"/>
        <w:rPr>
          <w:rFonts w:eastAsia="Times New Roman" w:cs="Arial"/>
          <w:lang w:val="ro-RO" w:eastAsia="ro-RO"/>
        </w:rPr>
      </w:pPr>
    </w:p>
    <w:p w:rsidR="00F51FD3" w:rsidRPr="00F51FD3" w:rsidRDefault="00F51FD3" w:rsidP="00F51FD3">
      <w:pPr>
        <w:tabs>
          <w:tab w:val="left" w:pos="3094"/>
        </w:tabs>
        <w:spacing w:after="0" w:line="240" w:lineRule="auto"/>
        <w:ind w:left="0"/>
        <w:rPr>
          <w:rFonts w:eastAsia="Times New Roman" w:cs="Arial"/>
          <w:lang w:val="ro-RO" w:eastAsia="ro-RO"/>
        </w:rPr>
      </w:pPr>
      <w:r w:rsidRPr="00F51FD3">
        <w:rPr>
          <w:rFonts w:eastAsia="Times New Roman" w:cs="Arial"/>
          <w:lang w:val="ro-RO" w:eastAsia="ro-RO"/>
        </w:rPr>
        <w:t xml:space="preserve"> </w:t>
      </w:r>
    </w:p>
    <w:p w:rsidR="00AE00A5" w:rsidRDefault="00645D22" w:rsidP="00B82409">
      <w:pPr>
        <w:pStyle w:val="BodyTextIndent2"/>
        <w:tabs>
          <w:tab w:val="left" w:pos="708"/>
          <w:tab w:val="left" w:pos="1416"/>
          <w:tab w:val="left" w:pos="2124"/>
          <w:tab w:val="left" w:pos="2832"/>
        </w:tabs>
        <w:spacing w:after="0" w:line="240" w:lineRule="auto"/>
        <w:ind w:left="0" w:right="360"/>
        <w:rPr>
          <w:rFonts w:ascii="Trebuchet MS" w:hAnsi="Trebuchet MS" w:cs="Arial"/>
          <w:bCs/>
          <w:sz w:val="22"/>
          <w:szCs w:val="22"/>
          <w:lang w:val="ro-RO"/>
        </w:rPr>
      </w:pPr>
      <w:r w:rsidRPr="001D58E0">
        <w:rPr>
          <w:rFonts w:ascii="Trebuchet MS" w:hAnsi="Trebuchet MS" w:cs="Arial"/>
          <w:b/>
          <w:bCs/>
          <w:sz w:val="22"/>
          <w:szCs w:val="22"/>
          <w:lang w:val="ro-RO"/>
        </w:rPr>
        <w:t xml:space="preserve">             </w:t>
      </w:r>
      <w:r w:rsidR="004F4397">
        <w:rPr>
          <w:rFonts w:ascii="Trebuchet MS" w:hAnsi="Trebuchet MS" w:cs="Arial"/>
          <w:b/>
          <w:bCs/>
          <w:sz w:val="22"/>
          <w:szCs w:val="22"/>
          <w:lang w:val="ro-RO"/>
        </w:rPr>
        <w:t xml:space="preserve">  </w:t>
      </w:r>
      <w:r w:rsidR="009B4B0D">
        <w:rPr>
          <w:rFonts w:ascii="Trebuchet MS" w:hAnsi="Trebuchet MS" w:cs="Arial"/>
          <w:b/>
          <w:bCs/>
          <w:sz w:val="22"/>
          <w:szCs w:val="22"/>
          <w:lang w:val="ro-RO"/>
        </w:rPr>
        <w:t xml:space="preserve">  </w:t>
      </w:r>
      <w:r w:rsidRPr="001D58E0">
        <w:rPr>
          <w:rFonts w:ascii="Trebuchet MS" w:hAnsi="Trebuchet MS" w:cs="Arial"/>
          <w:b/>
          <w:bCs/>
          <w:sz w:val="22"/>
          <w:szCs w:val="22"/>
          <w:lang w:val="ro-RO"/>
        </w:rPr>
        <w:t xml:space="preserve"> </w:t>
      </w:r>
      <w:r w:rsidR="00222E01" w:rsidRPr="001D58E0">
        <w:rPr>
          <w:rFonts w:ascii="Trebuchet MS" w:hAnsi="Trebuchet MS" w:cs="Arial"/>
          <w:b/>
          <w:bCs/>
          <w:sz w:val="22"/>
          <w:szCs w:val="22"/>
          <w:lang w:val="ro-RO"/>
        </w:rPr>
        <w:t>București</w:t>
      </w:r>
      <w:r w:rsidR="0064218B" w:rsidRPr="001D58E0">
        <w:rPr>
          <w:rFonts w:ascii="Trebuchet MS" w:hAnsi="Trebuchet MS" w:cs="Arial"/>
          <w:b/>
          <w:bCs/>
          <w:sz w:val="22"/>
          <w:szCs w:val="22"/>
          <w:lang w:val="ro-RO"/>
        </w:rPr>
        <w:t xml:space="preserve">                                      </w:t>
      </w:r>
      <w:r w:rsidR="009B4B0D">
        <w:rPr>
          <w:rFonts w:ascii="Trebuchet MS" w:hAnsi="Trebuchet MS" w:cs="Arial"/>
          <w:b/>
          <w:bCs/>
          <w:sz w:val="22"/>
          <w:szCs w:val="22"/>
          <w:lang w:val="ro-RO"/>
        </w:rPr>
        <w:t xml:space="preserve">   </w:t>
      </w:r>
      <w:r w:rsidR="0064218B" w:rsidRPr="001D58E0">
        <w:rPr>
          <w:rFonts w:ascii="Trebuchet MS" w:hAnsi="Trebuchet MS" w:cs="Arial"/>
          <w:b/>
          <w:bCs/>
          <w:sz w:val="22"/>
          <w:szCs w:val="22"/>
          <w:lang w:val="ro-RO"/>
        </w:rPr>
        <w:t xml:space="preserve">                           Data</w:t>
      </w:r>
      <w:r w:rsidR="0064218B" w:rsidRPr="001D58E0">
        <w:rPr>
          <w:rFonts w:ascii="Trebuchet MS" w:hAnsi="Trebuchet MS" w:cs="Arial"/>
          <w:bCs/>
          <w:sz w:val="22"/>
          <w:szCs w:val="22"/>
          <w:lang w:val="ro-RO"/>
        </w:rPr>
        <w:t xml:space="preserve"> </w:t>
      </w:r>
    </w:p>
    <w:p w:rsidR="00BB5FD0" w:rsidRPr="001D58E0" w:rsidRDefault="00BB5FD0" w:rsidP="00B82409">
      <w:pPr>
        <w:pStyle w:val="BodyTextIndent2"/>
        <w:tabs>
          <w:tab w:val="left" w:pos="708"/>
          <w:tab w:val="left" w:pos="1416"/>
          <w:tab w:val="left" w:pos="2124"/>
          <w:tab w:val="left" w:pos="2832"/>
        </w:tabs>
        <w:spacing w:after="0" w:line="240" w:lineRule="auto"/>
        <w:ind w:left="0" w:right="360"/>
        <w:rPr>
          <w:rFonts w:ascii="Trebuchet MS" w:hAnsi="Trebuchet MS" w:cs="Arial"/>
          <w:bCs/>
          <w:sz w:val="22"/>
          <w:szCs w:val="22"/>
          <w:lang w:val="ro-RO"/>
        </w:rPr>
      </w:pPr>
    </w:p>
    <w:p w:rsidR="004068A2" w:rsidRDefault="004068A2" w:rsidP="00B82409">
      <w:pPr>
        <w:spacing w:after="0" w:line="240" w:lineRule="auto"/>
        <w:ind w:left="0"/>
        <w:jc w:val="center"/>
        <w:rPr>
          <w:rFonts w:cs="Arial"/>
          <w:bCs/>
          <w:lang w:val="ro-RO"/>
        </w:rPr>
      </w:pPr>
    </w:p>
    <w:p w:rsidR="00AE00A5" w:rsidRDefault="00AE00A5" w:rsidP="00B82409">
      <w:pPr>
        <w:spacing w:after="0" w:line="240" w:lineRule="auto"/>
        <w:ind w:left="0"/>
        <w:jc w:val="center"/>
        <w:rPr>
          <w:rFonts w:cs="Arial"/>
          <w:bCs/>
          <w:lang w:val="ro-RO"/>
        </w:rPr>
      </w:pPr>
      <w:r w:rsidRPr="00AE00A5">
        <w:rPr>
          <w:rFonts w:cs="Arial"/>
          <w:bCs/>
          <w:lang w:val="ro-RO"/>
        </w:rPr>
        <w:t xml:space="preserve">Ministrul </w:t>
      </w:r>
      <w:r w:rsidR="00222E01" w:rsidRPr="00AE00A5">
        <w:rPr>
          <w:rFonts w:cs="Arial"/>
          <w:bCs/>
          <w:lang w:val="ro-RO"/>
        </w:rPr>
        <w:t>Justiției</w:t>
      </w:r>
    </w:p>
    <w:p w:rsidR="008602B8" w:rsidRPr="00AE00A5" w:rsidRDefault="008602B8" w:rsidP="00B82409">
      <w:pPr>
        <w:spacing w:after="0" w:line="240" w:lineRule="auto"/>
        <w:ind w:left="0"/>
        <w:jc w:val="center"/>
        <w:rPr>
          <w:rFonts w:cs="Arial"/>
          <w:bCs/>
          <w:lang w:val="ro-RO"/>
        </w:rPr>
      </w:pPr>
    </w:p>
    <w:p w:rsidR="00AE00A5" w:rsidRPr="00AE00A5" w:rsidRDefault="00AE00A5" w:rsidP="00B82409">
      <w:pPr>
        <w:spacing w:after="0" w:line="240" w:lineRule="auto"/>
        <w:ind w:left="0"/>
        <w:jc w:val="center"/>
        <w:rPr>
          <w:rFonts w:cs="Arial"/>
          <w:bCs/>
          <w:lang w:val="ro-RO"/>
        </w:rPr>
      </w:pPr>
    </w:p>
    <w:p w:rsidR="00127EE8" w:rsidRPr="00AE00A5" w:rsidRDefault="00127EE8" w:rsidP="00B82409">
      <w:pPr>
        <w:spacing w:after="0" w:line="240" w:lineRule="auto"/>
        <w:ind w:left="0"/>
        <w:jc w:val="center"/>
        <w:rPr>
          <w:rFonts w:cs="Arial"/>
          <w:bCs/>
          <w:lang w:val="ro-RO"/>
        </w:rPr>
      </w:pPr>
    </w:p>
    <w:p w:rsidR="00FD3726" w:rsidRDefault="00C46CC1" w:rsidP="00B82409">
      <w:pPr>
        <w:spacing w:after="0" w:line="240" w:lineRule="auto"/>
        <w:ind w:left="0"/>
        <w:jc w:val="center"/>
        <w:rPr>
          <w:rFonts w:cs="Arial"/>
          <w:lang w:val="ro-RO"/>
        </w:rPr>
      </w:pPr>
      <w:r>
        <w:rPr>
          <w:rFonts w:cs="Arial"/>
          <w:lang w:val="ro-RO"/>
        </w:rPr>
        <w:t>Stelian – Cristian ION</w:t>
      </w:r>
    </w:p>
    <w:p w:rsidR="00ED337A" w:rsidRDefault="00ED337A" w:rsidP="00B82409">
      <w:pPr>
        <w:spacing w:after="0" w:line="240" w:lineRule="auto"/>
        <w:ind w:left="0"/>
        <w:jc w:val="center"/>
        <w:rPr>
          <w:rFonts w:cs="Arial"/>
          <w:lang w:val="ro-RO"/>
        </w:rPr>
      </w:pPr>
    </w:p>
    <w:p w:rsidR="00ED337A" w:rsidRDefault="00ED337A" w:rsidP="00B82409">
      <w:pPr>
        <w:spacing w:after="0" w:line="240" w:lineRule="auto"/>
        <w:ind w:left="0"/>
        <w:jc w:val="center"/>
        <w:rPr>
          <w:rFonts w:cs="Arial"/>
          <w:lang w:val="ro-RO"/>
        </w:rPr>
      </w:pPr>
    </w:p>
    <w:p w:rsidR="00ED337A" w:rsidRDefault="00ED337A" w:rsidP="00B82409">
      <w:pPr>
        <w:spacing w:after="0" w:line="240" w:lineRule="auto"/>
        <w:ind w:left="0"/>
        <w:jc w:val="center"/>
        <w:rPr>
          <w:rFonts w:cs="Arial"/>
          <w:lang w:val="ro-RO"/>
        </w:rPr>
      </w:pPr>
    </w:p>
    <w:p w:rsidR="00B82409" w:rsidRDefault="00B82409" w:rsidP="00B82409">
      <w:pPr>
        <w:spacing w:after="0" w:line="240" w:lineRule="auto"/>
        <w:ind w:left="0"/>
        <w:jc w:val="center"/>
        <w:rPr>
          <w:rFonts w:cs="Arial"/>
          <w:b/>
          <w:lang w:val="ro-RO"/>
        </w:rPr>
      </w:pPr>
    </w:p>
    <w:p w:rsidR="00CC760F" w:rsidRDefault="00CC760F" w:rsidP="00B82409">
      <w:pPr>
        <w:spacing w:after="0" w:line="240" w:lineRule="auto"/>
        <w:ind w:left="0"/>
        <w:jc w:val="center"/>
        <w:rPr>
          <w:rFonts w:cs="Arial"/>
          <w:b/>
          <w:lang w:val="ro-RO"/>
        </w:rPr>
      </w:pPr>
    </w:p>
    <w:p w:rsidR="00CC760F" w:rsidRDefault="00CC760F" w:rsidP="00B82409">
      <w:pPr>
        <w:spacing w:after="0" w:line="240" w:lineRule="auto"/>
        <w:ind w:left="0"/>
        <w:jc w:val="center"/>
        <w:rPr>
          <w:rFonts w:cs="Arial"/>
          <w:b/>
          <w:lang w:val="ro-RO"/>
        </w:rPr>
      </w:pPr>
    </w:p>
    <w:p w:rsidR="009E763F" w:rsidRDefault="009E763F" w:rsidP="00B82409">
      <w:pPr>
        <w:spacing w:after="0" w:line="240" w:lineRule="auto"/>
        <w:ind w:left="0"/>
        <w:jc w:val="center"/>
        <w:rPr>
          <w:rFonts w:cs="Arial"/>
          <w:b/>
          <w:lang w:val="ro-RO"/>
        </w:rPr>
      </w:pPr>
    </w:p>
    <w:p w:rsidR="009E763F" w:rsidRDefault="009E763F" w:rsidP="00B82409">
      <w:pPr>
        <w:spacing w:after="0" w:line="240" w:lineRule="auto"/>
        <w:ind w:left="0"/>
        <w:jc w:val="center"/>
        <w:rPr>
          <w:rFonts w:cs="Arial"/>
          <w:b/>
          <w:lang w:val="ro-RO"/>
        </w:rPr>
      </w:pPr>
    </w:p>
    <w:p w:rsidR="009E763F" w:rsidRDefault="009E763F" w:rsidP="00B82409">
      <w:pPr>
        <w:spacing w:after="0" w:line="240" w:lineRule="auto"/>
        <w:ind w:left="0"/>
        <w:jc w:val="center"/>
        <w:rPr>
          <w:rFonts w:cs="Arial"/>
          <w:b/>
          <w:lang w:val="ro-RO"/>
        </w:rPr>
      </w:pPr>
    </w:p>
    <w:p w:rsidR="009E763F" w:rsidRDefault="009E763F" w:rsidP="00B82409">
      <w:pPr>
        <w:spacing w:after="0" w:line="240" w:lineRule="auto"/>
        <w:ind w:left="0"/>
        <w:jc w:val="center"/>
        <w:rPr>
          <w:rFonts w:cs="Arial"/>
          <w:b/>
          <w:lang w:val="ro-RO"/>
        </w:rPr>
      </w:pPr>
      <w:bookmarkStart w:id="2" w:name="_GoBack"/>
      <w:bookmarkEnd w:id="2"/>
    </w:p>
    <w:p w:rsidR="007B3CDD" w:rsidRDefault="007B3CDD" w:rsidP="00B82409">
      <w:pPr>
        <w:spacing w:after="0" w:line="240" w:lineRule="auto"/>
        <w:ind w:left="0"/>
        <w:jc w:val="center"/>
        <w:rPr>
          <w:rFonts w:cs="Arial"/>
          <w:lang w:val="ro-RO"/>
        </w:rPr>
      </w:pPr>
    </w:p>
    <w:p w:rsidR="00B34FB0" w:rsidRPr="00621AAD" w:rsidRDefault="00B34FB0" w:rsidP="00B82409">
      <w:pPr>
        <w:spacing w:after="0" w:line="240" w:lineRule="auto"/>
        <w:ind w:left="0"/>
        <w:jc w:val="center"/>
        <w:rPr>
          <w:rFonts w:cs="Arial"/>
          <w:lang w:val="ro-RO"/>
        </w:rPr>
      </w:pPr>
    </w:p>
    <w:p w:rsidR="00B26467" w:rsidRDefault="00B26467" w:rsidP="00B82409">
      <w:pPr>
        <w:spacing w:after="0" w:line="240" w:lineRule="auto"/>
        <w:ind w:left="0"/>
        <w:jc w:val="center"/>
        <w:rPr>
          <w:rFonts w:cs="Arial"/>
          <w:b/>
          <w:lang w:val="ro-RO"/>
        </w:rPr>
      </w:pPr>
    </w:p>
    <w:p w:rsidR="00071157" w:rsidRDefault="00071157" w:rsidP="00071157">
      <w:pPr>
        <w:spacing w:after="0" w:line="240" w:lineRule="auto"/>
        <w:ind w:left="0"/>
        <w:rPr>
          <w:rFonts w:cs="Arial"/>
          <w:lang w:val="ro-RO"/>
        </w:rPr>
      </w:pPr>
      <w:r w:rsidRPr="001D58E0">
        <w:rPr>
          <w:rFonts w:cs="Arial"/>
          <w:lang w:val="ro-RO"/>
        </w:rPr>
        <w:t xml:space="preserve">Nr.  </w:t>
      </w:r>
      <w:r>
        <w:rPr>
          <w:rFonts w:cs="Arial"/>
          <w:lang w:val="ro-RO"/>
        </w:rPr>
        <w:t xml:space="preserve">    </w:t>
      </w:r>
      <w:r w:rsidRPr="001D58E0">
        <w:rPr>
          <w:rFonts w:cs="Arial"/>
          <w:lang w:val="ro-RO"/>
        </w:rPr>
        <w:t>/            /</w:t>
      </w:r>
    </w:p>
    <w:p w:rsidR="00071157" w:rsidRPr="001D58E0" w:rsidRDefault="00071157" w:rsidP="00071157">
      <w:pPr>
        <w:spacing w:after="0" w:line="240" w:lineRule="auto"/>
        <w:ind w:left="0"/>
        <w:rPr>
          <w:rFonts w:cs="Arial"/>
          <w:lang w:val="ro-RO"/>
        </w:rPr>
      </w:pPr>
      <w:r w:rsidRPr="001D58E0">
        <w:rPr>
          <w:rFonts w:cs="Arial"/>
          <w:lang w:val="ro-RO"/>
        </w:rPr>
        <w:t xml:space="preserve">Prezentul ordin a fost întocmit în </w:t>
      </w:r>
      <w:r>
        <w:rPr>
          <w:rFonts w:cs="Arial"/>
          <w:lang w:val="ro-RO"/>
        </w:rPr>
        <w:t xml:space="preserve">două </w:t>
      </w:r>
      <w:r w:rsidRPr="001D58E0">
        <w:rPr>
          <w:rFonts w:cs="Arial"/>
          <w:lang w:val="ro-RO"/>
        </w:rPr>
        <w:t>exemplare</w:t>
      </w:r>
    </w:p>
    <w:p w:rsidR="00B07EFC" w:rsidRDefault="00B07EFC" w:rsidP="00B82409">
      <w:pPr>
        <w:spacing w:after="0" w:line="240" w:lineRule="auto"/>
        <w:ind w:left="0"/>
        <w:rPr>
          <w:rFonts w:cs="Arial"/>
          <w:sz w:val="20"/>
          <w:szCs w:val="20"/>
          <w:lang w:val="ro-RO"/>
        </w:rPr>
      </w:pPr>
    </w:p>
    <w:sectPr w:rsidR="00B07EFC" w:rsidSect="00656C8B">
      <w:headerReference w:type="default" r:id="rId10"/>
      <w:footerReference w:type="default" r:id="rId11"/>
      <w:headerReference w:type="first" r:id="rId12"/>
      <w:footerReference w:type="first" r:id="rId13"/>
      <w:pgSz w:w="11900" w:h="16840"/>
      <w:pgMar w:top="1418" w:right="701" w:bottom="1418" w:left="2268" w:header="567" w:footer="5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A4F" w:rsidRDefault="00336A4F" w:rsidP="00CD5B3B">
      <w:r>
        <w:separator/>
      </w:r>
    </w:p>
  </w:endnote>
  <w:endnote w:type="continuationSeparator" w:id="0">
    <w:p w:rsidR="00336A4F" w:rsidRDefault="00336A4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01" w:type="dxa"/>
      <w:tblLook w:val="04A0" w:firstRow="1" w:lastRow="0" w:firstColumn="1" w:lastColumn="0" w:noHBand="0" w:noVBand="1"/>
    </w:tblPr>
    <w:tblGrid>
      <w:gridCol w:w="1566"/>
      <w:gridCol w:w="5986"/>
      <w:gridCol w:w="2981"/>
    </w:tblGrid>
    <w:tr w:rsidR="000A0C20" w:rsidRPr="00E56667" w:rsidTr="000A0C20">
      <w:tc>
        <w:tcPr>
          <w:tcW w:w="1566" w:type="dxa"/>
          <w:shd w:val="clear" w:color="auto" w:fill="auto"/>
        </w:tcPr>
        <w:p w:rsidR="000A0C20" w:rsidRPr="00036CF6" w:rsidRDefault="000A0C20"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r w:rsidRPr="00036CF6">
            <w:rPr>
              <w:rFonts w:ascii="Times New Roman" w:eastAsia="Times New Roman" w:hAnsi="Times New Roman"/>
              <w:noProof/>
              <w:sz w:val="24"/>
              <w:szCs w:val="24"/>
              <w:lang w:val="ro-RO" w:eastAsia="ro-RO"/>
            </w:rPr>
            <w:drawing>
              <wp:inline distT="0" distB="0" distL="0" distR="0" wp14:anchorId="174691BE" wp14:editId="0951D6CE">
                <wp:extent cx="857250" cy="428625"/>
                <wp:effectExtent l="0" t="0" r="0" b="9525"/>
                <wp:docPr id="14" name="Imagine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20" cy="428910"/>
                        </a:xfrm>
                        <a:prstGeom prst="rect">
                          <a:avLst/>
                        </a:prstGeom>
                        <a:noFill/>
                        <a:ln>
                          <a:noFill/>
                        </a:ln>
                      </pic:spPr>
                    </pic:pic>
                  </a:graphicData>
                </a:graphic>
              </wp:inline>
            </w:drawing>
          </w:r>
        </w:p>
      </w:tc>
      <w:tc>
        <w:tcPr>
          <w:tcW w:w="5986" w:type="dxa"/>
          <w:tcBorders>
            <w:left w:val="nil"/>
          </w:tcBorders>
          <w:shd w:val="clear" w:color="auto" w:fill="auto"/>
        </w:tcPr>
        <w:p w:rsidR="000A0C20" w:rsidRPr="00036CF6" w:rsidRDefault="000A0C20" w:rsidP="00036CF6">
          <w:pPr>
            <w:tabs>
              <w:tab w:val="center" w:pos="4536"/>
              <w:tab w:val="right" w:pos="9072"/>
            </w:tabs>
            <w:spacing w:after="0" w:line="240" w:lineRule="auto"/>
            <w:ind w:left="0"/>
            <w:jc w:val="left"/>
            <w:rPr>
              <w:sz w:val="14"/>
              <w:szCs w:val="14"/>
            </w:rPr>
          </w:pPr>
          <w:r w:rsidRPr="00036CF6">
            <w:rPr>
              <w:sz w:val="14"/>
              <w:szCs w:val="14"/>
            </w:rPr>
            <w:t xml:space="preserve">Str. </w:t>
          </w:r>
          <w:proofErr w:type="spellStart"/>
          <w:r w:rsidRPr="00036CF6">
            <w:rPr>
              <w:sz w:val="14"/>
              <w:szCs w:val="14"/>
            </w:rPr>
            <w:t>Apolodor</w:t>
          </w:r>
          <w:proofErr w:type="spellEnd"/>
          <w:r w:rsidRPr="00036CF6">
            <w:rPr>
              <w:sz w:val="14"/>
              <w:szCs w:val="14"/>
            </w:rPr>
            <w:t xml:space="preserve"> nr. 17, sector 5, 050741 </w:t>
          </w:r>
          <w:proofErr w:type="spellStart"/>
          <w:r w:rsidRPr="00036CF6">
            <w:rPr>
              <w:sz w:val="14"/>
              <w:szCs w:val="14"/>
            </w:rPr>
            <w:t>Bucureşti</w:t>
          </w:r>
          <w:proofErr w:type="spellEnd"/>
          <w:r w:rsidRPr="00036CF6">
            <w:rPr>
              <w:sz w:val="14"/>
              <w:szCs w:val="14"/>
            </w:rPr>
            <w:t xml:space="preserve">, </w:t>
          </w:r>
          <w:proofErr w:type="spellStart"/>
          <w:r w:rsidRPr="00036CF6">
            <w:rPr>
              <w:sz w:val="14"/>
              <w:szCs w:val="14"/>
            </w:rPr>
            <w:t>România</w:t>
          </w:r>
          <w:proofErr w:type="spellEnd"/>
        </w:p>
        <w:p w:rsidR="000A0C20" w:rsidRPr="00036CF6" w:rsidRDefault="000A0C20" w:rsidP="00036CF6">
          <w:pPr>
            <w:tabs>
              <w:tab w:val="center" w:pos="4320"/>
              <w:tab w:val="right" w:pos="8640"/>
            </w:tabs>
            <w:spacing w:after="0"/>
            <w:ind w:left="0"/>
            <w:rPr>
              <w:sz w:val="14"/>
              <w:szCs w:val="14"/>
            </w:rPr>
          </w:pPr>
          <w:r w:rsidRPr="00036CF6">
            <w:rPr>
              <w:sz w:val="14"/>
              <w:szCs w:val="14"/>
            </w:rPr>
            <w:t>Tel. +4 037 204 1999</w:t>
          </w:r>
        </w:p>
        <w:p w:rsidR="000A0C20" w:rsidRPr="00036CF6" w:rsidRDefault="00336A4F" w:rsidP="00036CF6">
          <w:pPr>
            <w:tabs>
              <w:tab w:val="center" w:pos="4320"/>
              <w:tab w:val="right" w:pos="8640"/>
            </w:tabs>
            <w:spacing w:after="0"/>
            <w:ind w:left="0"/>
            <w:rPr>
              <w:rFonts w:ascii="Arial" w:eastAsia="Times New Roman" w:hAnsi="Arial" w:cs="Arial"/>
              <w:b/>
              <w:color w:val="003366"/>
              <w:sz w:val="16"/>
              <w:szCs w:val="16"/>
              <w:lang w:val="ro-RO" w:eastAsia="ro-RO"/>
            </w:rPr>
          </w:pPr>
          <w:hyperlink r:id="rId2" w:history="1">
            <w:r w:rsidR="000A0C20" w:rsidRPr="006F3D0D">
              <w:rPr>
                <w:color w:val="0563C1"/>
                <w:sz w:val="14"/>
                <w:szCs w:val="14"/>
                <w:u w:val="single"/>
              </w:rPr>
              <w:t>www.just.ro</w:t>
            </w:r>
          </w:hyperlink>
        </w:p>
      </w:tc>
      <w:tc>
        <w:tcPr>
          <w:tcW w:w="2981" w:type="dxa"/>
          <w:shd w:val="clear" w:color="auto" w:fill="auto"/>
          <w:vAlign w:val="center"/>
        </w:tcPr>
        <w:p w:rsidR="000A0C20" w:rsidRPr="00452DF6" w:rsidRDefault="000A0C20" w:rsidP="00036CF6">
          <w:pPr>
            <w:tabs>
              <w:tab w:val="center" w:pos="4536"/>
              <w:tab w:val="right" w:pos="9072"/>
            </w:tabs>
            <w:spacing w:after="0" w:line="240" w:lineRule="auto"/>
            <w:ind w:left="0"/>
            <w:jc w:val="right"/>
            <w:rPr>
              <w:sz w:val="14"/>
              <w:szCs w:val="14"/>
              <w:lang w:val="es-ES"/>
            </w:rPr>
          </w:pPr>
          <w:r w:rsidRPr="00452DF6">
            <w:rPr>
              <w:sz w:val="14"/>
              <w:szCs w:val="14"/>
              <w:lang w:val="es-ES"/>
            </w:rPr>
            <w:t xml:space="preserve">Pagina </w:t>
          </w:r>
          <w:r w:rsidRPr="00036CF6">
            <w:rPr>
              <w:sz w:val="14"/>
              <w:szCs w:val="14"/>
            </w:rPr>
            <w:fldChar w:fldCharType="begin"/>
          </w:r>
          <w:r w:rsidRPr="00452DF6">
            <w:rPr>
              <w:sz w:val="14"/>
              <w:szCs w:val="14"/>
              <w:lang w:val="es-ES"/>
            </w:rPr>
            <w:instrText xml:space="preserve"> PAGE </w:instrText>
          </w:r>
          <w:r w:rsidRPr="00036CF6">
            <w:rPr>
              <w:sz w:val="14"/>
              <w:szCs w:val="14"/>
            </w:rPr>
            <w:fldChar w:fldCharType="separate"/>
          </w:r>
          <w:r>
            <w:rPr>
              <w:noProof/>
              <w:sz w:val="14"/>
              <w:szCs w:val="14"/>
              <w:lang w:val="es-ES"/>
            </w:rPr>
            <w:t>2</w:t>
          </w:r>
          <w:r w:rsidRPr="00036CF6">
            <w:rPr>
              <w:sz w:val="14"/>
              <w:szCs w:val="14"/>
            </w:rPr>
            <w:fldChar w:fldCharType="end"/>
          </w:r>
          <w:r w:rsidRPr="00452DF6">
            <w:rPr>
              <w:sz w:val="14"/>
              <w:szCs w:val="14"/>
              <w:lang w:val="es-ES"/>
            </w:rPr>
            <w:t xml:space="preserve"> din </w:t>
          </w:r>
          <w:r w:rsidRPr="00036CF6">
            <w:rPr>
              <w:sz w:val="14"/>
              <w:szCs w:val="14"/>
            </w:rPr>
            <w:fldChar w:fldCharType="begin"/>
          </w:r>
          <w:r w:rsidRPr="00452DF6">
            <w:rPr>
              <w:sz w:val="14"/>
              <w:szCs w:val="14"/>
              <w:lang w:val="es-ES"/>
            </w:rPr>
            <w:instrText xml:space="preserve"> SECTIONPAGES   \* MERGEFORMAT </w:instrText>
          </w:r>
          <w:r w:rsidRPr="00036CF6">
            <w:rPr>
              <w:sz w:val="14"/>
              <w:szCs w:val="14"/>
            </w:rPr>
            <w:fldChar w:fldCharType="separate"/>
          </w:r>
          <w:r w:rsidR="009E763F">
            <w:rPr>
              <w:noProof/>
              <w:sz w:val="14"/>
              <w:szCs w:val="14"/>
              <w:lang w:val="es-ES"/>
            </w:rPr>
            <w:t>4</w:t>
          </w:r>
          <w:r w:rsidRPr="00036CF6">
            <w:rPr>
              <w:sz w:val="14"/>
              <w:szCs w:val="14"/>
            </w:rPr>
            <w:fldChar w:fldCharType="end"/>
          </w:r>
        </w:p>
        <w:p w:rsidR="000A0C20" w:rsidRPr="00452DF6" w:rsidRDefault="000A0C20" w:rsidP="00036CF6">
          <w:pPr>
            <w:tabs>
              <w:tab w:val="center" w:pos="4536"/>
              <w:tab w:val="right" w:pos="9072"/>
            </w:tabs>
            <w:spacing w:after="0" w:line="240" w:lineRule="auto"/>
            <w:ind w:left="0"/>
            <w:jc w:val="right"/>
            <w:rPr>
              <w:sz w:val="14"/>
              <w:szCs w:val="14"/>
              <w:lang w:val="es-ES"/>
            </w:rPr>
          </w:pPr>
        </w:p>
        <w:p w:rsidR="000A0C20" w:rsidRPr="00452DF6" w:rsidRDefault="000A0C20" w:rsidP="00036CF6">
          <w:pPr>
            <w:tabs>
              <w:tab w:val="center" w:pos="4536"/>
              <w:tab w:val="right" w:pos="9072"/>
            </w:tabs>
            <w:spacing w:after="0" w:line="240" w:lineRule="auto"/>
            <w:ind w:left="0"/>
            <w:jc w:val="right"/>
            <w:rPr>
              <w:sz w:val="14"/>
              <w:szCs w:val="14"/>
              <w:lang w:val="es-ES"/>
            </w:rPr>
          </w:pPr>
          <w:r w:rsidRPr="00452DF6">
            <w:rPr>
              <w:sz w:val="14"/>
              <w:szCs w:val="14"/>
              <w:lang w:val="es-ES"/>
            </w:rPr>
            <w:t>COD: FS-01-0</w:t>
          </w:r>
          <w:r>
            <w:rPr>
              <w:sz w:val="14"/>
              <w:szCs w:val="14"/>
              <w:lang w:val="es-ES"/>
            </w:rPr>
            <w:t>5</w:t>
          </w:r>
          <w:r w:rsidRPr="00452DF6">
            <w:rPr>
              <w:sz w:val="14"/>
              <w:szCs w:val="14"/>
              <w:lang w:val="es-ES"/>
            </w:rPr>
            <w:t>-ver.</w:t>
          </w:r>
          <w:r>
            <w:rPr>
              <w:sz w:val="14"/>
              <w:szCs w:val="14"/>
              <w:lang w:val="es-ES"/>
            </w:rPr>
            <w:t>6</w:t>
          </w:r>
        </w:p>
        <w:p w:rsidR="000A0C20" w:rsidRPr="00036CF6" w:rsidRDefault="000A0C20" w:rsidP="00036CF6">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rsidR="000A0C20" w:rsidRPr="00452DF6" w:rsidRDefault="000A0C20" w:rsidP="00E80D5E">
    <w:pPr>
      <w:pStyle w:val="Footer"/>
      <w:ind w:left="0"/>
      <w:rPr>
        <w:sz w:val="14"/>
        <w:szCs w:val="14"/>
        <w:lang w:val="es-ES"/>
      </w:rPr>
    </w:pPr>
  </w:p>
  <w:p w:rsidR="000A0C20" w:rsidRPr="00452DF6" w:rsidRDefault="000A0C20">
    <w:pPr>
      <w:rPr>
        <w:lang w:val="es-ES"/>
      </w:rPr>
    </w:pPr>
  </w:p>
  <w:p w:rsidR="000A0C20" w:rsidRPr="00452DF6" w:rsidRDefault="000A0C20">
    <w:pPr>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01" w:type="dxa"/>
      <w:tblLook w:val="04A0" w:firstRow="1" w:lastRow="0" w:firstColumn="1" w:lastColumn="0" w:noHBand="0" w:noVBand="1"/>
    </w:tblPr>
    <w:tblGrid>
      <w:gridCol w:w="1566"/>
      <w:gridCol w:w="5986"/>
      <w:gridCol w:w="2981"/>
    </w:tblGrid>
    <w:tr w:rsidR="000A0C20" w:rsidRPr="00E56667" w:rsidTr="00036CF6">
      <w:tc>
        <w:tcPr>
          <w:tcW w:w="1566" w:type="dxa"/>
          <w:shd w:val="clear" w:color="auto" w:fill="auto"/>
        </w:tcPr>
        <w:p w:rsidR="000A0C20" w:rsidRPr="00036CF6" w:rsidRDefault="000A0C20"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r w:rsidRPr="00036CF6">
            <w:rPr>
              <w:rFonts w:ascii="Times New Roman" w:eastAsia="Times New Roman" w:hAnsi="Times New Roman"/>
              <w:noProof/>
              <w:sz w:val="24"/>
              <w:szCs w:val="24"/>
              <w:lang w:val="ro-RO" w:eastAsia="ro-RO"/>
            </w:rPr>
            <w:drawing>
              <wp:inline distT="0" distB="0" distL="0" distR="0" wp14:anchorId="447733CD" wp14:editId="2C0B16EA">
                <wp:extent cx="857250" cy="428625"/>
                <wp:effectExtent l="0" t="0" r="0" b="9525"/>
                <wp:docPr id="16" name="Imagine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20" cy="428910"/>
                        </a:xfrm>
                        <a:prstGeom prst="rect">
                          <a:avLst/>
                        </a:prstGeom>
                        <a:noFill/>
                        <a:ln>
                          <a:noFill/>
                        </a:ln>
                      </pic:spPr>
                    </pic:pic>
                  </a:graphicData>
                </a:graphic>
              </wp:inline>
            </w:drawing>
          </w:r>
        </w:p>
      </w:tc>
      <w:tc>
        <w:tcPr>
          <w:tcW w:w="5986" w:type="dxa"/>
          <w:tcBorders>
            <w:left w:val="nil"/>
          </w:tcBorders>
          <w:shd w:val="clear" w:color="auto" w:fill="auto"/>
        </w:tcPr>
        <w:p w:rsidR="000A0C20" w:rsidRPr="00036CF6" w:rsidRDefault="000A0C20" w:rsidP="00036CF6">
          <w:pPr>
            <w:tabs>
              <w:tab w:val="center" w:pos="4536"/>
              <w:tab w:val="right" w:pos="9072"/>
            </w:tabs>
            <w:spacing w:after="0" w:line="240" w:lineRule="auto"/>
            <w:ind w:left="0"/>
            <w:jc w:val="left"/>
            <w:rPr>
              <w:sz w:val="14"/>
              <w:szCs w:val="14"/>
            </w:rPr>
          </w:pPr>
          <w:r w:rsidRPr="00036CF6">
            <w:rPr>
              <w:sz w:val="14"/>
              <w:szCs w:val="14"/>
            </w:rPr>
            <w:t xml:space="preserve">Str. </w:t>
          </w:r>
          <w:proofErr w:type="spellStart"/>
          <w:r w:rsidRPr="00036CF6">
            <w:rPr>
              <w:sz w:val="14"/>
              <w:szCs w:val="14"/>
            </w:rPr>
            <w:t>Apolodor</w:t>
          </w:r>
          <w:proofErr w:type="spellEnd"/>
          <w:r w:rsidRPr="00036CF6">
            <w:rPr>
              <w:sz w:val="14"/>
              <w:szCs w:val="14"/>
            </w:rPr>
            <w:t xml:space="preserve"> nr. 17, sector 5, 050741 </w:t>
          </w:r>
          <w:proofErr w:type="spellStart"/>
          <w:r w:rsidRPr="00036CF6">
            <w:rPr>
              <w:sz w:val="14"/>
              <w:szCs w:val="14"/>
            </w:rPr>
            <w:t>Bucureşti</w:t>
          </w:r>
          <w:proofErr w:type="spellEnd"/>
          <w:r w:rsidRPr="00036CF6">
            <w:rPr>
              <w:sz w:val="14"/>
              <w:szCs w:val="14"/>
            </w:rPr>
            <w:t xml:space="preserve">, </w:t>
          </w:r>
          <w:proofErr w:type="spellStart"/>
          <w:r w:rsidRPr="00036CF6">
            <w:rPr>
              <w:sz w:val="14"/>
              <w:szCs w:val="14"/>
            </w:rPr>
            <w:t>România</w:t>
          </w:r>
          <w:proofErr w:type="spellEnd"/>
        </w:p>
        <w:p w:rsidR="000A0C20" w:rsidRPr="00036CF6" w:rsidRDefault="000A0C20" w:rsidP="00036CF6">
          <w:pPr>
            <w:tabs>
              <w:tab w:val="center" w:pos="4320"/>
              <w:tab w:val="right" w:pos="8640"/>
            </w:tabs>
            <w:spacing w:after="0"/>
            <w:ind w:left="0"/>
            <w:rPr>
              <w:sz w:val="14"/>
              <w:szCs w:val="14"/>
            </w:rPr>
          </w:pPr>
          <w:r w:rsidRPr="00036CF6">
            <w:rPr>
              <w:sz w:val="14"/>
              <w:szCs w:val="14"/>
            </w:rPr>
            <w:t>Tel. +4 037 204 1999</w:t>
          </w:r>
        </w:p>
        <w:p w:rsidR="000A0C20" w:rsidRPr="00036CF6" w:rsidRDefault="00336A4F" w:rsidP="00036CF6">
          <w:pPr>
            <w:tabs>
              <w:tab w:val="center" w:pos="4320"/>
              <w:tab w:val="right" w:pos="8640"/>
            </w:tabs>
            <w:spacing w:after="0"/>
            <w:ind w:left="0"/>
            <w:rPr>
              <w:sz w:val="14"/>
              <w:szCs w:val="14"/>
            </w:rPr>
          </w:pPr>
          <w:hyperlink r:id="rId2" w:history="1">
            <w:r w:rsidR="000A0C20" w:rsidRPr="006F3D0D">
              <w:rPr>
                <w:color w:val="0563C1"/>
                <w:sz w:val="14"/>
                <w:szCs w:val="14"/>
                <w:u w:val="single"/>
              </w:rPr>
              <w:t>www.just.ro</w:t>
            </w:r>
          </w:hyperlink>
        </w:p>
        <w:p w:rsidR="000A0C20" w:rsidRPr="00036CF6" w:rsidRDefault="000A0C20" w:rsidP="00036CF6">
          <w:pPr>
            <w:tabs>
              <w:tab w:val="center" w:pos="4536"/>
              <w:tab w:val="right" w:pos="9072"/>
            </w:tabs>
            <w:spacing w:after="0" w:line="240" w:lineRule="auto"/>
            <w:ind w:left="0"/>
            <w:jc w:val="left"/>
            <w:rPr>
              <w:rFonts w:ascii="Arial" w:eastAsia="Times New Roman" w:hAnsi="Arial" w:cs="Arial"/>
              <w:b/>
              <w:color w:val="003366"/>
              <w:sz w:val="16"/>
              <w:szCs w:val="16"/>
              <w:lang w:val="ro-RO" w:eastAsia="ro-RO"/>
            </w:rPr>
          </w:pPr>
        </w:p>
      </w:tc>
      <w:tc>
        <w:tcPr>
          <w:tcW w:w="2981" w:type="dxa"/>
          <w:shd w:val="clear" w:color="auto" w:fill="auto"/>
        </w:tcPr>
        <w:p w:rsidR="000A0C20" w:rsidRPr="00452DF6" w:rsidRDefault="000A0C20" w:rsidP="00036CF6">
          <w:pPr>
            <w:tabs>
              <w:tab w:val="center" w:pos="4536"/>
              <w:tab w:val="right" w:pos="9072"/>
            </w:tabs>
            <w:spacing w:after="0" w:line="240" w:lineRule="auto"/>
            <w:ind w:left="0"/>
            <w:jc w:val="right"/>
            <w:rPr>
              <w:sz w:val="14"/>
              <w:szCs w:val="14"/>
              <w:lang w:val="es-ES"/>
            </w:rPr>
          </w:pPr>
          <w:r w:rsidRPr="00452DF6">
            <w:rPr>
              <w:sz w:val="14"/>
              <w:szCs w:val="14"/>
              <w:lang w:val="es-ES"/>
            </w:rPr>
            <w:t xml:space="preserve">Pagina </w:t>
          </w:r>
          <w:r w:rsidRPr="00036CF6">
            <w:rPr>
              <w:sz w:val="14"/>
              <w:szCs w:val="14"/>
            </w:rPr>
            <w:fldChar w:fldCharType="begin"/>
          </w:r>
          <w:r w:rsidRPr="00452DF6">
            <w:rPr>
              <w:sz w:val="14"/>
              <w:szCs w:val="14"/>
              <w:lang w:val="es-ES"/>
            </w:rPr>
            <w:instrText xml:space="preserve"> PAGE </w:instrText>
          </w:r>
          <w:r w:rsidRPr="00036CF6">
            <w:rPr>
              <w:sz w:val="14"/>
              <w:szCs w:val="14"/>
            </w:rPr>
            <w:fldChar w:fldCharType="separate"/>
          </w:r>
          <w:r>
            <w:rPr>
              <w:noProof/>
              <w:sz w:val="14"/>
              <w:szCs w:val="14"/>
              <w:lang w:val="es-ES"/>
            </w:rPr>
            <w:t>1</w:t>
          </w:r>
          <w:r w:rsidRPr="00036CF6">
            <w:rPr>
              <w:sz w:val="14"/>
              <w:szCs w:val="14"/>
            </w:rPr>
            <w:fldChar w:fldCharType="end"/>
          </w:r>
          <w:r w:rsidRPr="00452DF6">
            <w:rPr>
              <w:sz w:val="14"/>
              <w:szCs w:val="14"/>
              <w:lang w:val="es-ES"/>
            </w:rPr>
            <w:t xml:space="preserve"> din </w:t>
          </w:r>
          <w:r w:rsidRPr="00036CF6">
            <w:rPr>
              <w:sz w:val="14"/>
              <w:szCs w:val="14"/>
            </w:rPr>
            <w:fldChar w:fldCharType="begin"/>
          </w:r>
          <w:r w:rsidRPr="00452DF6">
            <w:rPr>
              <w:sz w:val="14"/>
              <w:szCs w:val="14"/>
              <w:lang w:val="es-ES"/>
            </w:rPr>
            <w:instrText xml:space="preserve"> SECTIONPAGES   \* MERGEFORMAT </w:instrText>
          </w:r>
          <w:r w:rsidRPr="00036CF6">
            <w:rPr>
              <w:sz w:val="14"/>
              <w:szCs w:val="14"/>
            </w:rPr>
            <w:fldChar w:fldCharType="separate"/>
          </w:r>
          <w:r w:rsidR="009E763F">
            <w:rPr>
              <w:noProof/>
              <w:sz w:val="14"/>
              <w:szCs w:val="14"/>
              <w:lang w:val="es-ES"/>
            </w:rPr>
            <w:t>4</w:t>
          </w:r>
          <w:r w:rsidRPr="00036CF6">
            <w:rPr>
              <w:sz w:val="14"/>
              <w:szCs w:val="14"/>
            </w:rPr>
            <w:fldChar w:fldCharType="end"/>
          </w:r>
        </w:p>
        <w:p w:rsidR="000A0C20" w:rsidRPr="00452DF6" w:rsidRDefault="000A0C20" w:rsidP="00036CF6">
          <w:pPr>
            <w:tabs>
              <w:tab w:val="center" w:pos="4536"/>
              <w:tab w:val="right" w:pos="9072"/>
            </w:tabs>
            <w:spacing w:after="0" w:line="240" w:lineRule="auto"/>
            <w:ind w:left="0"/>
            <w:jc w:val="right"/>
            <w:rPr>
              <w:sz w:val="14"/>
              <w:szCs w:val="14"/>
              <w:lang w:val="es-ES"/>
            </w:rPr>
          </w:pPr>
        </w:p>
        <w:p w:rsidR="000A0C20" w:rsidRPr="00036CF6" w:rsidRDefault="000A0C20" w:rsidP="00871FC1">
          <w:pPr>
            <w:tabs>
              <w:tab w:val="center" w:pos="4536"/>
              <w:tab w:val="right" w:pos="9072"/>
            </w:tabs>
            <w:spacing w:after="0" w:line="240" w:lineRule="auto"/>
            <w:ind w:left="0"/>
            <w:jc w:val="right"/>
            <w:rPr>
              <w:rFonts w:ascii="Arial" w:eastAsia="Times New Roman" w:hAnsi="Arial" w:cs="Arial"/>
              <w:b/>
              <w:sz w:val="16"/>
              <w:szCs w:val="16"/>
              <w:lang w:val="ro-RO" w:eastAsia="ro-RO"/>
            </w:rPr>
          </w:pPr>
          <w:r>
            <w:rPr>
              <w:sz w:val="14"/>
              <w:szCs w:val="14"/>
              <w:lang w:val="es-ES"/>
            </w:rPr>
            <w:t>COD: FS-01-05-ver.6</w:t>
          </w:r>
        </w:p>
      </w:tc>
    </w:tr>
  </w:tbl>
  <w:p w:rsidR="000A0C20" w:rsidRPr="00452DF6" w:rsidRDefault="000A0C20" w:rsidP="0064218B">
    <w:pPr>
      <w:ind w:left="0"/>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A4F" w:rsidRDefault="00336A4F" w:rsidP="00CD5B3B">
      <w:r>
        <w:separator/>
      </w:r>
    </w:p>
  </w:footnote>
  <w:footnote w:type="continuationSeparator" w:id="0">
    <w:p w:rsidR="00336A4F" w:rsidRDefault="00336A4F"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C20" w:rsidRDefault="000A0C20" w:rsidP="008A4458">
    <w:pPr>
      <w:pStyle w:val="Header"/>
      <w:ind w:left="0"/>
    </w:pPr>
  </w:p>
  <w:p w:rsidR="000A0C20" w:rsidRPr="00CD5B3B" w:rsidRDefault="000A0C20" w:rsidP="008A4458">
    <w:pPr>
      <w:pStyle w:val="Header"/>
      <w:ind w:left="0"/>
    </w:pPr>
    <w:r>
      <w:rPr>
        <w:noProof/>
        <w:lang w:val="ro-RO" w:eastAsia="ro-RO"/>
      </w:rPr>
      <w:drawing>
        <wp:inline distT="0" distB="0" distL="0" distR="0" wp14:anchorId="2B18CA6B" wp14:editId="711A4143">
          <wp:extent cx="1959610" cy="201930"/>
          <wp:effectExtent l="0" t="0" r="2540" b="7620"/>
          <wp:docPr id="13" name="Picture 31" descr="D:\Profiles\Viorel.Streza\Desktop\template min 4 radu\logo_antet\logo_antet_MJ_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rofiles\Viorel.Streza\Desktop\template min 4 radu\logo_antet\logo_antet_MJ_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2019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Ind w:w="-1701" w:type="dxa"/>
      <w:tblCellMar>
        <w:left w:w="0" w:type="dxa"/>
        <w:right w:w="0" w:type="dxa"/>
      </w:tblCellMar>
      <w:tblLook w:val="04A0" w:firstRow="1" w:lastRow="0" w:firstColumn="1" w:lastColumn="0" w:noHBand="0" w:noVBand="1"/>
    </w:tblPr>
    <w:tblGrid>
      <w:gridCol w:w="6804"/>
      <w:gridCol w:w="4111"/>
    </w:tblGrid>
    <w:tr w:rsidR="000A0C20" w:rsidTr="008A4458">
      <w:tc>
        <w:tcPr>
          <w:tcW w:w="6804" w:type="dxa"/>
          <w:shd w:val="clear" w:color="auto" w:fill="auto"/>
        </w:tcPr>
        <w:p w:rsidR="000A0C20" w:rsidRPr="00CD5B3B" w:rsidRDefault="000A0C20" w:rsidP="00C20EF1">
          <w:pPr>
            <w:pStyle w:val="MediumGrid21"/>
          </w:pPr>
          <w:r w:rsidRPr="00BD3E7C">
            <w:rPr>
              <w:rFonts w:ascii="Times New Roman" w:eastAsia="Times New Roman" w:hAnsi="Times New Roman"/>
              <w:noProof/>
              <w:sz w:val="20"/>
              <w:szCs w:val="20"/>
              <w:lang w:val="ro-RO" w:eastAsia="ro-RO"/>
            </w:rPr>
            <w:drawing>
              <wp:inline distT="0" distB="0" distL="0" distR="0">
                <wp:extent cx="2828925" cy="9048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904875"/>
                        </a:xfrm>
                        <a:prstGeom prst="rect">
                          <a:avLst/>
                        </a:prstGeom>
                        <a:noFill/>
                        <a:ln>
                          <a:noFill/>
                        </a:ln>
                      </pic:spPr>
                    </pic:pic>
                  </a:graphicData>
                </a:graphic>
              </wp:inline>
            </w:drawing>
          </w:r>
        </w:p>
      </w:tc>
      <w:tc>
        <w:tcPr>
          <w:tcW w:w="4111" w:type="dxa"/>
          <w:shd w:val="clear" w:color="auto" w:fill="auto"/>
          <w:vAlign w:val="center"/>
        </w:tcPr>
        <w:p w:rsidR="000A0C20" w:rsidRDefault="000A0C20" w:rsidP="00E562FC">
          <w:pPr>
            <w:pStyle w:val="MediumGrid21"/>
            <w:jc w:val="right"/>
          </w:pPr>
        </w:p>
      </w:tc>
    </w:tr>
  </w:tbl>
  <w:p w:rsidR="000A0C20" w:rsidRDefault="000A0C20" w:rsidP="002B2D08">
    <w:pPr>
      <w:pStyle w:val="Header"/>
      <w:spacing w:after="0"/>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4BDF"/>
    <w:multiLevelType w:val="hybridMultilevel"/>
    <w:tmpl w:val="E14A843E"/>
    <w:lvl w:ilvl="0" w:tplc="07328C68">
      <w:start w:val="1"/>
      <w:numFmt w:val="lowerLetter"/>
      <w:lvlText w:val="%1)"/>
      <w:lvlJc w:val="left"/>
      <w:pPr>
        <w:ind w:left="784" w:hanging="360"/>
      </w:pPr>
      <w:rPr>
        <w:rFonts w:hint="default"/>
      </w:rPr>
    </w:lvl>
    <w:lvl w:ilvl="1" w:tplc="04180019" w:tentative="1">
      <w:start w:val="1"/>
      <w:numFmt w:val="lowerLetter"/>
      <w:lvlText w:val="%2."/>
      <w:lvlJc w:val="left"/>
      <w:pPr>
        <w:ind w:left="1504" w:hanging="360"/>
      </w:pPr>
    </w:lvl>
    <w:lvl w:ilvl="2" w:tplc="0418001B" w:tentative="1">
      <w:start w:val="1"/>
      <w:numFmt w:val="lowerRoman"/>
      <w:lvlText w:val="%3."/>
      <w:lvlJc w:val="right"/>
      <w:pPr>
        <w:ind w:left="2224" w:hanging="180"/>
      </w:pPr>
    </w:lvl>
    <w:lvl w:ilvl="3" w:tplc="0418000F" w:tentative="1">
      <w:start w:val="1"/>
      <w:numFmt w:val="decimal"/>
      <w:lvlText w:val="%4."/>
      <w:lvlJc w:val="left"/>
      <w:pPr>
        <w:ind w:left="2944" w:hanging="360"/>
      </w:pPr>
    </w:lvl>
    <w:lvl w:ilvl="4" w:tplc="04180019" w:tentative="1">
      <w:start w:val="1"/>
      <w:numFmt w:val="lowerLetter"/>
      <w:lvlText w:val="%5."/>
      <w:lvlJc w:val="left"/>
      <w:pPr>
        <w:ind w:left="3664" w:hanging="360"/>
      </w:pPr>
    </w:lvl>
    <w:lvl w:ilvl="5" w:tplc="0418001B" w:tentative="1">
      <w:start w:val="1"/>
      <w:numFmt w:val="lowerRoman"/>
      <w:lvlText w:val="%6."/>
      <w:lvlJc w:val="right"/>
      <w:pPr>
        <w:ind w:left="4384" w:hanging="180"/>
      </w:pPr>
    </w:lvl>
    <w:lvl w:ilvl="6" w:tplc="0418000F" w:tentative="1">
      <w:start w:val="1"/>
      <w:numFmt w:val="decimal"/>
      <w:lvlText w:val="%7."/>
      <w:lvlJc w:val="left"/>
      <w:pPr>
        <w:ind w:left="5104" w:hanging="360"/>
      </w:pPr>
    </w:lvl>
    <w:lvl w:ilvl="7" w:tplc="04180019" w:tentative="1">
      <w:start w:val="1"/>
      <w:numFmt w:val="lowerLetter"/>
      <w:lvlText w:val="%8."/>
      <w:lvlJc w:val="left"/>
      <w:pPr>
        <w:ind w:left="5824" w:hanging="360"/>
      </w:pPr>
    </w:lvl>
    <w:lvl w:ilvl="8" w:tplc="0418001B" w:tentative="1">
      <w:start w:val="1"/>
      <w:numFmt w:val="lowerRoman"/>
      <w:lvlText w:val="%9."/>
      <w:lvlJc w:val="right"/>
      <w:pPr>
        <w:ind w:left="6544" w:hanging="180"/>
      </w:pPr>
    </w:lvl>
  </w:abstractNum>
  <w:abstractNum w:abstractNumId="1" w15:restartNumberingAfterBreak="0">
    <w:nsid w:val="0A0A4DE6"/>
    <w:multiLevelType w:val="hybridMultilevel"/>
    <w:tmpl w:val="598EFCDE"/>
    <w:lvl w:ilvl="0" w:tplc="B3869AC6">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49841AC"/>
    <w:multiLevelType w:val="hybridMultilevel"/>
    <w:tmpl w:val="28B4F2E0"/>
    <w:lvl w:ilvl="0" w:tplc="04180017">
      <w:start w:val="1"/>
      <w:numFmt w:val="lowerLetter"/>
      <w:lvlText w:val="%1)"/>
      <w:lvlJc w:val="left"/>
      <w:pPr>
        <w:ind w:left="1069" w:hanging="360"/>
      </w:pPr>
      <w:rPr>
        <w:rFont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 w15:restartNumberingAfterBreak="0">
    <w:nsid w:val="2D8F7F1F"/>
    <w:multiLevelType w:val="hybridMultilevel"/>
    <w:tmpl w:val="2EC20FDC"/>
    <w:lvl w:ilvl="0" w:tplc="04180017">
      <w:start w:val="1"/>
      <w:numFmt w:val="lowerLetter"/>
      <w:lvlText w:val="%1)"/>
      <w:lvlJc w:val="left"/>
      <w:pPr>
        <w:ind w:left="1069" w:hanging="360"/>
      </w:pPr>
      <w:rPr>
        <w:rFont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 w15:restartNumberingAfterBreak="0">
    <w:nsid w:val="40EE19F4"/>
    <w:multiLevelType w:val="hybridMultilevel"/>
    <w:tmpl w:val="73C0FF80"/>
    <w:lvl w:ilvl="0" w:tplc="9BDCB216">
      <w:start w:val="1"/>
      <w:numFmt w:val="lowerLetter"/>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5" w15:restartNumberingAfterBreak="0">
    <w:nsid w:val="5DBD67E6"/>
    <w:multiLevelType w:val="hybridMultilevel"/>
    <w:tmpl w:val="48928362"/>
    <w:lvl w:ilvl="0" w:tplc="04180017">
      <w:start w:val="1"/>
      <w:numFmt w:val="lowerLetter"/>
      <w:lvlText w:val="%1)"/>
      <w:lvlJc w:val="left"/>
      <w:pPr>
        <w:ind w:left="1069" w:hanging="360"/>
      </w:pPr>
      <w:rPr>
        <w:rFont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6" w15:restartNumberingAfterBreak="0">
    <w:nsid w:val="639F0DB0"/>
    <w:multiLevelType w:val="hybridMultilevel"/>
    <w:tmpl w:val="A09643F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59D7DBF"/>
    <w:multiLevelType w:val="hybridMultilevel"/>
    <w:tmpl w:val="B1A21F9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BF60FD4"/>
    <w:multiLevelType w:val="hybridMultilevel"/>
    <w:tmpl w:val="35404D2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4F9373B"/>
    <w:multiLevelType w:val="hybridMultilevel"/>
    <w:tmpl w:val="3A60F6F2"/>
    <w:lvl w:ilvl="0" w:tplc="04180017">
      <w:start w:val="1"/>
      <w:numFmt w:val="lowerLetter"/>
      <w:lvlText w:val="%1)"/>
      <w:lvlJc w:val="left"/>
      <w:pPr>
        <w:ind w:left="1069" w:hanging="360"/>
      </w:pPr>
      <w:rPr>
        <w:rFont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0" w15:restartNumberingAfterBreak="0">
    <w:nsid w:val="7A38028E"/>
    <w:multiLevelType w:val="hybridMultilevel"/>
    <w:tmpl w:val="7D1E529E"/>
    <w:lvl w:ilvl="0" w:tplc="04180017">
      <w:start w:val="1"/>
      <w:numFmt w:val="lowerLetter"/>
      <w:lvlText w:val="%1)"/>
      <w:lvlJc w:val="left"/>
      <w:pPr>
        <w:ind w:left="1069" w:hanging="360"/>
      </w:pPr>
      <w:rPr>
        <w:rFont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3"/>
  </w:num>
  <w:num w:numId="8">
    <w:abstractNumId w:val="2"/>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3431"/>
    <w:rsid w:val="00005C7D"/>
    <w:rsid w:val="000164EF"/>
    <w:rsid w:val="00017571"/>
    <w:rsid w:val="00023330"/>
    <w:rsid w:val="00023CA8"/>
    <w:rsid w:val="0002780A"/>
    <w:rsid w:val="00032994"/>
    <w:rsid w:val="00036CF6"/>
    <w:rsid w:val="00061D1C"/>
    <w:rsid w:val="00067EF5"/>
    <w:rsid w:val="00071157"/>
    <w:rsid w:val="00071964"/>
    <w:rsid w:val="00074049"/>
    <w:rsid w:val="00076B47"/>
    <w:rsid w:val="00082EE2"/>
    <w:rsid w:val="0008595C"/>
    <w:rsid w:val="00086A5A"/>
    <w:rsid w:val="00095AA6"/>
    <w:rsid w:val="00095E68"/>
    <w:rsid w:val="000A0C20"/>
    <w:rsid w:val="000B4C46"/>
    <w:rsid w:val="000B5F93"/>
    <w:rsid w:val="000B7974"/>
    <w:rsid w:val="000C3BDA"/>
    <w:rsid w:val="000C4604"/>
    <w:rsid w:val="000D6E36"/>
    <w:rsid w:val="000E047C"/>
    <w:rsid w:val="000E0887"/>
    <w:rsid w:val="000E38C4"/>
    <w:rsid w:val="000E6697"/>
    <w:rsid w:val="000F52D3"/>
    <w:rsid w:val="00100F36"/>
    <w:rsid w:val="00101E48"/>
    <w:rsid w:val="001057AC"/>
    <w:rsid w:val="0010741F"/>
    <w:rsid w:val="00111761"/>
    <w:rsid w:val="0011640A"/>
    <w:rsid w:val="00123A1E"/>
    <w:rsid w:val="001261B6"/>
    <w:rsid w:val="0012689D"/>
    <w:rsid w:val="001272EB"/>
    <w:rsid w:val="00127EE8"/>
    <w:rsid w:val="00132FAB"/>
    <w:rsid w:val="0014449F"/>
    <w:rsid w:val="00145473"/>
    <w:rsid w:val="0015066E"/>
    <w:rsid w:val="0015131F"/>
    <w:rsid w:val="00155472"/>
    <w:rsid w:val="00177200"/>
    <w:rsid w:val="00183242"/>
    <w:rsid w:val="00183649"/>
    <w:rsid w:val="001873B2"/>
    <w:rsid w:val="001A28B7"/>
    <w:rsid w:val="001A6DCB"/>
    <w:rsid w:val="001A7DD0"/>
    <w:rsid w:val="001B18A7"/>
    <w:rsid w:val="001C58F3"/>
    <w:rsid w:val="001D4C8F"/>
    <w:rsid w:val="001D58E0"/>
    <w:rsid w:val="001F1B7C"/>
    <w:rsid w:val="001F4D1A"/>
    <w:rsid w:val="00210EC2"/>
    <w:rsid w:val="00211CC4"/>
    <w:rsid w:val="00212A34"/>
    <w:rsid w:val="00215CD0"/>
    <w:rsid w:val="002163E7"/>
    <w:rsid w:val="00220D49"/>
    <w:rsid w:val="00222E01"/>
    <w:rsid w:val="00225BD9"/>
    <w:rsid w:val="00244821"/>
    <w:rsid w:val="00244F42"/>
    <w:rsid w:val="00246D2F"/>
    <w:rsid w:val="00261CC3"/>
    <w:rsid w:val="002643CA"/>
    <w:rsid w:val="0027328A"/>
    <w:rsid w:val="00275A40"/>
    <w:rsid w:val="00294676"/>
    <w:rsid w:val="002967C5"/>
    <w:rsid w:val="002A5742"/>
    <w:rsid w:val="002B2D08"/>
    <w:rsid w:val="002C400C"/>
    <w:rsid w:val="002C4836"/>
    <w:rsid w:val="002C5D57"/>
    <w:rsid w:val="002C5E09"/>
    <w:rsid w:val="002D11AA"/>
    <w:rsid w:val="002E17A9"/>
    <w:rsid w:val="002F0361"/>
    <w:rsid w:val="002F6173"/>
    <w:rsid w:val="00304736"/>
    <w:rsid w:val="00304C4C"/>
    <w:rsid w:val="00306D7A"/>
    <w:rsid w:val="00312E32"/>
    <w:rsid w:val="00314024"/>
    <w:rsid w:val="00316078"/>
    <w:rsid w:val="0032422C"/>
    <w:rsid w:val="00325ABA"/>
    <w:rsid w:val="00330132"/>
    <w:rsid w:val="00331F48"/>
    <w:rsid w:val="003321A7"/>
    <w:rsid w:val="00333CE2"/>
    <w:rsid w:val="00336A4F"/>
    <w:rsid w:val="00340FDD"/>
    <w:rsid w:val="00343F9B"/>
    <w:rsid w:val="00344BF6"/>
    <w:rsid w:val="00360D9B"/>
    <w:rsid w:val="00367EC5"/>
    <w:rsid w:val="00380E9A"/>
    <w:rsid w:val="003A1FA8"/>
    <w:rsid w:val="003C4518"/>
    <w:rsid w:val="003D27D0"/>
    <w:rsid w:val="003D2DBF"/>
    <w:rsid w:val="003E0848"/>
    <w:rsid w:val="003E5F2A"/>
    <w:rsid w:val="003F16B1"/>
    <w:rsid w:val="00404C6D"/>
    <w:rsid w:val="004068A2"/>
    <w:rsid w:val="0041285D"/>
    <w:rsid w:val="004138D8"/>
    <w:rsid w:val="004222F6"/>
    <w:rsid w:val="004465D5"/>
    <w:rsid w:val="00446F99"/>
    <w:rsid w:val="00452DF6"/>
    <w:rsid w:val="00460385"/>
    <w:rsid w:val="00462299"/>
    <w:rsid w:val="00465584"/>
    <w:rsid w:val="00467DDB"/>
    <w:rsid w:val="00474F80"/>
    <w:rsid w:val="00477AAA"/>
    <w:rsid w:val="00493AD5"/>
    <w:rsid w:val="004A3820"/>
    <w:rsid w:val="004B343F"/>
    <w:rsid w:val="004B6E57"/>
    <w:rsid w:val="004C3C8E"/>
    <w:rsid w:val="004C5DDA"/>
    <w:rsid w:val="004E1F1F"/>
    <w:rsid w:val="004E28A5"/>
    <w:rsid w:val="004F094D"/>
    <w:rsid w:val="004F4397"/>
    <w:rsid w:val="00502FD3"/>
    <w:rsid w:val="005221CF"/>
    <w:rsid w:val="00525DA5"/>
    <w:rsid w:val="005327F1"/>
    <w:rsid w:val="005329F6"/>
    <w:rsid w:val="00543045"/>
    <w:rsid w:val="00551BEE"/>
    <w:rsid w:val="00552B0A"/>
    <w:rsid w:val="0055534A"/>
    <w:rsid w:val="00556191"/>
    <w:rsid w:val="00561F69"/>
    <w:rsid w:val="00566779"/>
    <w:rsid w:val="005670A9"/>
    <w:rsid w:val="00570BE6"/>
    <w:rsid w:val="005740B1"/>
    <w:rsid w:val="00575881"/>
    <w:rsid w:val="00585FD2"/>
    <w:rsid w:val="00587F5E"/>
    <w:rsid w:val="005902BF"/>
    <w:rsid w:val="005A129C"/>
    <w:rsid w:val="005A591A"/>
    <w:rsid w:val="005B6E83"/>
    <w:rsid w:val="005C1C01"/>
    <w:rsid w:val="005E50DA"/>
    <w:rsid w:val="005E605E"/>
    <w:rsid w:val="005E6FFA"/>
    <w:rsid w:val="005F1187"/>
    <w:rsid w:val="005F6AFE"/>
    <w:rsid w:val="00604DD4"/>
    <w:rsid w:val="00610DA6"/>
    <w:rsid w:val="00612CD3"/>
    <w:rsid w:val="0061710A"/>
    <w:rsid w:val="00621AAD"/>
    <w:rsid w:val="0062780A"/>
    <w:rsid w:val="0064218B"/>
    <w:rsid w:val="0064554B"/>
    <w:rsid w:val="00645D22"/>
    <w:rsid w:val="00650751"/>
    <w:rsid w:val="0065287F"/>
    <w:rsid w:val="00655079"/>
    <w:rsid w:val="00655542"/>
    <w:rsid w:val="00656C8B"/>
    <w:rsid w:val="006654D0"/>
    <w:rsid w:val="0067004C"/>
    <w:rsid w:val="006776B4"/>
    <w:rsid w:val="00677B75"/>
    <w:rsid w:val="00677FEB"/>
    <w:rsid w:val="00680541"/>
    <w:rsid w:val="006825FB"/>
    <w:rsid w:val="0068488E"/>
    <w:rsid w:val="0069671F"/>
    <w:rsid w:val="006A018E"/>
    <w:rsid w:val="006A263E"/>
    <w:rsid w:val="006A73DF"/>
    <w:rsid w:val="006B528B"/>
    <w:rsid w:val="006B6F95"/>
    <w:rsid w:val="006C054B"/>
    <w:rsid w:val="006D4AA9"/>
    <w:rsid w:val="006F3D0D"/>
    <w:rsid w:val="006F5C3F"/>
    <w:rsid w:val="006F5CE3"/>
    <w:rsid w:val="007000F2"/>
    <w:rsid w:val="00712468"/>
    <w:rsid w:val="00712FAC"/>
    <w:rsid w:val="00722BEC"/>
    <w:rsid w:val="00725F2C"/>
    <w:rsid w:val="0073349A"/>
    <w:rsid w:val="00735473"/>
    <w:rsid w:val="0073570D"/>
    <w:rsid w:val="00735BE2"/>
    <w:rsid w:val="00743D2D"/>
    <w:rsid w:val="00745317"/>
    <w:rsid w:val="00751A70"/>
    <w:rsid w:val="00761A1D"/>
    <w:rsid w:val="007623B0"/>
    <w:rsid w:val="00764BA5"/>
    <w:rsid w:val="00766E0E"/>
    <w:rsid w:val="007800A4"/>
    <w:rsid w:val="00783581"/>
    <w:rsid w:val="00794367"/>
    <w:rsid w:val="007A1984"/>
    <w:rsid w:val="007B1090"/>
    <w:rsid w:val="007B3CDD"/>
    <w:rsid w:val="007C2096"/>
    <w:rsid w:val="007C25C0"/>
    <w:rsid w:val="007D2653"/>
    <w:rsid w:val="007E419E"/>
    <w:rsid w:val="007F21AC"/>
    <w:rsid w:val="00807B93"/>
    <w:rsid w:val="00810C92"/>
    <w:rsid w:val="00820B0A"/>
    <w:rsid w:val="008231E2"/>
    <w:rsid w:val="0082404A"/>
    <w:rsid w:val="00824C65"/>
    <w:rsid w:val="00835599"/>
    <w:rsid w:val="00840F14"/>
    <w:rsid w:val="0084502D"/>
    <w:rsid w:val="008513FC"/>
    <w:rsid w:val="00852B53"/>
    <w:rsid w:val="008602B8"/>
    <w:rsid w:val="00871DA8"/>
    <w:rsid w:val="00871FC1"/>
    <w:rsid w:val="008760AA"/>
    <w:rsid w:val="00884468"/>
    <w:rsid w:val="00885E11"/>
    <w:rsid w:val="0088732F"/>
    <w:rsid w:val="0089634F"/>
    <w:rsid w:val="008A0BF9"/>
    <w:rsid w:val="008A2AC0"/>
    <w:rsid w:val="008A4458"/>
    <w:rsid w:val="008A555E"/>
    <w:rsid w:val="008A7A49"/>
    <w:rsid w:val="008B0A67"/>
    <w:rsid w:val="008B1447"/>
    <w:rsid w:val="008B1EA6"/>
    <w:rsid w:val="008B296D"/>
    <w:rsid w:val="008B5669"/>
    <w:rsid w:val="008B63B2"/>
    <w:rsid w:val="008B777D"/>
    <w:rsid w:val="008C0D1C"/>
    <w:rsid w:val="008C2586"/>
    <w:rsid w:val="008F2677"/>
    <w:rsid w:val="0090649A"/>
    <w:rsid w:val="00914903"/>
    <w:rsid w:val="00915096"/>
    <w:rsid w:val="00921D97"/>
    <w:rsid w:val="00932D9F"/>
    <w:rsid w:val="00933E32"/>
    <w:rsid w:val="00941464"/>
    <w:rsid w:val="00943805"/>
    <w:rsid w:val="0094530E"/>
    <w:rsid w:val="009464E3"/>
    <w:rsid w:val="00951E5B"/>
    <w:rsid w:val="00952BE4"/>
    <w:rsid w:val="00970D5F"/>
    <w:rsid w:val="0097161E"/>
    <w:rsid w:val="00972810"/>
    <w:rsid w:val="00994759"/>
    <w:rsid w:val="00994888"/>
    <w:rsid w:val="00997BA2"/>
    <w:rsid w:val="009B26D0"/>
    <w:rsid w:val="009B3B63"/>
    <w:rsid w:val="009B403B"/>
    <w:rsid w:val="009B4B0D"/>
    <w:rsid w:val="009B4F4C"/>
    <w:rsid w:val="009E45C2"/>
    <w:rsid w:val="009E5760"/>
    <w:rsid w:val="009E7609"/>
    <w:rsid w:val="009E763F"/>
    <w:rsid w:val="009E7889"/>
    <w:rsid w:val="009E7907"/>
    <w:rsid w:val="009F3E89"/>
    <w:rsid w:val="009F7FDF"/>
    <w:rsid w:val="00A06E1A"/>
    <w:rsid w:val="00A13890"/>
    <w:rsid w:val="00A13BE3"/>
    <w:rsid w:val="00A145EB"/>
    <w:rsid w:val="00A20AA2"/>
    <w:rsid w:val="00A21F38"/>
    <w:rsid w:val="00A223E9"/>
    <w:rsid w:val="00A27CC1"/>
    <w:rsid w:val="00A32B99"/>
    <w:rsid w:val="00A37DE2"/>
    <w:rsid w:val="00A434C6"/>
    <w:rsid w:val="00A539DA"/>
    <w:rsid w:val="00A5589B"/>
    <w:rsid w:val="00A561B3"/>
    <w:rsid w:val="00A60EA0"/>
    <w:rsid w:val="00A61E8F"/>
    <w:rsid w:val="00A663A4"/>
    <w:rsid w:val="00A75AF1"/>
    <w:rsid w:val="00A7669D"/>
    <w:rsid w:val="00A77150"/>
    <w:rsid w:val="00A80A30"/>
    <w:rsid w:val="00AB05ED"/>
    <w:rsid w:val="00AB1831"/>
    <w:rsid w:val="00AB6422"/>
    <w:rsid w:val="00AC3A35"/>
    <w:rsid w:val="00AC4D97"/>
    <w:rsid w:val="00AC53CD"/>
    <w:rsid w:val="00AD7D34"/>
    <w:rsid w:val="00AE00A5"/>
    <w:rsid w:val="00AE0BFD"/>
    <w:rsid w:val="00AE26B4"/>
    <w:rsid w:val="00AE40D5"/>
    <w:rsid w:val="00AE4A40"/>
    <w:rsid w:val="00AE5631"/>
    <w:rsid w:val="00AF181A"/>
    <w:rsid w:val="00AF2948"/>
    <w:rsid w:val="00AF2E49"/>
    <w:rsid w:val="00AF5002"/>
    <w:rsid w:val="00AF543D"/>
    <w:rsid w:val="00AF7348"/>
    <w:rsid w:val="00B07EFC"/>
    <w:rsid w:val="00B13BB4"/>
    <w:rsid w:val="00B237D2"/>
    <w:rsid w:val="00B26467"/>
    <w:rsid w:val="00B34FB0"/>
    <w:rsid w:val="00B417A7"/>
    <w:rsid w:val="00B43E47"/>
    <w:rsid w:val="00B6061A"/>
    <w:rsid w:val="00B65AD2"/>
    <w:rsid w:val="00B74175"/>
    <w:rsid w:val="00B76557"/>
    <w:rsid w:val="00B82409"/>
    <w:rsid w:val="00B83002"/>
    <w:rsid w:val="00B90976"/>
    <w:rsid w:val="00B9183C"/>
    <w:rsid w:val="00B926A0"/>
    <w:rsid w:val="00B93F98"/>
    <w:rsid w:val="00B94C55"/>
    <w:rsid w:val="00B967F1"/>
    <w:rsid w:val="00BB5FD0"/>
    <w:rsid w:val="00BB734D"/>
    <w:rsid w:val="00BC1A08"/>
    <w:rsid w:val="00BC1D8D"/>
    <w:rsid w:val="00BD21B7"/>
    <w:rsid w:val="00BD3E7C"/>
    <w:rsid w:val="00BD543E"/>
    <w:rsid w:val="00BE2A01"/>
    <w:rsid w:val="00BE4A3E"/>
    <w:rsid w:val="00BF3D67"/>
    <w:rsid w:val="00C05271"/>
    <w:rsid w:val="00C05B00"/>
    <w:rsid w:val="00C05F49"/>
    <w:rsid w:val="00C07127"/>
    <w:rsid w:val="00C07333"/>
    <w:rsid w:val="00C206F7"/>
    <w:rsid w:val="00C20EF1"/>
    <w:rsid w:val="00C27833"/>
    <w:rsid w:val="00C3113F"/>
    <w:rsid w:val="00C37623"/>
    <w:rsid w:val="00C46CC1"/>
    <w:rsid w:val="00C54591"/>
    <w:rsid w:val="00C54F21"/>
    <w:rsid w:val="00C55D66"/>
    <w:rsid w:val="00C72D44"/>
    <w:rsid w:val="00C73065"/>
    <w:rsid w:val="00C90B95"/>
    <w:rsid w:val="00C94B4D"/>
    <w:rsid w:val="00C95646"/>
    <w:rsid w:val="00CA21CB"/>
    <w:rsid w:val="00CA2DB8"/>
    <w:rsid w:val="00CA37EF"/>
    <w:rsid w:val="00CB5C90"/>
    <w:rsid w:val="00CC760F"/>
    <w:rsid w:val="00CC7859"/>
    <w:rsid w:val="00CD0C6C"/>
    <w:rsid w:val="00CD0F06"/>
    <w:rsid w:val="00CD2133"/>
    <w:rsid w:val="00CD29CD"/>
    <w:rsid w:val="00CD5B3B"/>
    <w:rsid w:val="00CE349F"/>
    <w:rsid w:val="00CE7137"/>
    <w:rsid w:val="00CF168F"/>
    <w:rsid w:val="00CF63C2"/>
    <w:rsid w:val="00D01674"/>
    <w:rsid w:val="00D05AE6"/>
    <w:rsid w:val="00D060F7"/>
    <w:rsid w:val="00D06E9C"/>
    <w:rsid w:val="00D1111B"/>
    <w:rsid w:val="00D15677"/>
    <w:rsid w:val="00D2065F"/>
    <w:rsid w:val="00D20A9F"/>
    <w:rsid w:val="00D24614"/>
    <w:rsid w:val="00D36107"/>
    <w:rsid w:val="00D3686F"/>
    <w:rsid w:val="00D37D3D"/>
    <w:rsid w:val="00D52B58"/>
    <w:rsid w:val="00D61E98"/>
    <w:rsid w:val="00D85668"/>
    <w:rsid w:val="00D86F1D"/>
    <w:rsid w:val="00D92C35"/>
    <w:rsid w:val="00D95857"/>
    <w:rsid w:val="00DA21C8"/>
    <w:rsid w:val="00DA627B"/>
    <w:rsid w:val="00DA64E7"/>
    <w:rsid w:val="00DC22B2"/>
    <w:rsid w:val="00DC718F"/>
    <w:rsid w:val="00DD0DFD"/>
    <w:rsid w:val="00DD4BBC"/>
    <w:rsid w:val="00DD71B8"/>
    <w:rsid w:val="00DE15FE"/>
    <w:rsid w:val="00E03FEB"/>
    <w:rsid w:val="00E04E79"/>
    <w:rsid w:val="00E0577F"/>
    <w:rsid w:val="00E060AB"/>
    <w:rsid w:val="00E076F7"/>
    <w:rsid w:val="00E157CD"/>
    <w:rsid w:val="00E24342"/>
    <w:rsid w:val="00E306FB"/>
    <w:rsid w:val="00E3493A"/>
    <w:rsid w:val="00E35C04"/>
    <w:rsid w:val="00E438AA"/>
    <w:rsid w:val="00E464E4"/>
    <w:rsid w:val="00E516C8"/>
    <w:rsid w:val="00E53E9A"/>
    <w:rsid w:val="00E562FC"/>
    <w:rsid w:val="00E56667"/>
    <w:rsid w:val="00E60D8A"/>
    <w:rsid w:val="00E70E39"/>
    <w:rsid w:val="00E753EB"/>
    <w:rsid w:val="00E80D5E"/>
    <w:rsid w:val="00E85E5D"/>
    <w:rsid w:val="00E8783D"/>
    <w:rsid w:val="00E906F1"/>
    <w:rsid w:val="00E9418B"/>
    <w:rsid w:val="00E95C48"/>
    <w:rsid w:val="00EA0F6C"/>
    <w:rsid w:val="00EA64F0"/>
    <w:rsid w:val="00EC7078"/>
    <w:rsid w:val="00EC7C25"/>
    <w:rsid w:val="00EC7CF5"/>
    <w:rsid w:val="00ED2757"/>
    <w:rsid w:val="00ED2E77"/>
    <w:rsid w:val="00ED337A"/>
    <w:rsid w:val="00ED4F48"/>
    <w:rsid w:val="00ED56C3"/>
    <w:rsid w:val="00EE32F2"/>
    <w:rsid w:val="00EE3B2B"/>
    <w:rsid w:val="00EE51C9"/>
    <w:rsid w:val="00EE51E2"/>
    <w:rsid w:val="00EE7E78"/>
    <w:rsid w:val="00EF31C3"/>
    <w:rsid w:val="00F053F0"/>
    <w:rsid w:val="00F101A3"/>
    <w:rsid w:val="00F120DD"/>
    <w:rsid w:val="00F166D5"/>
    <w:rsid w:val="00F25125"/>
    <w:rsid w:val="00F35C7C"/>
    <w:rsid w:val="00F37D89"/>
    <w:rsid w:val="00F420FA"/>
    <w:rsid w:val="00F51FD3"/>
    <w:rsid w:val="00F56471"/>
    <w:rsid w:val="00F6463E"/>
    <w:rsid w:val="00F655D4"/>
    <w:rsid w:val="00F67D20"/>
    <w:rsid w:val="00F72314"/>
    <w:rsid w:val="00F7591A"/>
    <w:rsid w:val="00F845D0"/>
    <w:rsid w:val="00F84E14"/>
    <w:rsid w:val="00F94812"/>
    <w:rsid w:val="00FB0B33"/>
    <w:rsid w:val="00FB2F18"/>
    <w:rsid w:val="00FB6D27"/>
    <w:rsid w:val="00FB6DE6"/>
    <w:rsid w:val="00FC4284"/>
    <w:rsid w:val="00FC6DF8"/>
    <w:rsid w:val="00FD3726"/>
    <w:rsid w:val="00FD6AC3"/>
    <w:rsid w:val="00FE04F6"/>
    <w:rsid w:val="00FE2F2C"/>
    <w:rsid w:val="00FE349A"/>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3CAB2"/>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BF6"/>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BodyTextIndent2">
    <w:name w:val="Body Text Indent 2"/>
    <w:basedOn w:val="Normal"/>
    <w:link w:val="BodyTextIndent2Char"/>
    <w:rsid w:val="0064218B"/>
    <w:pPr>
      <w:spacing w:line="480" w:lineRule="auto"/>
      <w:ind w:left="283"/>
      <w:jc w:val="left"/>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rsid w:val="0064218B"/>
    <w:rPr>
      <w:rFonts w:ascii="Times New Roman" w:eastAsia="Times New Roman" w:hAnsi="Times New Roman"/>
    </w:rPr>
  </w:style>
  <w:style w:type="paragraph" w:styleId="BodyText">
    <w:name w:val="Body Text"/>
    <w:basedOn w:val="Normal"/>
    <w:link w:val="BodyTextChar"/>
    <w:rsid w:val="00CF63C2"/>
    <w:pPr>
      <w:spacing w:line="240" w:lineRule="auto"/>
      <w:ind w:left="0"/>
      <w:jc w:val="left"/>
    </w:pPr>
    <w:rPr>
      <w:rFonts w:ascii="Times New Roman" w:eastAsia="Times New Roman" w:hAnsi="Times New Roman"/>
      <w:sz w:val="24"/>
      <w:szCs w:val="24"/>
      <w:lang w:val="ro-RO" w:eastAsia="ro-RO"/>
    </w:rPr>
  </w:style>
  <w:style w:type="character" w:customStyle="1" w:styleId="BodyTextChar">
    <w:name w:val="Body Text Char"/>
    <w:basedOn w:val="DefaultParagraphFont"/>
    <w:link w:val="BodyText"/>
    <w:rsid w:val="00CF63C2"/>
    <w:rPr>
      <w:rFonts w:ascii="Times New Roman" w:eastAsia="Times New Roman" w:hAnsi="Times New Roman"/>
      <w:sz w:val="24"/>
      <w:szCs w:val="24"/>
      <w:lang w:val="ro-RO" w:eastAsia="ro-RO"/>
    </w:rPr>
  </w:style>
  <w:style w:type="character" w:customStyle="1" w:styleId="apple-style-span">
    <w:name w:val="apple-style-span"/>
    <w:basedOn w:val="DefaultParagraphFont"/>
    <w:rsid w:val="00CF63C2"/>
  </w:style>
  <w:style w:type="paragraph" w:styleId="ListParagraph">
    <w:name w:val="List Paragraph"/>
    <w:basedOn w:val="Normal"/>
    <w:uiPriority w:val="72"/>
    <w:qFormat/>
    <w:rsid w:val="00852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act:27976%2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ct:125680%203964564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DB788-33D8-4A65-99A6-ABDFB815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85</TotalTime>
  <Pages>4</Pages>
  <Words>1801</Words>
  <Characters>10269</Characters>
  <DocSecurity>0</DocSecurity>
  <Lines>85</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12046</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2021-07-12T11:26:00Z</cp:lastPrinted>
  <dcterms:created xsi:type="dcterms:W3CDTF">2021-07-13T12:37:00Z</dcterms:created>
  <dcterms:modified xsi:type="dcterms:W3CDTF">2021-08-17T08:16:00Z</dcterms:modified>
</cp:coreProperties>
</file>