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E800" w14:textId="23DF7197" w:rsidR="002F32AB" w:rsidRPr="0076240B" w:rsidRDefault="002F32AB" w:rsidP="0031766C">
      <w:pPr>
        <w:spacing w:before="80" w:line="312" w:lineRule="auto"/>
        <w:jc w:val="center"/>
        <w:rPr>
          <w:rFonts w:asciiTheme="majorHAnsi" w:hAnsiTheme="majorHAnsi" w:cstheme="majorHAnsi"/>
          <w:b/>
          <w:bCs/>
          <w:sz w:val="24"/>
          <w:szCs w:val="24"/>
          <w:lang w:val="ro-RO"/>
        </w:rPr>
      </w:pPr>
      <w:r w:rsidRPr="00286CF7">
        <w:rPr>
          <w:rFonts w:asciiTheme="majorHAnsi" w:hAnsiTheme="majorHAnsi" w:cstheme="majorHAnsi"/>
          <w:b/>
          <w:bCs/>
          <w:sz w:val="24"/>
          <w:szCs w:val="24"/>
          <w:lang w:val="ro-RO"/>
        </w:rPr>
        <w:t xml:space="preserve">Tratamentul fiscal și contabil al operațiunilor cu </w:t>
      </w:r>
      <w:proofErr w:type="spellStart"/>
      <w:r w:rsidR="00FE7016" w:rsidRPr="00286CF7">
        <w:rPr>
          <w:rFonts w:asciiTheme="majorHAnsi" w:hAnsiTheme="majorHAnsi" w:cstheme="majorHAnsi"/>
          <w:b/>
          <w:bCs/>
          <w:sz w:val="24"/>
          <w:szCs w:val="24"/>
          <w:lang w:val="ro-RO"/>
        </w:rPr>
        <w:t>criptoactive</w:t>
      </w:r>
      <w:proofErr w:type="spellEnd"/>
      <w:r w:rsidRPr="00286CF7">
        <w:rPr>
          <w:rFonts w:asciiTheme="majorHAnsi" w:hAnsiTheme="majorHAnsi" w:cstheme="majorHAnsi"/>
          <w:b/>
          <w:bCs/>
          <w:sz w:val="24"/>
          <w:szCs w:val="24"/>
          <w:lang w:val="ro-RO"/>
        </w:rPr>
        <w:t xml:space="preserve"> –</w:t>
      </w:r>
      <w:r w:rsidR="00FE7016" w:rsidRPr="00286CF7">
        <w:rPr>
          <w:rFonts w:asciiTheme="majorHAnsi" w:hAnsiTheme="majorHAnsi" w:cstheme="majorHAnsi"/>
          <w:b/>
          <w:bCs/>
          <w:sz w:val="24"/>
          <w:szCs w:val="24"/>
          <w:lang w:val="ro-RO"/>
        </w:rPr>
        <w:t xml:space="preserve"> </w:t>
      </w:r>
      <w:r w:rsidRPr="00286CF7">
        <w:rPr>
          <w:rFonts w:asciiTheme="majorHAnsi" w:hAnsiTheme="majorHAnsi" w:cstheme="majorHAnsi"/>
          <w:b/>
          <w:bCs/>
          <w:sz w:val="24"/>
          <w:szCs w:val="24"/>
          <w:lang w:val="ro-RO"/>
        </w:rPr>
        <w:t>puține certitudini, multe necunoscute</w:t>
      </w:r>
    </w:p>
    <w:p w14:paraId="410012BB" w14:textId="77777777" w:rsidR="00360357" w:rsidRDefault="00360357" w:rsidP="0031766C">
      <w:pPr>
        <w:spacing w:before="80" w:line="312" w:lineRule="auto"/>
        <w:jc w:val="both"/>
        <w:rPr>
          <w:rFonts w:asciiTheme="majorHAnsi" w:hAnsiTheme="majorHAnsi" w:cstheme="majorHAnsi"/>
          <w:i/>
          <w:iCs/>
          <w:lang w:val="ro-RO"/>
        </w:rPr>
      </w:pPr>
    </w:p>
    <w:p w14:paraId="37063181" w14:textId="3BE0FABE" w:rsidR="0002725C" w:rsidRDefault="004A0CDB" w:rsidP="0031766C">
      <w:pPr>
        <w:spacing w:before="80" w:line="312" w:lineRule="auto"/>
        <w:jc w:val="both"/>
        <w:rPr>
          <w:rFonts w:asciiTheme="majorHAnsi" w:hAnsiTheme="majorHAnsi" w:cstheme="majorHAnsi"/>
          <w:lang w:val="ro-RO"/>
        </w:rPr>
      </w:pPr>
      <w:r>
        <w:rPr>
          <w:rFonts w:asciiTheme="majorHAnsi" w:hAnsiTheme="majorHAnsi" w:cstheme="majorHAnsi"/>
          <w:i/>
          <w:iCs/>
          <w:lang w:val="ro-RO"/>
        </w:rPr>
        <w:t xml:space="preserve">Material de opinie de </w:t>
      </w:r>
      <w:r w:rsidR="00FE7016" w:rsidRPr="00525B3A">
        <w:rPr>
          <w:rFonts w:asciiTheme="majorHAnsi" w:hAnsiTheme="majorHAnsi" w:cstheme="majorHAnsi"/>
          <w:i/>
          <w:iCs/>
          <w:lang w:val="ro-RO"/>
        </w:rPr>
        <w:t>Angela Borza, Manager</w:t>
      </w:r>
      <w:r>
        <w:rPr>
          <w:rFonts w:asciiTheme="majorHAnsi" w:hAnsiTheme="majorHAnsi" w:cstheme="majorHAnsi"/>
          <w:i/>
          <w:iCs/>
          <w:lang w:val="ro-RO"/>
        </w:rPr>
        <w:t>,</w:t>
      </w:r>
      <w:r w:rsidR="00FE7016" w:rsidRPr="00525B3A">
        <w:rPr>
          <w:rFonts w:asciiTheme="majorHAnsi" w:hAnsiTheme="majorHAnsi" w:cstheme="majorHAnsi"/>
          <w:i/>
          <w:iCs/>
          <w:lang w:val="ro-RO"/>
        </w:rPr>
        <w:t xml:space="preserve"> Taxe Directe, </w:t>
      </w:r>
      <w:r>
        <w:rPr>
          <w:rFonts w:asciiTheme="majorHAnsi" w:hAnsiTheme="majorHAnsi" w:cstheme="majorHAnsi"/>
          <w:i/>
          <w:iCs/>
          <w:lang w:val="ro-RO"/>
        </w:rPr>
        <w:t xml:space="preserve">și </w:t>
      </w:r>
      <w:r w:rsidR="00FE7016" w:rsidRPr="00525B3A">
        <w:rPr>
          <w:rFonts w:asciiTheme="majorHAnsi" w:hAnsiTheme="majorHAnsi" w:cstheme="majorHAnsi"/>
          <w:i/>
          <w:iCs/>
          <w:lang w:val="ro-RO"/>
        </w:rPr>
        <w:t xml:space="preserve">Monica </w:t>
      </w:r>
      <w:proofErr w:type="spellStart"/>
      <w:r w:rsidR="00FE7016" w:rsidRPr="00525B3A">
        <w:rPr>
          <w:rFonts w:asciiTheme="majorHAnsi" w:hAnsiTheme="majorHAnsi" w:cstheme="majorHAnsi"/>
          <w:i/>
          <w:iCs/>
          <w:lang w:val="ro-RO"/>
        </w:rPr>
        <w:t>Zipiș</w:t>
      </w:r>
      <w:proofErr w:type="spellEnd"/>
      <w:r w:rsidR="00FE7016" w:rsidRPr="00525B3A">
        <w:rPr>
          <w:rFonts w:asciiTheme="majorHAnsi" w:hAnsiTheme="majorHAnsi" w:cstheme="majorHAnsi"/>
          <w:i/>
          <w:iCs/>
          <w:lang w:val="ro-RO"/>
        </w:rPr>
        <w:t>, Consultant Senior</w:t>
      </w:r>
      <w:r>
        <w:rPr>
          <w:rFonts w:asciiTheme="majorHAnsi" w:hAnsiTheme="majorHAnsi" w:cstheme="majorHAnsi"/>
          <w:i/>
          <w:iCs/>
          <w:lang w:val="ro-RO"/>
        </w:rPr>
        <w:t>,</w:t>
      </w:r>
      <w:r w:rsidR="00FE7016" w:rsidRPr="00525B3A">
        <w:rPr>
          <w:rFonts w:asciiTheme="majorHAnsi" w:hAnsiTheme="majorHAnsi" w:cstheme="majorHAnsi"/>
          <w:i/>
          <w:iCs/>
          <w:lang w:val="ro-RO"/>
        </w:rPr>
        <w:t xml:space="preserve"> Taxe Indirecte, Deloitte România</w:t>
      </w:r>
    </w:p>
    <w:p w14:paraId="1901EF25" w14:textId="77777777" w:rsidR="00360357" w:rsidRDefault="00360357" w:rsidP="0031766C">
      <w:pPr>
        <w:spacing w:before="80" w:line="312" w:lineRule="auto"/>
        <w:jc w:val="both"/>
        <w:rPr>
          <w:rFonts w:asciiTheme="majorHAnsi" w:hAnsiTheme="majorHAnsi" w:cstheme="majorHAnsi"/>
          <w:lang w:val="ro-RO"/>
        </w:rPr>
      </w:pPr>
    </w:p>
    <w:p w14:paraId="12DDA93F" w14:textId="24036892" w:rsidR="000F298B" w:rsidRDefault="0002725C" w:rsidP="0031766C">
      <w:pPr>
        <w:spacing w:before="80" w:line="312" w:lineRule="auto"/>
        <w:jc w:val="both"/>
        <w:rPr>
          <w:rFonts w:asciiTheme="majorHAnsi" w:hAnsiTheme="majorHAnsi" w:cstheme="majorHAnsi"/>
          <w:lang w:val="ro-RO"/>
        </w:rPr>
      </w:pPr>
      <w:r>
        <w:rPr>
          <w:rFonts w:asciiTheme="majorHAnsi" w:hAnsiTheme="majorHAnsi" w:cstheme="majorHAnsi"/>
          <w:lang w:val="ro-RO"/>
        </w:rPr>
        <w:t xml:space="preserve">Operațiunile cu </w:t>
      </w:r>
      <w:proofErr w:type="spellStart"/>
      <w:r>
        <w:rPr>
          <w:rFonts w:asciiTheme="majorHAnsi" w:hAnsiTheme="majorHAnsi" w:cstheme="majorHAnsi"/>
          <w:lang w:val="ro-RO"/>
        </w:rPr>
        <w:t>criptoactive</w:t>
      </w:r>
      <w:proofErr w:type="spellEnd"/>
      <w:r>
        <w:rPr>
          <w:rFonts w:asciiTheme="majorHAnsi" w:hAnsiTheme="majorHAnsi" w:cstheme="majorHAnsi"/>
          <w:lang w:val="ro-RO"/>
        </w:rPr>
        <w:t xml:space="preserve"> sunt tot mai des utilizate în statele membre ale Uniunii Europene (UE), motiv pentru care autoritățile lucrează la elaborarea unor reglementări care să stabilească tratamentul fiscal și contabil al tranzacțiilor care implică astfel de active. Recent, P</w:t>
      </w:r>
      <w:r w:rsidR="00FE7016" w:rsidRPr="00525B3A">
        <w:rPr>
          <w:rFonts w:asciiTheme="majorHAnsi" w:hAnsiTheme="majorHAnsi" w:cstheme="majorHAnsi"/>
          <w:lang w:val="ro-RO"/>
        </w:rPr>
        <w:t xml:space="preserve">arlamentul European și Consiliul </w:t>
      </w:r>
      <w:r>
        <w:rPr>
          <w:rFonts w:asciiTheme="majorHAnsi" w:hAnsiTheme="majorHAnsi" w:cstheme="majorHAnsi"/>
          <w:lang w:val="ro-RO"/>
        </w:rPr>
        <w:t xml:space="preserve">UE </w:t>
      </w:r>
      <w:r w:rsidR="00FE7016" w:rsidRPr="00525B3A">
        <w:rPr>
          <w:rFonts w:asciiTheme="majorHAnsi" w:hAnsiTheme="majorHAnsi" w:cstheme="majorHAnsi"/>
          <w:lang w:val="ro-RO"/>
        </w:rPr>
        <w:t xml:space="preserve">au ajuns la un acord provizoriu </w:t>
      </w:r>
      <w:r>
        <w:rPr>
          <w:rFonts w:asciiTheme="majorHAnsi" w:hAnsiTheme="majorHAnsi" w:cstheme="majorHAnsi"/>
          <w:lang w:val="ro-RO"/>
        </w:rPr>
        <w:t xml:space="preserve">pe </w:t>
      </w:r>
      <w:r w:rsidR="00FE7016" w:rsidRPr="00525B3A">
        <w:rPr>
          <w:rFonts w:asciiTheme="majorHAnsi" w:hAnsiTheme="majorHAnsi" w:cstheme="majorHAnsi"/>
          <w:lang w:val="ro-RO"/>
        </w:rPr>
        <w:t>un proiect de lege</w:t>
      </w:r>
      <w:r w:rsidR="002F32AB">
        <w:rPr>
          <w:rFonts w:asciiTheme="majorHAnsi" w:hAnsiTheme="majorHAnsi" w:cstheme="majorHAnsi"/>
          <w:lang w:val="ro-RO"/>
        </w:rPr>
        <w:t xml:space="preserve"> </w:t>
      </w:r>
      <w:r w:rsidR="00FE7016" w:rsidRPr="00525B3A">
        <w:rPr>
          <w:rFonts w:asciiTheme="majorHAnsi" w:hAnsiTheme="majorHAnsi" w:cstheme="majorHAnsi"/>
          <w:lang w:val="ro-RO"/>
        </w:rPr>
        <w:t xml:space="preserve">care </w:t>
      </w:r>
      <w:r>
        <w:rPr>
          <w:rFonts w:asciiTheme="majorHAnsi" w:hAnsiTheme="majorHAnsi" w:cstheme="majorHAnsi"/>
          <w:lang w:val="ro-RO"/>
        </w:rPr>
        <w:t xml:space="preserve">prevede </w:t>
      </w:r>
      <w:r w:rsidR="00FE7016" w:rsidRPr="00525B3A">
        <w:rPr>
          <w:rFonts w:asciiTheme="majorHAnsi" w:hAnsiTheme="majorHAnsi" w:cstheme="majorHAnsi"/>
          <w:lang w:val="ro-RO"/>
        </w:rPr>
        <w:t xml:space="preserve">că </w:t>
      </w:r>
      <w:r w:rsidR="00FE7016" w:rsidRPr="00443A7E">
        <w:rPr>
          <w:rFonts w:asciiTheme="majorHAnsi" w:hAnsiTheme="majorHAnsi" w:cstheme="majorHAnsi"/>
          <w:b/>
          <w:bCs/>
          <w:lang w:val="ro-RO"/>
        </w:rPr>
        <w:t xml:space="preserve">transferurile de </w:t>
      </w:r>
      <w:proofErr w:type="spellStart"/>
      <w:r w:rsidR="00FE7016" w:rsidRPr="00443A7E">
        <w:rPr>
          <w:rFonts w:asciiTheme="majorHAnsi" w:hAnsiTheme="majorHAnsi" w:cstheme="majorHAnsi"/>
          <w:b/>
          <w:bCs/>
          <w:lang w:val="ro-RO"/>
        </w:rPr>
        <w:t>criptoactive</w:t>
      </w:r>
      <w:proofErr w:type="spellEnd"/>
      <w:r w:rsidR="00FE7016" w:rsidRPr="00443A7E">
        <w:rPr>
          <w:rFonts w:asciiTheme="majorHAnsi" w:hAnsiTheme="majorHAnsi" w:cstheme="majorHAnsi"/>
          <w:b/>
          <w:bCs/>
          <w:lang w:val="ro-RO"/>
        </w:rPr>
        <w:t xml:space="preserve"> pot fi urmărite</w:t>
      </w:r>
      <w:r w:rsidR="00FE7016" w:rsidRPr="00525B3A">
        <w:rPr>
          <w:rFonts w:asciiTheme="majorHAnsi" w:hAnsiTheme="majorHAnsi" w:cstheme="majorHAnsi"/>
          <w:lang w:val="ro-RO"/>
        </w:rPr>
        <w:t xml:space="preserve">, iar </w:t>
      </w:r>
      <w:r w:rsidR="00FE7016" w:rsidRPr="00443A7E">
        <w:rPr>
          <w:rFonts w:asciiTheme="majorHAnsi" w:hAnsiTheme="majorHAnsi" w:cstheme="majorHAnsi"/>
          <w:b/>
          <w:bCs/>
          <w:lang w:val="ro-RO"/>
        </w:rPr>
        <w:t xml:space="preserve">tranzacțiile </w:t>
      </w:r>
      <w:r w:rsidR="002F32AB" w:rsidRPr="00443A7E">
        <w:rPr>
          <w:rFonts w:asciiTheme="majorHAnsi" w:hAnsiTheme="majorHAnsi" w:cstheme="majorHAnsi"/>
          <w:b/>
          <w:bCs/>
          <w:lang w:val="ro-RO"/>
        </w:rPr>
        <w:t xml:space="preserve">considerate </w:t>
      </w:r>
      <w:r w:rsidR="00FE7016" w:rsidRPr="00443A7E">
        <w:rPr>
          <w:rFonts w:asciiTheme="majorHAnsi" w:hAnsiTheme="majorHAnsi" w:cstheme="majorHAnsi"/>
          <w:b/>
          <w:bCs/>
          <w:lang w:val="ro-RO"/>
        </w:rPr>
        <w:t>suspecte</w:t>
      </w:r>
      <w:r w:rsidR="00174F8A" w:rsidRPr="00443A7E">
        <w:rPr>
          <w:rFonts w:asciiTheme="majorHAnsi" w:hAnsiTheme="majorHAnsi" w:cstheme="majorHAnsi"/>
          <w:b/>
          <w:bCs/>
          <w:lang w:val="ro-RO"/>
        </w:rPr>
        <w:t>,</w:t>
      </w:r>
      <w:r w:rsidR="00FE7016" w:rsidRPr="00443A7E">
        <w:rPr>
          <w:rFonts w:asciiTheme="majorHAnsi" w:hAnsiTheme="majorHAnsi" w:cstheme="majorHAnsi"/>
          <w:b/>
          <w:bCs/>
          <w:lang w:val="ro-RO"/>
        </w:rPr>
        <w:t xml:space="preserve"> blocate</w:t>
      </w:r>
      <w:r w:rsidR="00FE7016" w:rsidRPr="00525B3A">
        <w:rPr>
          <w:rFonts w:asciiTheme="majorHAnsi" w:hAnsiTheme="majorHAnsi" w:cstheme="majorHAnsi"/>
          <w:lang w:val="ro-RO"/>
        </w:rPr>
        <w:t>.</w:t>
      </w:r>
      <w:r w:rsidR="000F298B">
        <w:rPr>
          <w:rFonts w:asciiTheme="majorHAnsi" w:hAnsiTheme="majorHAnsi" w:cstheme="majorHAnsi"/>
          <w:lang w:val="ro-RO"/>
        </w:rPr>
        <w:t xml:space="preserve"> În plus, la nivelul UE există </w:t>
      </w:r>
      <w:r w:rsidR="002F32AB">
        <w:rPr>
          <w:rFonts w:asciiTheme="majorHAnsi" w:hAnsiTheme="majorHAnsi" w:cstheme="majorHAnsi"/>
          <w:lang w:val="ro-RO"/>
        </w:rPr>
        <w:t>o propunere de r</w:t>
      </w:r>
      <w:r w:rsidR="00525B3A" w:rsidRPr="00525B3A">
        <w:rPr>
          <w:rFonts w:asciiTheme="majorHAnsi" w:hAnsiTheme="majorHAnsi" w:cstheme="majorHAnsi"/>
          <w:lang w:val="ro-RO"/>
        </w:rPr>
        <w:t xml:space="preserve">egulament privind piețele de </w:t>
      </w:r>
      <w:r w:rsidR="000F298B">
        <w:rPr>
          <w:rFonts w:asciiTheme="majorHAnsi" w:hAnsiTheme="majorHAnsi" w:cstheme="majorHAnsi"/>
          <w:lang w:val="ro-RO"/>
        </w:rPr>
        <w:t>active de acest gen. Dar</w:t>
      </w:r>
      <w:r w:rsidR="002F32AB">
        <w:rPr>
          <w:rFonts w:asciiTheme="majorHAnsi" w:hAnsiTheme="majorHAnsi" w:cstheme="majorHAnsi"/>
          <w:lang w:val="ro-RO"/>
        </w:rPr>
        <w:t>,</w:t>
      </w:r>
      <w:r w:rsidR="000F298B">
        <w:rPr>
          <w:rFonts w:asciiTheme="majorHAnsi" w:hAnsiTheme="majorHAnsi" w:cstheme="majorHAnsi"/>
          <w:lang w:val="ro-RO"/>
        </w:rPr>
        <w:t xml:space="preserve"> până la definitivarea cadrului legal, </w:t>
      </w:r>
      <w:r w:rsidR="00E9353C" w:rsidRPr="00E9353C">
        <w:rPr>
          <w:rFonts w:asciiTheme="majorHAnsi" w:hAnsiTheme="majorHAnsi" w:cstheme="majorHAnsi"/>
          <w:lang w:val="ro-RO"/>
        </w:rPr>
        <w:t>utilizat</w:t>
      </w:r>
      <w:r w:rsidR="000F298B" w:rsidRPr="00E9353C">
        <w:rPr>
          <w:rFonts w:asciiTheme="majorHAnsi" w:hAnsiTheme="majorHAnsi" w:cstheme="majorHAnsi"/>
          <w:lang w:val="ro-RO"/>
        </w:rPr>
        <w:t xml:space="preserve">orii de </w:t>
      </w:r>
      <w:proofErr w:type="spellStart"/>
      <w:r w:rsidR="000F298B" w:rsidRPr="00E9353C">
        <w:rPr>
          <w:rFonts w:asciiTheme="majorHAnsi" w:hAnsiTheme="majorHAnsi" w:cstheme="majorHAnsi"/>
          <w:lang w:val="ro-RO"/>
        </w:rPr>
        <w:t>criptoactive</w:t>
      </w:r>
      <w:proofErr w:type="spellEnd"/>
      <w:r w:rsidR="000F298B" w:rsidRPr="00E0304E">
        <w:rPr>
          <w:rFonts w:asciiTheme="majorHAnsi" w:hAnsiTheme="majorHAnsi" w:cstheme="majorHAnsi"/>
          <w:lang w:val="ro-RO"/>
        </w:rPr>
        <w:t xml:space="preserve"> se</w:t>
      </w:r>
      <w:r w:rsidR="000F298B">
        <w:rPr>
          <w:rFonts w:asciiTheme="majorHAnsi" w:hAnsiTheme="majorHAnsi" w:cstheme="majorHAnsi"/>
          <w:lang w:val="ro-RO"/>
        </w:rPr>
        <w:t xml:space="preserve"> pot ghida după un set de recomandări</w:t>
      </w:r>
      <w:r w:rsidR="00300DA6">
        <w:rPr>
          <w:rFonts w:asciiTheme="majorHAnsi" w:hAnsiTheme="majorHAnsi" w:cstheme="majorHAnsi"/>
          <w:lang w:val="ro-RO"/>
        </w:rPr>
        <w:t xml:space="preserve"> și</w:t>
      </w:r>
      <w:r w:rsidR="004E3CC4">
        <w:rPr>
          <w:rFonts w:asciiTheme="majorHAnsi" w:hAnsiTheme="majorHAnsi" w:cstheme="majorHAnsi"/>
          <w:lang w:val="ro-RO"/>
        </w:rPr>
        <w:t xml:space="preserve"> principii </w:t>
      </w:r>
      <w:r w:rsidR="000F298B">
        <w:rPr>
          <w:rFonts w:asciiTheme="majorHAnsi" w:hAnsiTheme="majorHAnsi" w:cstheme="majorHAnsi"/>
          <w:lang w:val="ro-RO"/>
        </w:rPr>
        <w:t xml:space="preserve">care, în anumite situații, au putere de lege. </w:t>
      </w:r>
    </w:p>
    <w:p w14:paraId="501C90B7" w14:textId="6D1B569A" w:rsidR="00FE7016" w:rsidRPr="00525B3A" w:rsidRDefault="000F298B" w:rsidP="0031766C">
      <w:pPr>
        <w:spacing w:before="80" w:line="312" w:lineRule="auto"/>
        <w:jc w:val="both"/>
        <w:rPr>
          <w:rFonts w:asciiTheme="majorHAnsi" w:hAnsiTheme="majorHAnsi" w:cstheme="majorHAnsi"/>
          <w:lang w:val="ro-RO"/>
        </w:rPr>
      </w:pPr>
      <w:r>
        <w:rPr>
          <w:rFonts w:asciiTheme="majorHAnsi" w:hAnsiTheme="majorHAnsi" w:cstheme="majorHAnsi"/>
          <w:lang w:val="ro-RO"/>
        </w:rPr>
        <w:t xml:space="preserve">În prezent, </w:t>
      </w:r>
      <w:r w:rsidR="00FE7016" w:rsidRPr="00525B3A">
        <w:rPr>
          <w:rFonts w:asciiTheme="majorHAnsi" w:hAnsiTheme="majorHAnsi" w:cstheme="majorHAnsi"/>
          <w:lang w:val="ro-RO"/>
        </w:rPr>
        <w:t>operațiuni</w:t>
      </w:r>
      <w:r>
        <w:rPr>
          <w:rFonts w:asciiTheme="majorHAnsi" w:hAnsiTheme="majorHAnsi" w:cstheme="majorHAnsi"/>
          <w:lang w:val="ro-RO"/>
        </w:rPr>
        <w:t xml:space="preserve">le de acest gen </w:t>
      </w:r>
      <w:r w:rsidR="00FE7016" w:rsidRPr="00443A7E">
        <w:rPr>
          <w:rFonts w:asciiTheme="majorHAnsi" w:hAnsiTheme="majorHAnsi" w:cstheme="majorHAnsi"/>
          <w:b/>
          <w:bCs/>
          <w:lang w:val="ro-RO"/>
        </w:rPr>
        <w:t>nu sunt monitorizate din punct de vedere fiscal și contabil</w:t>
      </w:r>
      <w:r>
        <w:rPr>
          <w:rFonts w:asciiTheme="majorHAnsi" w:hAnsiTheme="majorHAnsi" w:cstheme="majorHAnsi"/>
          <w:lang w:val="ro-RO"/>
        </w:rPr>
        <w:t xml:space="preserve">, dar </w:t>
      </w:r>
      <w:r w:rsidR="00FE7016" w:rsidRPr="00525B3A">
        <w:rPr>
          <w:rFonts w:asciiTheme="majorHAnsi" w:hAnsiTheme="majorHAnsi" w:cstheme="majorHAnsi"/>
          <w:lang w:val="ro-RO"/>
        </w:rPr>
        <w:t>jurisprudența</w:t>
      </w:r>
      <w:r w:rsidR="00FE7016" w:rsidRPr="00525B3A">
        <w:rPr>
          <w:rFonts w:asciiTheme="majorHAnsi" w:hAnsiTheme="majorHAnsi" w:cstheme="majorHAnsi"/>
          <w:shd w:val="clear" w:color="auto" w:fill="FFFFFF"/>
          <w:lang w:val="ro-RO"/>
        </w:rPr>
        <w:t xml:space="preserve"> Curții de Justiție a Uniunii Europene (CJUE) și îndrumări</w:t>
      </w:r>
      <w:r>
        <w:rPr>
          <w:rFonts w:asciiTheme="majorHAnsi" w:hAnsiTheme="majorHAnsi" w:cstheme="majorHAnsi"/>
          <w:shd w:val="clear" w:color="auto" w:fill="FFFFFF"/>
          <w:lang w:val="ro-RO"/>
        </w:rPr>
        <w:t>le</w:t>
      </w:r>
      <w:r w:rsidR="00FE7016" w:rsidRPr="00525B3A">
        <w:rPr>
          <w:rFonts w:asciiTheme="majorHAnsi" w:hAnsiTheme="majorHAnsi" w:cstheme="majorHAnsi"/>
          <w:shd w:val="clear" w:color="auto" w:fill="FFFFFF"/>
          <w:lang w:val="ro-RO"/>
        </w:rPr>
        <w:t xml:space="preserve"> aplicabile la nivelul Uniunii Europene (</w:t>
      </w:r>
      <w:r>
        <w:rPr>
          <w:rFonts w:asciiTheme="majorHAnsi" w:hAnsiTheme="majorHAnsi" w:cstheme="majorHAnsi"/>
          <w:shd w:val="clear" w:color="auto" w:fill="FFFFFF"/>
          <w:lang w:val="ro-RO"/>
        </w:rPr>
        <w:t>„</w:t>
      </w:r>
      <w:proofErr w:type="spellStart"/>
      <w:r w:rsidR="00FE7016" w:rsidRPr="00525B3A">
        <w:rPr>
          <w:rFonts w:asciiTheme="majorHAnsi" w:hAnsiTheme="majorHAnsi" w:cstheme="majorHAnsi"/>
          <w:shd w:val="clear" w:color="auto" w:fill="FFFFFF"/>
          <w:lang w:val="ro-RO"/>
        </w:rPr>
        <w:t>Working</w:t>
      </w:r>
      <w:proofErr w:type="spellEnd"/>
      <w:r w:rsidR="00FE7016" w:rsidRPr="00525B3A">
        <w:rPr>
          <w:rFonts w:asciiTheme="majorHAnsi" w:hAnsiTheme="majorHAnsi" w:cstheme="majorHAnsi"/>
          <w:shd w:val="clear" w:color="auto" w:fill="FFFFFF"/>
          <w:lang w:val="ro-RO"/>
        </w:rPr>
        <w:t xml:space="preserve"> </w:t>
      </w:r>
      <w:proofErr w:type="spellStart"/>
      <w:r w:rsidR="00FE7016" w:rsidRPr="00525B3A">
        <w:rPr>
          <w:rFonts w:asciiTheme="majorHAnsi" w:hAnsiTheme="majorHAnsi" w:cstheme="majorHAnsi"/>
          <w:shd w:val="clear" w:color="auto" w:fill="FFFFFF"/>
          <w:lang w:val="ro-RO"/>
        </w:rPr>
        <w:t>Papers</w:t>
      </w:r>
      <w:proofErr w:type="spellEnd"/>
      <w:r w:rsidR="00FE7016" w:rsidRPr="00525B3A">
        <w:rPr>
          <w:rFonts w:asciiTheme="majorHAnsi" w:hAnsiTheme="majorHAnsi" w:cstheme="majorHAnsi"/>
          <w:shd w:val="clear" w:color="auto" w:fill="FFFFFF"/>
          <w:lang w:val="ro-RO"/>
        </w:rPr>
        <w:t xml:space="preserve">” ale Comitetului de TVA din cadrul Comisiei Europene) </w:t>
      </w:r>
      <w:r>
        <w:rPr>
          <w:rFonts w:asciiTheme="majorHAnsi" w:hAnsiTheme="majorHAnsi" w:cstheme="majorHAnsi"/>
          <w:shd w:val="clear" w:color="auto" w:fill="FFFFFF"/>
          <w:lang w:val="ro-RO"/>
        </w:rPr>
        <w:t xml:space="preserve">conțin o serie de </w:t>
      </w:r>
      <w:r w:rsidR="00FE7016" w:rsidRPr="00525B3A">
        <w:rPr>
          <w:rFonts w:asciiTheme="majorHAnsi" w:hAnsiTheme="majorHAnsi" w:cstheme="majorHAnsi"/>
          <w:shd w:val="clear" w:color="auto" w:fill="FFFFFF"/>
          <w:lang w:val="ro-RO"/>
        </w:rPr>
        <w:t xml:space="preserve">clarificări cu privire la tratamentul de TVA al anumitor tipuri de operațiuni ce vizează </w:t>
      </w:r>
      <w:proofErr w:type="spellStart"/>
      <w:r w:rsidR="00FE7016" w:rsidRPr="00525B3A">
        <w:rPr>
          <w:rFonts w:asciiTheme="majorHAnsi" w:hAnsiTheme="majorHAnsi" w:cstheme="majorHAnsi"/>
          <w:shd w:val="clear" w:color="auto" w:fill="FFFFFF"/>
          <w:lang w:val="ro-RO"/>
        </w:rPr>
        <w:t>criptoactivele</w:t>
      </w:r>
      <w:proofErr w:type="spellEnd"/>
      <w:r w:rsidR="00FE7016" w:rsidRPr="00525B3A">
        <w:rPr>
          <w:rFonts w:asciiTheme="majorHAnsi" w:hAnsiTheme="majorHAnsi" w:cstheme="majorHAnsi"/>
          <w:shd w:val="clear" w:color="auto" w:fill="FFFFFF"/>
          <w:lang w:val="ro-RO"/>
        </w:rPr>
        <w:t>.</w:t>
      </w:r>
    </w:p>
    <w:p w14:paraId="186871A3" w14:textId="3647129A" w:rsidR="00BE2DC3" w:rsidRDefault="00FE7016" w:rsidP="0031766C">
      <w:pPr>
        <w:spacing w:before="80" w:line="312" w:lineRule="auto"/>
        <w:jc w:val="both"/>
        <w:rPr>
          <w:rFonts w:asciiTheme="majorHAnsi" w:hAnsiTheme="majorHAnsi" w:cstheme="majorHAnsi"/>
          <w:shd w:val="clear" w:color="auto" w:fill="FFFFFF"/>
          <w:lang w:val="ro-RO"/>
        </w:rPr>
      </w:pPr>
      <w:r w:rsidRPr="00FB38E3">
        <w:rPr>
          <w:rFonts w:asciiTheme="majorHAnsi" w:hAnsiTheme="majorHAnsi" w:cstheme="majorHAnsi"/>
          <w:shd w:val="clear" w:color="auto" w:fill="FFFFFF"/>
          <w:lang w:val="ro-RO"/>
        </w:rPr>
        <w:t>Hotărârile C</w:t>
      </w:r>
      <w:r w:rsidR="000F298B" w:rsidRPr="00FB38E3">
        <w:rPr>
          <w:rFonts w:asciiTheme="majorHAnsi" w:hAnsiTheme="majorHAnsi" w:cstheme="majorHAnsi"/>
          <w:shd w:val="clear" w:color="auto" w:fill="FFFFFF"/>
          <w:lang w:val="ro-RO"/>
        </w:rPr>
        <w:t>JUE</w:t>
      </w:r>
      <w:r w:rsidRPr="00FB38E3">
        <w:rPr>
          <w:rFonts w:asciiTheme="majorHAnsi" w:hAnsiTheme="majorHAnsi" w:cstheme="majorHAnsi"/>
          <w:shd w:val="clear" w:color="auto" w:fill="FFFFFF"/>
          <w:lang w:val="ro-RO"/>
        </w:rPr>
        <w:t xml:space="preserve"> sunt direct aplicabile </w:t>
      </w:r>
      <w:r w:rsidR="000F298B" w:rsidRPr="00FB38E3">
        <w:rPr>
          <w:rFonts w:asciiTheme="majorHAnsi" w:hAnsiTheme="majorHAnsi" w:cstheme="majorHAnsi"/>
          <w:shd w:val="clear" w:color="auto" w:fill="FFFFFF"/>
          <w:lang w:val="ro-RO"/>
        </w:rPr>
        <w:t>s</w:t>
      </w:r>
      <w:r w:rsidRPr="00FB38E3">
        <w:rPr>
          <w:rFonts w:asciiTheme="majorHAnsi" w:hAnsiTheme="majorHAnsi" w:cstheme="majorHAnsi"/>
          <w:shd w:val="clear" w:color="auto" w:fill="FFFFFF"/>
          <w:lang w:val="ro-RO"/>
        </w:rPr>
        <w:t xml:space="preserve">tatelor </w:t>
      </w:r>
      <w:r w:rsidR="000F298B" w:rsidRPr="00FB38E3">
        <w:rPr>
          <w:rFonts w:asciiTheme="majorHAnsi" w:hAnsiTheme="majorHAnsi" w:cstheme="majorHAnsi"/>
          <w:shd w:val="clear" w:color="auto" w:fill="FFFFFF"/>
          <w:lang w:val="ro-RO"/>
        </w:rPr>
        <w:t>m</w:t>
      </w:r>
      <w:r w:rsidRPr="00FB38E3">
        <w:rPr>
          <w:rFonts w:asciiTheme="majorHAnsi" w:hAnsiTheme="majorHAnsi" w:cstheme="majorHAnsi"/>
          <w:shd w:val="clear" w:color="auto" w:fill="FFFFFF"/>
          <w:lang w:val="ro-RO"/>
        </w:rPr>
        <w:t>embre ale U</w:t>
      </w:r>
      <w:r w:rsidR="000F298B" w:rsidRPr="00FB38E3">
        <w:rPr>
          <w:rFonts w:asciiTheme="majorHAnsi" w:hAnsiTheme="majorHAnsi" w:cstheme="majorHAnsi"/>
          <w:shd w:val="clear" w:color="auto" w:fill="FFFFFF"/>
          <w:lang w:val="ro-RO"/>
        </w:rPr>
        <w:t>E</w:t>
      </w:r>
      <w:r w:rsidRPr="00FB38E3">
        <w:rPr>
          <w:rFonts w:asciiTheme="majorHAnsi" w:hAnsiTheme="majorHAnsi" w:cstheme="majorHAnsi"/>
          <w:shd w:val="clear" w:color="auto" w:fill="FFFFFF"/>
          <w:lang w:val="ro-RO"/>
        </w:rPr>
        <w:t xml:space="preserve">, </w:t>
      </w:r>
      <w:r w:rsidR="00F86D85" w:rsidRPr="00FB38E3">
        <w:rPr>
          <w:rFonts w:asciiTheme="majorHAnsi" w:hAnsiTheme="majorHAnsi" w:cstheme="majorHAnsi"/>
          <w:shd w:val="clear" w:color="auto" w:fill="FFFFFF"/>
          <w:lang w:val="ro-RO"/>
        </w:rPr>
        <w:t xml:space="preserve">inclusiv în domeniul TVA, și au drept </w:t>
      </w:r>
      <w:r w:rsidRPr="00FB38E3">
        <w:rPr>
          <w:rFonts w:asciiTheme="majorHAnsi" w:hAnsiTheme="majorHAnsi" w:cstheme="majorHAnsi"/>
          <w:shd w:val="clear" w:color="auto" w:fill="FFFFFF"/>
          <w:lang w:val="ro-RO"/>
        </w:rPr>
        <w:t>scop completa</w:t>
      </w:r>
      <w:r w:rsidR="00F86D85" w:rsidRPr="00FB38E3">
        <w:rPr>
          <w:rFonts w:asciiTheme="majorHAnsi" w:hAnsiTheme="majorHAnsi" w:cstheme="majorHAnsi"/>
          <w:shd w:val="clear" w:color="auto" w:fill="FFFFFF"/>
          <w:lang w:val="ro-RO"/>
        </w:rPr>
        <w:t>rea</w:t>
      </w:r>
      <w:r w:rsidRPr="00FB38E3">
        <w:rPr>
          <w:rFonts w:asciiTheme="majorHAnsi" w:hAnsiTheme="majorHAnsi" w:cstheme="majorHAnsi"/>
          <w:shd w:val="clear" w:color="auto" w:fill="FFFFFF"/>
          <w:lang w:val="ro-RO"/>
        </w:rPr>
        <w:t xml:space="preserve"> cadrul</w:t>
      </w:r>
      <w:r w:rsidR="00F86D85" w:rsidRPr="00FB38E3">
        <w:rPr>
          <w:rFonts w:asciiTheme="majorHAnsi" w:hAnsiTheme="majorHAnsi" w:cstheme="majorHAnsi"/>
          <w:shd w:val="clear" w:color="auto" w:fill="FFFFFF"/>
          <w:lang w:val="ro-RO"/>
        </w:rPr>
        <w:t>ui</w:t>
      </w:r>
      <w:r w:rsidRPr="00FB38E3">
        <w:rPr>
          <w:rFonts w:asciiTheme="majorHAnsi" w:hAnsiTheme="majorHAnsi" w:cstheme="majorHAnsi"/>
          <w:shd w:val="clear" w:color="auto" w:fill="FFFFFF"/>
          <w:lang w:val="ro-RO"/>
        </w:rPr>
        <w:t xml:space="preserve"> legal </w:t>
      </w:r>
      <w:r w:rsidR="00F86D85" w:rsidRPr="00FB38E3">
        <w:rPr>
          <w:rFonts w:asciiTheme="majorHAnsi" w:hAnsiTheme="majorHAnsi" w:cstheme="majorHAnsi"/>
          <w:shd w:val="clear" w:color="auto" w:fill="FFFFFF"/>
          <w:lang w:val="ro-RO"/>
        </w:rPr>
        <w:t>stabilit</w:t>
      </w:r>
      <w:r w:rsidRPr="00FB38E3">
        <w:rPr>
          <w:rFonts w:asciiTheme="majorHAnsi" w:hAnsiTheme="majorHAnsi" w:cstheme="majorHAnsi"/>
          <w:shd w:val="clear" w:color="auto" w:fill="FFFFFF"/>
          <w:lang w:val="ro-RO"/>
        </w:rPr>
        <w:t xml:space="preserve"> de Directiva Europeană de TVA</w:t>
      </w:r>
      <w:r w:rsidR="00BE2DC3" w:rsidRPr="00FB38E3">
        <w:rPr>
          <w:rFonts w:asciiTheme="majorHAnsi" w:hAnsiTheme="majorHAnsi" w:cstheme="majorHAnsi"/>
          <w:shd w:val="clear" w:color="auto" w:fill="FFFFFF"/>
          <w:lang w:val="ro-RO"/>
        </w:rPr>
        <w:t xml:space="preserve">. </w:t>
      </w:r>
      <w:r w:rsidR="00242F51" w:rsidRPr="00FB38E3">
        <w:rPr>
          <w:rFonts w:asciiTheme="majorHAnsi" w:hAnsiTheme="majorHAnsi" w:cstheme="majorHAnsi"/>
          <w:shd w:val="clear" w:color="auto" w:fill="FFFFFF"/>
          <w:lang w:val="ro-RO"/>
        </w:rPr>
        <w:t xml:space="preserve">De asemenea, deși acestea nu au putere de lege, </w:t>
      </w:r>
      <w:r w:rsidR="00BE2DC3" w:rsidRPr="00FB38E3">
        <w:rPr>
          <w:rFonts w:asciiTheme="majorHAnsi" w:hAnsiTheme="majorHAnsi" w:cstheme="majorHAnsi"/>
          <w:shd w:val="clear" w:color="auto" w:fill="FFFFFF"/>
          <w:lang w:val="ro-RO"/>
        </w:rPr>
        <w:t xml:space="preserve">recomandările </w:t>
      </w:r>
      <w:r w:rsidRPr="00FB38E3">
        <w:rPr>
          <w:rFonts w:asciiTheme="majorHAnsi" w:hAnsiTheme="majorHAnsi" w:cstheme="majorHAnsi"/>
          <w:shd w:val="clear" w:color="auto" w:fill="FFFFFF"/>
          <w:lang w:val="ro-RO"/>
        </w:rPr>
        <w:t>Comitetul</w:t>
      </w:r>
      <w:r w:rsidR="00BE2DC3" w:rsidRPr="00FB38E3">
        <w:rPr>
          <w:rFonts w:asciiTheme="majorHAnsi" w:hAnsiTheme="majorHAnsi" w:cstheme="majorHAnsi"/>
          <w:shd w:val="clear" w:color="auto" w:fill="FFFFFF"/>
          <w:lang w:val="ro-RO"/>
        </w:rPr>
        <w:t>ui</w:t>
      </w:r>
      <w:r w:rsidRPr="00FB38E3">
        <w:rPr>
          <w:rFonts w:asciiTheme="majorHAnsi" w:hAnsiTheme="majorHAnsi" w:cstheme="majorHAnsi"/>
          <w:shd w:val="clear" w:color="auto" w:fill="FFFFFF"/>
          <w:lang w:val="ro-RO"/>
        </w:rPr>
        <w:t xml:space="preserve"> de TVA</w:t>
      </w:r>
      <w:r w:rsidR="00BE2DC3" w:rsidRPr="00FB38E3">
        <w:rPr>
          <w:rFonts w:asciiTheme="majorHAnsi" w:hAnsiTheme="majorHAnsi" w:cstheme="majorHAnsi"/>
          <w:shd w:val="clear" w:color="auto" w:fill="FFFFFF"/>
          <w:lang w:val="ro-RO"/>
        </w:rPr>
        <w:t xml:space="preserve"> </w:t>
      </w:r>
      <w:r w:rsidR="0078310F" w:rsidRPr="00FB38E3">
        <w:rPr>
          <w:rFonts w:asciiTheme="majorHAnsi" w:hAnsiTheme="majorHAnsi" w:cstheme="majorHAnsi"/>
          <w:shd w:val="clear" w:color="auto" w:fill="FFFFFF"/>
          <w:lang w:val="ro-RO"/>
        </w:rPr>
        <w:t>au</w:t>
      </w:r>
      <w:r w:rsidRPr="00FB38E3">
        <w:rPr>
          <w:rFonts w:asciiTheme="majorHAnsi" w:hAnsiTheme="majorHAnsi" w:cstheme="majorHAnsi"/>
          <w:shd w:val="clear" w:color="auto" w:fill="FFFFFF"/>
          <w:lang w:val="ro-RO"/>
        </w:rPr>
        <w:t xml:space="preserve"> rolul de a promova aplicarea uniformă a prevederilor Directivei TVA</w:t>
      </w:r>
      <w:r w:rsidR="00FB38E3" w:rsidRPr="00FB38E3">
        <w:rPr>
          <w:rFonts w:asciiTheme="majorHAnsi" w:hAnsiTheme="majorHAnsi" w:cstheme="majorHAnsi"/>
          <w:shd w:val="clear" w:color="auto" w:fill="FFFFFF"/>
          <w:lang w:val="ro-RO"/>
        </w:rPr>
        <w:t>.</w:t>
      </w:r>
    </w:p>
    <w:p w14:paraId="5FA16BB8" w14:textId="77777777" w:rsidR="00174F8A" w:rsidRDefault="00174F8A" w:rsidP="0031766C">
      <w:pPr>
        <w:spacing w:before="80" w:line="312" w:lineRule="auto"/>
        <w:jc w:val="both"/>
        <w:rPr>
          <w:rFonts w:asciiTheme="majorHAnsi" w:hAnsiTheme="majorHAnsi" w:cstheme="majorHAnsi"/>
          <w:shd w:val="clear" w:color="auto" w:fill="FFFFFF"/>
          <w:lang w:val="ro-RO"/>
        </w:rPr>
      </w:pPr>
    </w:p>
    <w:p w14:paraId="3B1A1FCE" w14:textId="4932A55B" w:rsidR="004A0CDB" w:rsidRPr="004A0CDB" w:rsidRDefault="001D729B" w:rsidP="0031766C">
      <w:pPr>
        <w:spacing w:before="80" w:line="312" w:lineRule="auto"/>
        <w:jc w:val="both"/>
        <w:rPr>
          <w:rFonts w:asciiTheme="majorHAnsi" w:hAnsiTheme="majorHAnsi" w:cstheme="majorHAnsi"/>
          <w:b/>
          <w:bCs/>
          <w:shd w:val="clear" w:color="auto" w:fill="FFFFFF"/>
          <w:lang w:val="ro-RO"/>
        </w:rPr>
      </w:pPr>
      <w:r>
        <w:rPr>
          <w:rFonts w:asciiTheme="majorHAnsi" w:hAnsiTheme="majorHAnsi" w:cstheme="majorHAnsi"/>
          <w:b/>
          <w:shd w:val="clear" w:color="auto" w:fill="FFFFFF"/>
          <w:lang w:val="ro-RO"/>
        </w:rPr>
        <w:t>R</w:t>
      </w:r>
      <w:r w:rsidR="004A0CDB" w:rsidRPr="0076240B">
        <w:rPr>
          <w:rFonts w:asciiTheme="majorHAnsi" w:hAnsiTheme="majorHAnsi" w:cstheme="majorHAnsi"/>
          <w:b/>
          <w:shd w:val="clear" w:color="auto" w:fill="FFFFFF"/>
          <w:lang w:val="ro-RO"/>
        </w:rPr>
        <w:t>egimul de TVA aplicabil</w:t>
      </w:r>
      <w:r>
        <w:rPr>
          <w:rFonts w:asciiTheme="majorHAnsi" w:hAnsiTheme="majorHAnsi" w:cstheme="majorHAnsi"/>
          <w:b/>
          <w:shd w:val="clear" w:color="auto" w:fill="FFFFFF"/>
          <w:lang w:val="ro-RO"/>
        </w:rPr>
        <w:t>, clarificat parțial</w:t>
      </w:r>
    </w:p>
    <w:p w14:paraId="66D69C22" w14:textId="4EF4BC36" w:rsidR="00FE7016" w:rsidRPr="00525B3A" w:rsidRDefault="00F86D85" w:rsidP="0031766C">
      <w:pPr>
        <w:spacing w:before="80" w:line="312" w:lineRule="auto"/>
        <w:jc w:val="both"/>
        <w:rPr>
          <w:rFonts w:asciiTheme="majorHAnsi" w:hAnsiTheme="majorHAnsi" w:cstheme="majorHAnsi"/>
          <w:lang w:val="ro-RO"/>
        </w:rPr>
      </w:pPr>
      <w:r>
        <w:rPr>
          <w:rFonts w:asciiTheme="majorHAnsi" w:hAnsiTheme="majorHAnsi" w:cstheme="majorHAnsi"/>
          <w:lang w:val="ro-RO"/>
        </w:rPr>
        <w:t>Una din</w:t>
      </w:r>
      <w:r w:rsidR="00214F31">
        <w:rPr>
          <w:rFonts w:asciiTheme="majorHAnsi" w:hAnsiTheme="majorHAnsi" w:cstheme="majorHAnsi"/>
          <w:lang w:val="ro-RO"/>
        </w:rPr>
        <w:t>tre</w:t>
      </w:r>
      <w:r>
        <w:rPr>
          <w:rFonts w:asciiTheme="majorHAnsi" w:hAnsiTheme="majorHAnsi" w:cstheme="majorHAnsi"/>
          <w:lang w:val="ro-RO"/>
        </w:rPr>
        <w:t xml:space="preserve"> hotărârile </w:t>
      </w:r>
      <w:r w:rsidR="00174F8A">
        <w:rPr>
          <w:rFonts w:asciiTheme="majorHAnsi" w:hAnsiTheme="majorHAnsi" w:cstheme="majorHAnsi"/>
          <w:lang w:val="ro-RO"/>
        </w:rPr>
        <w:t xml:space="preserve">curții </w:t>
      </w:r>
      <w:r>
        <w:rPr>
          <w:rFonts w:asciiTheme="majorHAnsi" w:hAnsiTheme="majorHAnsi" w:cstheme="majorHAnsi"/>
          <w:lang w:val="ro-RO"/>
        </w:rPr>
        <w:t xml:space="preserve">cu impact în această zonă este cea emisă în cauza </w:t>
      </w:r>
      <w:r w:rsidR="00FE7016" w:rsidRPr="00525B3A">
        <w:rPr>
          <w:rFonts w:asciiTheme="majorHAnsi" w:hAnsiTheme="majorHAnsi" w:cstheme="majorHAnsi"/>
          <w:lang w:val="ro-RO"/>
        </w:rPr>
        <w:t xml:space="preserve">C-264/14 </w:t>
      </w:r>
      <w:r w:rsidR="00FE7016" w:rsidRPr="00525B3A">
        <w:rPr>
          <w:rFonts w:asciiTheme="majorHAnsi" w:hAnsiTheme="majorHAnsi" w:cstheme="majorHAnsi"/>
          <w:b/>
          <w:bCs/>
          <w:lang w:val="ro-RO"/>
        </w:rPr>
        <w:t>– </w:t>
      </w:r>
      <w:proofErr w:type="spellStart"/>
      <w:r w:rsidR="00FE7016" w:rsidRPr="00525B3A">
        <w:rPr>
          <w:rStyle w:val="Strong"/>
          <w:rFonts w:asciiTheme="majorHAnsi" w:hAnsiTheme="majorHAnsi" w:cstheme="majorHAnsi"/>
          <w:lang w:val="ro-RO"/>
        </w:rPr>
        <w:t>Skatteverket</w:t>
      </w:r>
      <w:proofErr w:type="spellEnd"/>
      <w:r w:rsidR="00FE7016" w:rsidRPr="00525B3A">
        <w:rPr>
          <w:rStyle w:val="Strong"/>
          <w:rFonts w:asciiTheme="majorHAnsi" w:hAnsiTheme="majorHAnsi" w:cstheme="majorHAnsi"/>
          <w:lang w:val="ro-RO"/>
        </w:rPr>
        <w:t> </w:t>
      </w:r>
      <w:r w:rsidR="00FE7016" w:rsidRPr="00525B3A">
        <w:rPr>
          <w:rFonts w:asciiTheme="majorHAnsi" w:hAnsiTheme="majorHAnsi" w:cstheme="majorHAnsi"/>
          <w:lang w:val="ro-RO"/>
        </w:rPr>
        <w:t>împotriva </w:t>
      </w:r>
      <w:r w:rsidR="00FE7016" w:rsidRPr="00525B3A">
        <w:rPr>
          <w:rStyle w:val="Strong"/>
          <w:rFonts w:asciiTheme="majorHAnsi" w:hAnsiTheme="majorHAnsi" w:cstheme="majorHAnsi"/>
          <w:lang w:val="ro-RO"/>
        </w:rPr>
        <w:t xml:space="preserve">David </w:t>
      </w:r>
      <w:proofErr w:type="spellStart"/>
      <w:r w:rsidR="00FE7016" w:rsidRPr="00525B3A">
        <w:rPr>
          <w:rStyle w:val="Strong"/>
          <w:rFonts w:asciiTheme="majorHAnsi" w:hAnsiTheme="majorHAnsi" w:cstheme="majorHAnsi"/>
          <w:lang w:val="ro-RO"/>
        </w:rPr>
        <w:t>Hedqvist</w:t>
      </w:r>
      <w:proofErr w:type="spellEnd"/>
      <w:r w:rsidR="00174F8A">
        <w:rPr>
          <w:rStyle w:val="Strong"/>
          <w:rFonts w:asciiTheme="majorHAnsi" w:hAnsiTheme="majorHAnsi" w:cstheme="majorHAnsi"/>
          <w:lang w:val="ro-RO"/>
        </w:rPr>
        <w:t xml:space="preserve"> -</w:t>
      </w:r>
      <w:r w:rsidR="00FE7016" w:rsidRPr="00525B3A">
        <w:rPr>
          <w:rFonts w:asciiTheme="majorHAnsi" w:hAnsiTheme="majorHAnsi" w:cstheme="majorHAnsi"/>
          <w:lang w:val="ro-RO"/>
        </w:rPr>
        <w:t xml:space="preserve">, </w:t>
      </w:r>
      <w:r>
        <w:rPr>
          <w:rFonts w:asciiTheme="majorHAnsi" w:hAnsiTheme="majorHAnsi" w:cstheme="majorHAnsi"/>
          <w:lang w:val="ro-RO"/>
        </w:rPr>
        <w:t xml:space="preserve">prin care </w:t>
      </w:r>
      <w:r w:rsidR="00FE7016" w:rsidRPr="00525B3A">
        <w:rPr>
          <w:rFonts w:asciiTheme="majorHAnsi" w:hAnsiTheme="majorHAnsi" w:cstheme="majorHAnsi"/>
          <w:lang w:val="ro-RO"/>
        </w:rPr>
        <w:t xml:space="preserve">a </w:t>
      </w:r>
      <w:r w:rsidR="00214F31">
        <w:rPr>
          <w:rFonts w:asciiTheme="majorHAnsi" w:hAnsiTheme="majorHAnsi" w:cstheme="majorHAnsi"/>
          <w:lang w:val="ro-RO"/>
        </w:rPr>
        <w:t xml:space="preserve">fost </w:t>
      </w:r>
      <w:r w:rsidR="00FE7016" w:rsidRPr="00525B3A">
        <w:rPr>
          <w:rFonts w:asciiTheme="majorHAnsi" w:hAnsiTheme="majorHAnsi" w:cstheme="majorHAnsi"/>
          <w:lang w:val="ro-RO"/>
        </w:rPr>
        <w:t xml:space="preserve">concluzionat faptul că moneda virtuală </w:t>
      </w:r>
      <w:proofErr w:type="spellStart"/>
      <w:r w:rsidR="00FE7016" w:rsidRPr="00525B3A">
        <w:rPr>
          <w:rFonts w:asciiTheme="majorHAnsi" w:hAnsiTheme="majorHAnsi" w:cstheme="majorHAnsi"/>
          <w:lang w:val="ro-RO"/>
        </w:rPr>
        <w:t>Bitcoin</w:t>
      </w:r>
      <w:proofErr w:type="spellEnd"/>
      <w:r w:rsidR="00FE7016" w:rsidRPr="00525B3A">
        <w:rPr>
          <w:rFonts w:asciiTheme="majorHAnsi" w:hAnsiTheme="majorHAnsi" w:cstheme="majorHAnsi"/>
          <w:lang w:val="ro-RO"/>
        </w:rPr>
        <w:t xml:space="preserve"> este un mijloc de plată direct între operatorii care o acceptă. Mai mult, </w:t>
      </w:r>
      <w:r>
        <w:rPr>
          <w:rFonts w:asciiTheme="majorHAnsi" w:hAnsiTheme="majorHAnsi" w:cstheme="majorHAnsi"/>
          <w:lang w:val="ro-RO"/>
        </w:rPr>
        <w:t xml:space="preserve">instituția </w:t>
      </w:r>
      <w:r w:rsidR="00FE7016" w:rsidRPr="00525B3A">
        <w:rPr>
          <w:rFonts w:asciiTheme="majorHAnsi" w:hAnsiTheme="majorHAnsi" w:cstheme="majorHAnsi"/>
          <w:lang w:val="ro-RO"/>
        </w:rPr>
        <w:t xml:space="preserve">a stabilit faptul că tranzacțiile cu </w:t>
      </w:r>
      <w:proofErr w:type="spellStart"/>
      <w:r w:rsidR="00FE7016" w:rsidRPr="00525B3A">
        <w:rPr>
          <w:rFonts w:asciiTheme="majorHAnsi" w:hAnsiTheme="majorHAnsi" w:cstheme="majorHAnsi"/>
          <w:lang w:val="ro-RO"/>
        </w:rPr>
        <w:t>criptomonede</w:t>
      </w:r>
      <w:proofErr w:type="spellEnd"/>
      <w:r w:rsidR="00FE7016" w:rsidRPr="00525B3A">
        <w:rPr>
          <w:rFonts w:asciiTheme="majorHAnsi" w:hAnsiTheme="majorHAnsi" w:cstheme="majorHAnsi"/>
          <w:lang w:val="ro-RO"/>
        </w:rPr>
        <w:t xml:space="preserve"> reprezintă </w:t>
      </w:r>
      <w:r w:rsidR="00FE7016" w:rsidRPr="00525B3A">
        <w:rPr>
          <w:rFonts w:asciiTheme="majorHAnsi" w:hAnsiTheme="majorHAnsi" w:cstheme="majorHAnsi"/>
          <w:b/>
          <w:bCs/>
          <w:lang w:val="ro-RO"/>
        </w:rPr>
        <w:t>operațiuni financiare</w:t>
      </w:r>
      <w:r w:rsidR="00FE7016" w:rsidRPr="00525B3A">
        <w:rPr>
          <w:rFonts w:asciiTheme="majorHAnsi" w:hAnsiTheme="majorHAnsi" w:cstheme="majorHAnsi"/>
          <w:lang w:val="ro-RO"/>
        </w:rPr>
        <w:t xml:space="preserve">, iar intermedierea în vânzarea/cumpărarea de </w:t>
      </w:r>
      <w:proofErr w:type="spellStart"/>
      <w:r w:rsidR="00FE7016" w:rsidRPr="00525B3A">
        <w:rPr>
          <w:rFonts w:asciiTheme="majorHAnsi" w:hAnsiTheme="majorHAnsi" w:cstheme="majorHAnsi"/>
          <w:lang w:val="ro-RO"/>
        </w:rPr>
        <w:t>Bitcoin</w:t>
      </w:r>
      <w:proofErr w:type="spellEnd"/>
      <w:r w:rsidR="00FE7016" w:rsidRPr="00525B3A">
        <w:rPr>
          <w:rFonts w:asciiTheme="majorHAnsi" w:hAnsiTheme="majorHAnsi" w:cstheme="majorHAnsi"/>
          <w:lang w:val="ro-RO"/>
        </w:rPr>
        <w:t xml:space="preserve"> reprezintă o prestare de servicii scutită de TVA.</w:t>
      </w:r>
    </w:p>
    <w:p w14:paraId="5230A742" w14:textId="218F794F" w:rsidR="00FE7016" w:rsidRPr="00525B3A" w:rsidRDefault="00FE7016" w:rsidP="0031766C">
      <w:pPr>
        <w:spacing w:before="80" w:line="312" w:lineRule="auto"/>
        <w:jc w:val="both"/>
        <w:rPr>
          <w:rFonts w:asciiTheme="majorHAnsi" w:hAnsiTheme="majorHAnsi" w:cstheme="majorHAnsi"/>
          <w:lang w:val="ro-RO"/>
        </w:rPr>
      </w:pPr>
      <w:r w:rsidRPr="00525B3A">
        <w:rPr>
          <w:rFonts w:asciiTheme="majorHAnsi" w:hAnsiTheme="majorHAnsi" w:cstheme="majorHAnsi"/>
          <w:lang w:val="ro-RO"/>
        </w:rPr>
        <w:t xml:space="preserve">Cu toate acestea, </w:t>
      </w:r>
      <w:r w:rsidR="00F86D85">
        <w:rPr>
          <w:rFonts w:asciiTheme="majorHAnsi" w:hAnsiTheme="majorHAnsi" w:cstheme="majorHAnsi"/>
          <w:lang w:val="ro-RO"/>
        </w:rPr>
        <w:t xml:space="preserve">deși </w:t>
      </w:r>
      <w:r w:rsidRPr="00525B3A">
        <w:rPr>
          <w:rFonts w:asciiTheme="majorHAnsi" w:hAnsiTheme="majorHAnsi" w:cstheme="majorHAnsi"/>
          <w:lang w:val="ro-RO"/>
        </w:rPr>
        <w:t>hotărâre</w:t>
      </w:r>
      <w:r w:rsidR="00F86D85">
        <w:rPr>
          <w:rFonts w:asciiTheme="majorHAnsi" w:hAnsiTheme="majorHAnsi" w:cstheme="majorHAnsi"/>
          <w:lang w:val="ro-RO"/>
        </w:rPr>
        <w:t>a</w:t>
      </w:r>
      <w:r w:rsidRPr="00525B3A">
        <w:rPr>
          <w:rFonts w:asciiTheme="majorHAnsi" w:hAnsiTheme="majorHAnsi" w:cstheme="majorHAnsi"/>
          <w:lang w:val="ro-RO"/>
        </w:rPr>
        <w:t xml:space="preserve"> clarifică faptul că schimbul/vânzarea </w:t>
      </w:r>
      <w:r w:rsidR="00F86D85">
        <w:rPr>
          <w:rFonts w:asciiTheme="majorHAnsi" w:hAnsiTheme="majorHAnsi" w:cstheme="majorHAnsi"/>
          <w:lang w:val="ro-RO"/>
        </w:rPr>
        <w:t xml:space="preserve">de </w:t>
      </w:r>
      <w:proofErr w:type="spellStart"/>
      <w:r w:rsidRPr="00525B3A">
        <w:rPr>
          <w:rFonts w:asciiTheme="majorHAnsi" w:hAnsiTheme="majorHAnsi" w:cstheme="majorHAnsi"/>
          <w:lang w:val="ro-RO"/>
        </w:rPr>
        <w:t>Bitcoin</w:t>
      </w:r>
      <w:proofErr w:type="spellEnd"/>
      <w:r w:rsidRPr="00525B3A">
        <w:rPr>
          <w:rFonts w:asciiTheme="majorHAnsi" w:hAnsiTheme="majorHAnsi" w:cstheme="majorHAnsi"/>
          <w:lang w:val="ro-RO"/>
        </w:rPr>
        <w:t xml:space="preserve"> reprezintă operațiuni scutite de TVA, r</w:t>
      </w:r>
      <w:r w:rsidR="00F86D85">
        <w:rPr>
          <w:rFonts w:asciiTheme="majorHAnsi" w:hAnsiTheme="majorHAnsi" w:cstheme="majorHAnsi"/>
          <w:lang w:val="ro-RO"/>
        </w:rPr>
        <w:t>ă</w:t>
      </w:r>
      <w:r w:rsidRPr="00525B3A">
        <w:rPr>
          <w:rFonts w:asciiTheme="majorHAnsi" w:hAnsiTheme="majorHAnsi" w:cstheme="majorHAnsi"/>
          <w:lang w:val="ro-RO"/>
        </w:rPr>
        <w:t xml:space="preserve">mân multe semne de întrebare cu privire la numeroasele activități ce se desprind din operațiunile cu </w:t>
      </w:r>
      <w:proofErr w:type="spellStart"/>
      <w:r w:rsidRPr="00525B3A">
        <w:rPr>
          <w:rFonts w:asciiTheme="majorHAnsi" w:hAnsiTheme="majorHAnsi" w:cstheme="majorHAnsi"/>
          <w:lang w:val="ro-RO"/>
        </w:rPr>
        <w:t>criptoactive</w:t>
      </w:r>
      <w:proofErr w:type="spellEnd"/>
      <w:r w:rsidRPr="00525B3A">
        <w:rPr>
          <w:rFonts w:asciiTheme="majorHAnsi" w:hAnsiTheme="majorHAnsi" w:cstheme="majorHAnsi"/>
          <w:lang w:val="ro-RO"/>
        </w:rPr>
        <w:t>, ținând cont de faptul că termenii folosiți pentru a desemna scutirile de TVA</w:t>
      </w:r>
      <w:r w:rsidR="00F86D85">
        <w:rPr>
          <w:rFonts w:asciiTheme="majorHAnsi" w:hAnsiTheme="majorHAnsi" w:cstheme="majorHAnsi"/>
          <w:lang w:val="ro-RO"/>
        </w:rPr>
        <w:t>, conform</w:t>
      </w:r>
      <w:r w:rsidRPr="00525B3A">
        <w:rPr>
          <w:rFonts w:asciiTheme="majorHAnsi" w:hAnsiTheme="majorHAnsi" w:cstheme="majorHAnsi"/>
          <w:lang w:val="ro-RO"/>
        </w:rPr>
        <w:t xml:space="preserve"> Directiv</w:t>
      </w:r>
      <w:r w:rsidR="00F86D85">
        <w:rPr>
          <w:rFonts w:asciiTheme="majorHAnsi" w:hAnsiTheme="majorHAnsi" w:cstheme="majorHAnsi"/>
          <w:lang w:val="ro-RO"/>
        </w:rPr>
        <w:t>ei</w:t>
      </w:r>
      <w:r w:rsidRPr="00525B3A">
        <w:rPr>
          <w:rFonts w:asciiTheme="majorHAnsi" w:hAnsiTheme="majorHAnsi" w:cstheme="majorHAnsi"/>
          <w:lang w:val="ro-RO"/>
        </w:rPr>
        <w:t xml:space="preserve"> de TVA</w:t>
      </w:r>
      <w:r w:rsidR="00F86D85">
        <w:rPr>
          <w:rFonts w:asciiTheme="majorHAnsi" w:hAnsiTheme="majorHAnsi" w:cstheme="majorHAnsi"/>
          <w:lang w:val="ro-RO"/>
        </w:rPr>
        <w:t>,</w:t>
      </w:r>
      <w:r w:rsidRPr="00525B3A">
        <w:rPr>
          <w:rFonts w:asciiTheme="majorHAnsi" w:hAnsiTheme="majorHAnsi" w:cstheme="majorHAnsi"/>
          <w:lang w:val="ro-RO"/>
        </w:rPr>
        <w:t xml:space="preserve"> </w:t>
      </w:r>
      <w:r w:rsidRPr="008D061D">
        <w:rPr>
          <w:rFonts w:asciiTheme="majorHAnsi" w:hAnsiTheme="majorHAnsi" w:cstheme="majorHAnsi"/>
          <w:lang w:val="ro-RO"/>
        </w:rPr>
        <w:t>sunt de strictă interpretare</w:t>
      </w:r>
      <w:r w:rsidR="0076240B">
        <w:rPr>
          <w:rFonts w:asciiTheme="majorHAnsi" w:hAnsiTheme="majorHAnsi" w:cstheme="majorHAnsi"/>
          <w:lang w:val="ro-RO"/>
        </w:rPr>
        <w:t xml:space="preserve"> și nu se referă în mod explicit la astfel de operațiuni</w:t>
      </w:r>
      <w:r w:rsidRPr="008D061D">
        <w:rPr>
          <w:rFonts w:asciiTheme="majorHAnsi" w:hAnsiTheme="majorHAnsi" w:cstheme="majorHAnsi"/>
          <w:lang w:val="ro-RO"/>
        </w:rPr>
        <w:t>.</w:t>
      </w:r>
    </w:p>
    <w:p w14:paraId="3C7376EA" w14:textId="1DE53777" w:rsidR="00BE2DC3" w:rsidRDefault="00BE2DC3" w:rsidP="0031766C">
      <w:pPr>
        <w:spacing w:before="80" w:line="312" w:lineRule="auto"/>
        <w:jc w:val="both"/>
        <w:rPr>
          <w:rFonts w:asciiTheme="majorHAnsi" w:hAnsiTheme="majorHAnsi" w:cstheme="majorHAnsi"/>
          <w:lang w:val="ro-RO"/>
        </w:rPr>
      </w:pPr>
      <w:r>
        <w:rPr>
          <w:rFonts w:asciiTheme="majorHAnsi" w:hAnsiTheme="majorHAnsi" w:cstheme="majorHAnsi"/>
          <w:lang w:val="ro-RO"/>
        </w:rPr>
        <w:t>Un alt document care aduce clarificări în acest domeniu este emis de Comitetul de TVA</w:t>
      </w:r>
      <w:r w:rsidR="00EF082A">
        <w:rPr>
          <w:rFonts w:asciiTheme="majorHAnsi" w:hAnsiTheme="majorHAnsi" w:cstheme="majorHAnsi"/>
          <w:lang w:val="ro-RO"/>
        </w:rPr>
        <w:t xml:space="preserve"> </w:t>
      </w:r>
      <w:r w:rsidR="00EF3236">
        <w:rPr>
          <w:rFonts w:asciiTheme="majorHAnsi" w:hAnsiTheme="majorHAnsi" w:cstheme="majorHAnsi"/>
          <w:lang w:val="ro-RO"/>
        </w:rPr>
        <w:t>și stabilește că</w:t>
      </w:r>
      <w:r w:rsidR="00FE7016" w:rsidRPr="00525B3A">
        <w:rPr>
          <w:rFonts w:asciiTheme="majorHAnsi" w:hAnsiTheme="majorHAnsi" w:cstheme="majorHAnsi"/>
          <w:lang w:val="ro-RO"/>
        </w:rPr>
        <w:t xml:space="preserve"> diferite tipuri de operațiuni (</w:t>
      </w:r>
      <w:r w:rsidR="00174F8A">
        <w:rPr>
          <w:rFonts w:asciiTheme="majorHAnsi" w:hAnsiTheme="majorHAnsi" w:cstheme="majorHAnsi"/>
          <w:lang w:val="ro-RO"/>
        </w:rPr>
        <w:t xml:space="preserve">de </w:t>
      </w:r>
      <w:r w:rsidR="00FE7016" w:rsidRPr="00525B3A">
        <w:rPr>
          <w:rFonts w:asciiTheme="majorHAnsi" w:hAnsiTheme="majorHAnsi" w:cstheme="majorHAnsi"/>
          <w:lang w:val="ro-RO"/>
        </w:rPr>
        <w:t>ex</w:t>
      </w:r>
      <w:r w:rsidR="00174F8A">
        <w:rPr>
          <w:rFonts w:asciiTheme="majorHAnsi" w:hAnsiTheme="majorHAnsi" w:cstheme="majorHAnsi"/>
          <w:lang w:val="ro-RO"/>
        </w:rPr>
        <w:t>emplu,</w:t>
      </w:r>
      <w:r w:rsidR="00174F8A" w:rsidRPr="00525B3A">
        <w:rPr>
          <w:rFonts w:asciiTheme="majorHAnsi" w:hAnsiTheme="majorHAnsi" w:cstheme="majorHAnsi"/>
          <w:lang w:val="ro-RO"/>
        </w:rPr>
        <w:t xml:space="preserve"> </w:t>
      </w:r>
      <w:r w:rsidR="00FE7016" w:rsidRPr="00525B3A">
        <w:rPr>
          <w:rFonts w:asciiTheme="majorHAnsi" w:hAnsiTheme="majorHAnsi" w:cstheme="majorHAnsi"/>
          <w:lang w:val="ro-RO"/>
        </w:rPr>
        <w:t xml:space="preserve">minare, forjare, depozitare, transfer de </w:t>
      </w:r>
      <w:proofErr w:type="spellStart"/>
      <w:r w:rsidR="00FE7016" w:rsidRPr="00525B3A">
        <w:rPr>
          <w:rFonts w:asciiTheme="majorHAnsi" w:hAnsiTheme="majorHAnsi" w:cstheme="majorHAnsi"/>
          <w:lang w:val="ro-RO"/>
        </w:rPr>
        <w:t>criptoactive</w:t>
      </w:r>
      <w:proofErr w:type="spellEnd"/>
      <w:r w:rsidR="00FE7016" w:rsidRPr="00525B3A">
        <w:rPr>
          <w:rFonts w:asciiTheme="majorHAnsi" w:hAnsiTheme="majorHAnsi" w:cstheme="majorHAnsi"/>
          <w:lang w:val="ro-RO"/>
        </w:rPr>
        <w:t xml:space="preserve">) </w:t>
      </w:r>
      <w:r w:rsidR="00EF3236">
        <w:rPr>
          <w:rFonts w:asciiTheme="majorHAnsi" w:hAnsiTheme="majorHAnsi" w:cstheme="majorHAnsi"/>
          <w:lang w:val="ro-RO"/>
        </w:rPr>
        <w:t xml:space="preserve">nu intră </w:t>
      </w:r>
      <w:r w:rsidR="00FE7016" w:rsidRPr="00525B3A">
        <w:rPr>
          <w:rFonts w:asciiTheme="majorHAnsi" w:hAnsiTheme="majorHAnsi" w:cstheme="majorHAnsi"/>
          <w:lang w:val="ro-RO"/>
        </w:rPr>
        <w:t>în sfer</w:t>
      </w:r>
      <w:r w:rsidR="00EF3236">
        <w:rPr>
          <w:rFonts w:asciiTheme="majorHAnsi" w:hAnsiTheme="majorHAnsi" w:cstheme="majorHAnsi"/>
          <w:lang w:val="ro-RO"/>
        </w:rPr>
        <w:t>a de aplicare a</w:t>
      </w:r>
      <w:r w:rsidR="00FE7016" w:rsidRPr="00525B3A">
        <w:rPr>
          <w:rFonts w:asciiTheme="majorHAnsi" w:hAnsiTheme="majorHAnsi" w:cstheme="majorHAnsi"/>
          <w:lang w:val="ro-RO"/>
        </w:rPr>
        <w:t xml:space="preserve"> TVA</w:t>
      </w:r>
      <w:r w:rsidR="00EF3236">
        <w:rPr>
          <w:rFonts w:asciiTheme="majorHAnsi" w:hAnsiTheme="majorHAnsi" w:cstheme="majorHAnsi"/>
          <w:lang w:val="ro-RO"/>
        </w:rPr>
        <w:t xml:space="preserve">, sunt </w:t>
      </w:r>
      <w:r w:rsidR="00FE7016" w:rsidRPr="00525B3A">
        <w:rPr>
          <w:rFonts w:asciiTheme="majorHAnsi" w:hAnsiTheme="majorHAnsi" w:cstheme="majorHAnsi"/>
          <w:lang w:val="ro-RO"/>
        </w:rPr>
        <w:t xml:space="preserve">taxabile </w:t>
      </w:r>
      <w:r w:rsidR="00EF3236">
        <w:rPr>
          <w:rFonts w:asciiTheme="majorHAnsi" w:hAnsiTheme="majorHAnsi" w:cstheme="majorHAnsi"/>
          <w:lang w:val="ro-RO"/>
        </w:rPr>
        <w:t>sau</w:t>
      </w:r>
      <w:r w:rsidR="00FB5CC6">
        <w:rPr>
          <w:rFonts w:asciiTheme="majorHAnsi" w:hAnsiTheme="majorHAnsi" w:cstheme="majorHAnsi"/>
          <w:lang w:val="ro-RO"/>
        </w:rPr>
        <w:t xml:space="preserve"> sunt</w:t>
      </w:r>
      <w:r w:rsidR="00EF3236">
        <w:rPr>
          <w:rFonts w:asciiTheme="majorHAnsi" w:hAnsiTheme="majorHAnsi" w:cstheme="majorHAnsi"/>
          <w:lang w:val="ro-RO"/>
        </w:rPr>
        <w:t xml:space="preserve"> </w:t>
      </w:r>
      <w:r w:rsidR="00FE7016" w:rsidRPr="00525B3A">
        <w:rPr>
          <w:rFonts w:asciiTheme="majorHAnsi" w:hAnsiTheme="majorHAnsi" w:cstheme="majorHAnsi"/>
          <w:lang w:val="ro-RO"/>
        </w:rPr>
        <w:t>scutite de TVA</w:t>
      </w:r>
      <w:r w:rsidR="00EF3236">
        <w:rPr>
          <w:rFonts w:asciiTheme="majorHAnsi" w:hAnsiTheme="majorHAnsi" w:cstheme="majorHAnsi"/>
          <w:lang w:val="ro-RO"/>
        </w:rPr>
        <w:t>,</w:t>
      </w:r>
      <w:r w:rsidR="00FE7016" w:rsidRPr="00525B3A">
        <w:rPr>
          <w:rFonts w:asciiTheme="majorHAnsi" w:hAnsiTheme="majorHAnsi" w:cstheme="majorHAnsi"/>
          <w:lang w:val="ro-RO"/>
        </w:rPr>
        <w:t xml:space="preserve"> fără drept de deducere, </w:t>
      </w:r>
      <w:r w:rsidR="00EF3236">
        <w:rPr>
          <w:rFonts w:asciiTheme="majorHAnsi" w:hAnsiTheme="majorHAnsi" w:cstheme="majorHAnsi"/>
          <w:lang w:val="ro-RO"/>
        </w:rPr>
        <w:t xml:space="preserve">de la caz la caz. </w:t>
      </w:r>
    </w:p>
    <w:p w14:paraId="5379739C" w14:textId="148D0B22" w:rsidR="00BE2DC3" w:rsidRPr="00525B3A" w:rsidRDefault="00BE2DC3" w:rsidP="0031766C">
      <w:pPr>
        <w:spacing w:before="80" w:line="312" w:lineRule="auto"/>
        <w:jc w:val="both"/>
        <w:rPr>
          <w:rFonts w:asciiTheme="majorHAnsi" w:hAnsiTheme="majorHAnsi" w:cstheme="majorHAnsi"/>
          <w:lang w:val="ro-RO"/>
        </w:rPr>
      </w:pPr>
      <w:r w:rsidRPr="00525B3A">
        <w:rPr>
          <w:rFonts w:asciiTheme="majorHAnsi" w:hAnsiTheme="majorHAnsi" w:cstheme="majorHAnsi"/>
          <w:lang w:val="ro-RO"/>
        </w:rPr>
        <w:lastRenderedPageBreak/>
        <w:t xml:space="preserve">În </w:t>
      </w:r>
      <w:r>
        <w:rPr>
          <w:rFonts w:asciiTheme="majorHAnsi" w:hAnsiTheme="majorHAnsi" w:cstheme="majorHAnsi"/>
          <w:lang w:val="ro-RO"/>
        </w:rPr>
        <w:t>consecință</w:t>
      </w:r>
      <w:r w:rsidRPr="00525B3A">
        <w:rPr>
          <w:rFonts w:asciiTheme="majorHAnsi" w:hAnsiTheme="majorHAnsi" w:cstheme="majorHAnsi"/>
          <w:lang w:val="ro-RO"/>
        </w:rPr>
        <w:t xml:space="preserve">, natura fiecărei operațiuni, precum și tratamentul de TVA aplicabil, trebuie analizate </w:t>
      </w:r>
      <w:r w:rsidR="00A87B5C">
        <w:rPr>
          <w:rFonts w:asciiTheme="majorHAnsi" w:hAnsiTheme="majorHAnsi" w:cstheme="majorHAnsi"/>
          <w:lang w:val="ro-RO"/>
        </w:rPr>
        <w:t>în funcție de împreju</w:t>
      </w:r>
      <w:r w:rsidR="00D22868">
        <w:rPr>
          <w:rFonts w:asciiTheme="majorHAnsi" w:hAnsiTheme="majorHAnsi" w:cstheme="majorHAnsi"/>
          <w:lang w:val="ro-RO"/>
        </w:rPr>
        <w:t>rări</w:t>
      </w:r>
      <w:r w:rsidRPr="00525B3A">
        <w:rPr>
          <w:rFonts w:asciiTheme="majorHAnsi" w:hAnsiTheme="majorHAnsi" w:cstheme="majorHAnsi"/>
          <w:lang w:val="ro-RO"/>
        </w:rPr>
        <w:t xml:space="preserve">, luând în considerare toate </w:t>
      </w:r>
      <w:r>
        <w:rPr>
          <w:rFonts w:asciiTheme="majorHAnsi" w:hAnsiTheme="majorHAnsi" w:cstheme="majorHAnsi"/>
          <w:lang w:val="ro-RO"/>
        </w:rPr>
        <w:t>aspectele pe care le implică</w:t>
      </w:r>
      <w:r w:rsidR="004306E1">
        <w:rPr>
          <w:rFonts w:asciiTheme="majorHAnsi" w:hAnsiTheme="majorHAnsi" w:cstheme="majorHAnsi"/>
          <w:lang w:val="ro-RO"/>
        </w:rPr>
        <w:t>.</w:t>
      </w:r>
    </w:p>
    <w:p w14:paraId="4E94BD41" w14:textId="77777777" w:rsidR="00174F8A" w:rsidRDefault="00174F8A" w:rsidP="0031766C">
      <w:pPr>
        <w:spacing w:before="80" w:line="312" w:lineRule="auto"/>
        <w:jc w:val="both"/>
        <w:rPr>
          <w:rFonts w:asciiTheme="majorHAnsi" w:hAnsiTheme="majorHAnsi" w:cstheme="majorHAnsi"/>
          <w:b/>
          <w:bCs/>
          <w:lang w:val="ro-RO"/>
        </w:rPr>
      </w:pPr>
    </w:p>
    <w:p w14:paraId="5DA1FB1E" w14:textId="7BE9ACBD" w:rsidR="00FE7016" w:rsidRPr="0076240B" w:rsidRDefault="00FE7016" w:rsidP="0031766C">
      <w:pPr>
        <w:spacing w:before="80" w:line="312" w:lineRule="auto"/>
        <w:jc w:val="both"/>
        <w:rPr>
          <w:rFonts w:asciiTheme="majorHAnsi" w:hAnsiTheme="majorHAnsi" w:cstheme="majorHAnsi"/>
          <w:b/>
          <w:bCs/>
          <w:lang w:val="ro-RO"/>
        </w:rPr>
      </w:pPr>
      <w:r w:rsidRPr="0076240B">
        <w:rPr>
          <w:rFonts w:asciiTheme="majorHAnsi" w:hAnsiTheme="majorHAnsi" w:cstheme="majorHAnsi"/>
          <w:b/>
          <w:bCs/>
          <w:lang w:val="ro-RO"/>
        </w:rPr>
        <w:t>Așteptări cu privire la armonizarea tratamentului de TVA la nivelul U</w:t>
      </w:r>
      <w:r w:rsidR="00EF3236">
        <w:rPr>
          <w:rFonts w:asciiTheme="majorHAnsi" w:hAnsiTheme="majorHAnsi" w:cstheme="majorHAnsi"/>
          <w:b/>
          <w:bCs/>
          <w:lang w:val="ro-RO"/>
        </w:rPr>
        <w:t>E</w:t>
      </w:r>
    </w:p>
    <w:p w14:paraId="2A2B8318" w14:textId="3A7B177C" w:rsidR="00FE7016" w:rsidRPr="00525B3A" w:rsidRDefault="008C58C5" w:rsidP="0031766C">
      <w:pPr>
        <w:spacing w:before="80" w:line="312" w:lineRule="auto"/>
        <w:jc w:val="both"/>
        <w:rPr>
          <w:rFonts w:asciiTheme="majorHAnsi" w:hAnsiTheme="majorHAnsi" w:cstheme="majorHAnsi"/>
          <w:lang w:val="ro-RO"/>
        </w:rPr>
      </w:pPr>
      <w:r>
        <w:rPr>
          <w:rFonts w:asciiTheme="majorHAnsi" w:hAnsiTheme="majorHAnsi" w:cstheme="majorHAnsi"/>
          <w:lang w:val="ro-RO"/>
        </w:rPr>
        <w:t xml:space="preserve">Dincolo de </w:t>
      </w:r>
      <w:r w:rsidR="00FE7016" w:rsidRPr="00443A7E">
        <w:rPr>
          <w:rFonts w:asciiTheme="majorHAnsi" w:hAnsiTheme="majorHAnsi" w:cstheme="majorHAnsi"/>
          <w:b/>
          <w:bCs/>
          <w:lang w:val="ro-RO"/>
        </w:rPr>
        <w:t xml:space="preserve">tranzacțiile cu monede virtuale, precum </w:t>
      </w:r>
      <w:proofErr w:type="spellStart"/>
      <w:r w:rsidR="00FE7016" w:rsidRPr="00443A7E">
        <w:rPr>
          <w:rFonts w:asciiTheme="majorHAnsi" w:hAnsiTheme="majorHAnsi" w:cstheme="majorHAnsi"/>
          <w:b/>
          <w:bCs/>
          <w:lang w:val="ro-RO"/>
        </w:rPr>
        <w:t>Bitcoin</w:t>
      </w:r>
      <w:proofErr w:type="spellEnd"/>
      <w:r w:rsidR="00FE7016" w:rsidRPr="00525B3A">
        <w:rPr>
          <w:rFonts w:asciiTheme="majorHAnsi" w:hAnsiTheme="majorHAnsi" w:cstheme="majorHAnsi"/>
          <w:lang w:val="ro-RO"/>
        </w:rPr>
        <w:t xml:space="preserve">, </w:t>
      </w:r>
      <w:r>
        <w:rPr>
          <w:rFonts w:asciiTheme="majorHAnsi" w:hAnsiTheme="majorHAnsi" w:cstheme="majorHAnsi"/>
          <w:lang w:val="ro-RO"/>
        </w:rPr>
        <w:t xml:space="preserve">pentru care </w:t>
      </w:r>
      <w:r w:rsidR="00FE7016" w:rsidRPr="00525B3A">
        <w:rPr>
          <w:rFonts w:asciiTheme="majorHAnsi" w:hAnsiTheme="majorHAnsi" w:cstheme="majorHAnsi"/>
          <w:lang w:val="ro-RO"/>
        </w:rPr>
        <w:t xml:space="preserve">se conturează o </w:t>
      </w:r>
      <w:r w:rsidR="00FE7016" w:rsidRPr="00443A7E">
        <w:rPr>
          <w:rFonts w:asciiTheme="majorHAnsi" w:hAnsiTheme="majorHAnsi" w:cstheme="majorHAnsi"/>
          <w:b/>
          <w:bCs/>
          <w:lang w:val="ro-RO"/>
        </w:rPr>
        <w:t>înclinație spre scutirea de TVA</w:t>
      </w:r>
      <w:r w:rsidR="00FE7016" w:rsidRPr="00525B3A">
        <w:rPr>
          <w:rFonts w:asciiTheme="majorHAnsi" w:hAnsiTheme="majorHAnsi" w:cstheme="majorHAnsi"/>
          <w:lang w:val="ro-RO"/>
        </w:rPr>
        <w:t xml:space="preserve"> </w:t>
      </w:r>
      <w:r>
        <w:rPr>
          <w:rFonts w:asciiTheme="majorHAnsi" w:hAnsiTheme="majorHAnsi" w:cstheme="majorHAnsi"/>
          <w:lang w:val="ro-RO"/>
        </w:rPr>
        <w:t xml:space="preserve">a </w:t>
      </w:r>
      <w:r w:rsidR="00DB76BD" w:rsidRPr="00525B3A">
        <w:rPr>
          <w:rFonts w:asciiTheme="majorHAnsi" w:hAnsiTheme="majorHAnsi" w:cstheme="majorHAnsi"/>
          <w:lang w:val="ro-RO"/>
        </w:rPr>
        <w:t>serviciil</w:t>
      </w:r>
      <w:r w:rsidR="00DB76BD">
        <w:rPr>
          <w:rFonts w:asciiTheme="majorHAnsi" w:hAnsiTheme="majorHAnsi" w:cstheme="majorHAnsi"/>
          <w:lang w:val="ro-RO"/>
        </w:rPr>
        <w:t>or</w:t>
      </w:r>
      <w:r w:rsidR="00DB76BD" w:rsidRPr="00525B3A">
        <w:rPr>
          <w:rFonts w:asciiTheme="majorHAnsi" w:hAnsiTheme="majorHAnsi" w:cstheme="majorHAnsi"/>
          <w:lang w:val="ro-RO"/>
        </w:rPr>
        <w:t xml:space="preserve"> </w:t>
      </w:r>
      <w:r w:rsidR="00FE7016" w:rsidRPr="00525B3A">
        <w:rPr>
          <w:rFonts w:asciiTheme="majorHAnsi" w:hAnsiTheme="majorHAnsi" w:cstheme="majorHAnsi"/>
          <w:lang w:val="ro-RO"/>
        </w:rPr>
        <w:t xml:space="preserve">legate de acestea, pentru </w:t>
      </w:r>
      <w:r w:rsidRPr="00443A7E">
        <w:rPr>
          <w:rFonts w:asciiTheme="majorHAnsi" w:hAnsiTheme="majorHAnsi" w:cstheme="majorHAnsi"/>
          <w:b/>
          <w:bCs/>
          <w:lang w:val="ro-RO"/>
        </w:rPr>
        <w:t>alte tipuri de active (</w:t>
      </w:r>
      <w:proofErr w:type="spellStart"/>
      <w:r w:rsidR="00FE7016" w:rsidRPr="00443A7E">
        <w:rPr>
          <w:rFonts w:asciiTheme="majorHAnsi" w:hAnsiTheme="majorHAnsi" w:cstheme="majorHAnsi"/>
          <w:b/>
          <w:bCs/>
          <w:i/>
          <w:lang w:val="ro-RO"/>
        </w:rPr>
        <w:t>token</w:t>
      </w:r>
      <w:proofErr w:type="spellEnd"/>
      <w:r w:rsidR="00FE7016" w:rsidRPr="00443A7E">
        <w:rPr>
          <w:rFonts w:asciiTheme="majorHAnsi" w:hAnsiTheme="majorHAnsi" w:cstheme="majorHAnsi"/>
          <w:b/>
          <w:bCs/>
          <w:i/>
          <w:lang w:val="ro-RO"/>
        </w:rPr>
        <w:t>-uri nefungibile</w:t>
      </w:r>
      <w:r w:rsidR="00FE7016" w:rsidRPr="00443A7E">
        <w:rPr>
          <w:rFonts w:asciiTheme="majorHAnsi" w:hAnsiTheme="majorHAnsi" w:cstheme="majorHAnsi"/>
          <w:b/>
          <w:bCs/>
          <w:lang w:val="ro-RO"/>
        </w:rPr>
        <w:t xml:space="preserve"> </w:t>
      </w:r>
      <w:r w:rsidRPr="00443A7E">
        <w:rPr>
          <w:rFonts w:asciiTheme="majorHAnsi" w:hAnsiTheme="majorHAnsi" w:cstheme="majorHAnsi"/>
          <w:b/>
          <w:bCs/>
          <w:lang w:val="ro-RO"/>
        </w:rPr>
        <w:t xml:space="preserve">- </w:t>
      </w:r>
      <w:r w:rsidR="00FE7016" w:rsidRPr="00443A7E">
        <w:rPr>
          <w:rFonts w:asciiTheme="majorHAnsi" w:hAnsiTheme="majorHAnsi" w:cstheme="majorHAnsi"/>
          <w:b/>
          <w:bCs/>
          <w:lang w:val="ro-RO"/>
        </w:rPr>
        <w:t xml:space="preserve">NFT), tratamentul de TVA rămâne </w:t>
      </w:r>
      <w:r w:rsidRPr="00443A7E">
        <w:rPr>
          <w:rFonts w:asciiTheme="majorHAnsi" w:hAnsiTheme="majorHAnsi" w:cstheme="majorHAnsi"/>
          <w:b/>
          <w:bCs/>
          <w:lang w:val="ro-RO"/>
        </w:rPr>
        <w:t>incert</w:t>
      </w:r>
      <w:r>
        <w:rPr>
          <w:rFonts w:asciiTheme="majorHAnsi" w:hAnsiTheme="majorHAnsi" w:cstheme="majorHAnsi"/>
          <w:lang w:val="ro-RO"/>
        </w:rPr>
        <w:t xml:space="preserve">, </w:t>
      </w:r>
      <w:r w:rsidR="00FE7016" w:rsidRPr="00525B3A">
        <w:rPr>
          <w:rFonts w:asciiTheme="majorHAnsi" w:hAnsiTheme="majorHAnsi" w:cstheme="majorHAnsi"/>
          <w:lang w:val="ro-RO"/>
        </w:rPr>
        <w:t>un subiect încă ne</w:t>
      </w:r>
      <w:r>
        <w:rPr>
          <w:rFonts w:asciiTheme="majorHAnsi" w:hAnsiTheme="majorHAnsi" w:cstheme="majorHAnsi"/>
          <w:lang w:val="ro-RO"/>
        </w:rPr>
        <w:t>clarificat</w:t>
      </w:r>
      <w:r w:rsidR="00FE7016" w:rsidRPr="00525B3A">
        <w:rPr>
          <w:rFonts w:asciiTheme="majorHAnsi" w:hAnsiTheme="majorHAnsi" w:cstheme="majorHAnsi"/>
          <w:lang w:val="ro-RO"/>
        </w:rPr>
        <w:t xml:space="preserve"> de legislația comunitară </w:t>
      </w:r>
      <w:r>
        <w:rPr>
          <w:rFonts w:asciiTheme="majorHAnsi" w:hAnsiTheme="majorHAnsi" w:cstheme="majorHAnsi"/>
          <w:lang w:val="ro-RO"/>
        </w:rPr>
        <w:t>în domeniu</w:t>
      </w:r>
      <w:r w:rsidR="00FE7016" w:rsidRPr="00525B3A">
        <w:rPr>
          <w:rFonts w:asciiTheme="majorHAnsi" w:hAnsiTheme="majorHAnsi" w:cstheme="majorHAnsi"/>
          <w:lang w:val="ro-RO"/>
        </w:rPr>
        <w:t xml:space="preserve">. </w:t>
      </w:r>
      <w:r>
        <w:rPr>
          <w:rFonts w:asciiTheme="majorHAnsi" w:hAnsiTheme="majorHAnsi" w:cstheme="majorHAnsi"/>
          <w:lang w:val="ro-RO"/>
        </w:rPr>
        <w:t>Î</w:t>
      </w:r>
      <w:r w:rsidR="00FE7016" w:rsidRPr="00525B3A">
        <w:rPr>
          <w:rFonts w:asciiTheme="majorHAnsi" w:hAnsiTheme="majorHAnsi" w:cstheme="majorHAnsi"/>
          <w:lang w:val="ro-RO"/>
        </w:rPr>
        <w:t xml:space="preserve">n absența unor prevederi </w:t>
      </w:r>
      <w:r>
        <w:rPr>
          <w:rFonts w:asciiTheme="majorHAnsi" w:hAnsiTheme="majorHAnsi" w:cstheme="majorHAnsi"/>
          <w:lang w:val="ro-RO"/>
        </w:rPr>
        <w:t xml:space="preserve">generale </w:t>
      </w:r>
      <w:r w:rsidR="00FE7016" w:rsidRPr="00525B3A">
        <w:rPr>
          <w:rFonts w:asciiTheme="majorHAnsi" w:hAnsiTheme="majorHAnsi" w:cstheme="majorHAnsi"/>
          <w:lang w:val="ro-RO"/>
        </w:rPr>
        <w:t>la nivelul U</w:t>
      </w:r>
      <w:r>
        <w:rPr>
          <w:rFonts w:asciiTheme="majorHAnsi" w:hAnsiTheme="majorHAnsi" w:cstheme="majorHAnsi"/>
          <w:lang w:val="ro-RO"/>
        </w:rPr>
        <w:t>E</w:t>
      </w:r>
      <w:r w:rsidR="00FE7016" w:rsidRPr="00525B3A">
        <w:rPr>
          <w:rFonts w:asciiTheme="majorHAnsi" w:hAnsiTheme="majorHAnsi" w:cstheme="majorHAnsi"/>
          <w:lang w:val="ro-RO"/>
        </w:rPr>
        <w:t xml:space="preserve">, mai multe state membre au legiferat în mod diferit tratamentul de TVA aferent anumitor operațiuni ce vizează </w:t>
      </w:r>
      <w:proofErr w:type="spellStart"/>
      <w:r w:rsidR="00FE7016" w:rsidRPr="00525B3A">
        <w:rPr>
          <w:rFonts w:asciiTheme="majorHAnsi" w:hAnsiTheme="majorHAnsi" w:cstheme="majorHAnsi"/>
          <w:lang w:val="ro-RO"/>
        </w:rPr>
        <w:t>criptoactivele</w:t>
      </w:r>
      <w:proofErr w:type="spellEnd"/>
      <w:r w:rsidR="00FE7016" w:rsidRPr="00525B3A">
        <w:rPr>
          <w:rFonts w:asciiTheme="majorHAnsi" w:hAnsiTheme="majorHAnsi" w:cstheme="majorHAnsi"/>
          <w:lang w:val="ro-RO"/>
        </w:rPr>
        <w:t xml:space="preserve"> (</w:t>
      </w:r>
      <w:r w:rsidR="00DB76BD">
        <w:rPr>
          <w:rFonts w:asciiTheme="majorHAnsi" w:hAnsiTheme="majorHAnsi" w:cstheme="majorHAnsi"/>
          <w:lang w:val="ro-RO"/>
        </w:rPr>
        <w:t xml:space="preserve">de </w:t>
      </w:r>
      <w:r w:rsidR="00FE7016" w:rsidRPr="00525B3A">
        <w:rPr>
          <w:rFonts w:asciiTheme="majorHAnsi" w:hAnsiTheme="majorHAnsi" w:cstheme="majorHAnsi"/>
          <w:lang w:val="ro-RO"/>
        </w:rPr>
        <w:t>ex</w:t>
      </w:r>
      <w:r w:rsidR="00DB76BD">
        <w:rPr>
          <w:rFonts w:asciiTheme="majorHAnsi" w:hAnsiTheme="majorHAnsi" w:cstheme="majorHAnsi"/>
          <w:lang w:val="ro-RO"/>
        </w:rPr>
        <w:t>emplu,</w:t>
      </w:r>
      <w:r w:rsidR="00DB76BD" w:rsidRPr="00525B3A">
        <w:rPr>
          <w:rFonts w:asciiTheme="majorHAnsi" w:hAnsiTheme="majorHAnsi" w:cstheme="majorHAnsi"/>
          <w:lang w:val="ro-RO"/>
        </w:rPr>
        <w:t xml:space="preserve"> </w:t>
      </w:r>
      <w:r w:rsidR="00FE7016" w:rsidRPr="00525B3A">
        <w:rPr>
          <w:rFonts w:asciiTheme="majorHAnsi" w:hAnsiTheme="majorHAnsi" w:cstheme="majorHAnsi"/>
          <w:lang w:val="ro-RO"/>
        </w:rPr>
        <w:t xml:space="preserve">Germania, Danemarca, Bulgaria). </w:t>
      </w:r>
    </w:p>
    <w:p w14:paraId="6250F759" w14:textId="3C71A23E" w:rsidR="00FE7016" w:rsidRDefault="008C58C5" w:rsidP="0031766C">
      <w:pPr>
        <w:spacing w:before="80" w:line="312" w:lineRule="auto"/>
        <w:jc w:val="both"/>
        <w:rPr>
          <w:rFonts w:asciiTheme="majorHAnsi" w:hAnsiTheme="majorHAnsi" w:cstheme="majorHAnsi"/>
          <w:lang w:val="ro-RO"/>
        </w:rPr>
      </w:pPr>
      <w:r>
        <w:rPr>
          <w:rFonts w:asciiTheme="majorHAnsi" w:hAnsiTheme="majorHAnsi" w:cstheme="majorHAnsi"/>
          <w:lang w:val="ro-RO"/>
        </w:rPr>
        <w:t>Așadar,</w:t>
      </w:r>
      <w:r w:rsidR="00901696">
        <w:rPr>
          <w:rFonts w:asciiTheme="majorHAnsi" w:hAnsiTheme="majorHAnsi" w:cstheme="majorHAnsi"/>
          <w:lang w:val="ro-RO"/>
        </w:rPr>
        <w:t xml:space="preserve"> </w:t>
      </w:r>
      <w:r w:rsidR="00FE7016" w:rsidRPr="00525B3A">
        <w:rPr>
          <w:rFonts w:asciiTheme="majorHAnsi" w:hAnsiTheme="majorHAnsi" w:cstheme="majorHAnsi"/>
          <w:lang w:val="ro-RO"/>
        </w:rPr>
        <w:t xml:space="preserve">tratamentul de TVA </w:t>
      </w:r>
      <w:r>
        <w:rPr>
          <w:rFonts w:asciiTheme="majorHAnsi" w:hAnsiTheme="majorHAnsi" w:cstheme="majorHAnsi"/>
          <w:lang w:val="ro-RO"/>
        </w:rPr>
        <w:t xml:space="preserve">aplicabil în astfel de cazuri </w:t>
      </w:r>
      <w:r w:rsidR="00FE7016" w:rsidRPr="00525B3A">
        <w:rPr>
          <w:rFonts w:asciiTheme="majorHAnsi" w:hAnsiTheme="majorHAnsi" w:cstheme="majorHAnsi"/>
          <w:lang w:val="ro-RO"/>
        </w:rPr>
        <w:t xml:space="preserve">rămâne o </w:t>
      </w:r>
      <w:r>
        <w:rPr>
          <w:rFonts w:asciiTheme="majorHAnsi" w:hAnsiTheme="majorHAnsi" w:cstheme="majorHAnsi"/>
          <w:lang w:val="ro-RO"/>
        </w:rPr>
        <w:t xml:space="preserve">necunoscută, atât pentru contribuabili, care aplică </w:t>
      </w:r>
      <w:r w:rsidR="00FE7016" w:rsidRPr="00525B3A">
        <w:rPr>
          <w:rFonts w:asciiTheme="majorHAnsi" w:hAnsiTheme="majorHAnsi" w:cstheme="majorHAnsi"/>
          <w:lang w:val="ro-RO"/>
        </w:rPr>
        <w:t>arbitrar principiil</w:t>
      </w:r>
      <w:r w:rsidR="00901696">
        <w:rPr>
          <w:rFonts w:asciiTheme="majorHAnsi" w:hAnsiTheme="majorHAnsi" w:cstheme="majorHAnsi"/>
          <w:lang w:val="ro-RO"/>
        </w:rPr>
        <w:t>e</w:t>
      </w:r>
      <w:r w:rsidR="00FE7016" w:rsidRPr="00525B3A">
        <w:rPr>
          <w:rFonts w:asciiTheme="majorHAnsi" w:hAnsiTheme="majorHAnsi" w:cstheme="majorHAnsi"/>
          <w:lang w:val="ro-RO"/>
        </w:rPr>
        <w:t xml:space="preserve"> de TVA</w:t>
      </w:r>
      <w:r w:rsidR="00901696">
        <w:rPr>
          <w:rFonts w:asciiTheme="majorHAnsi" w:hAnsiTheme="majorHAnsi" w:cstheme="majorHAnsi"/>
          <w:lang w:val="ro-RO"/>
        </w:rPr>
        <w:t xml:space="preserve">, cât și pentru </w:t>
      </w:r>
      <w:r w:rsidR="00901696" w:rsidRPr="00525B3A">
        <w:rPr>
          <w:rFonts w:asciiTheme="majorHAnsi" w:hAnsiTheme="majorHAnsi" w:cstheme="majorHAnsi"/>
          <w:lang w:val="ro-RO"/>
        </w:rPr>
        <w:t>echipel</w:t>
      </w:r>
      <w:r w:rsidR="00901696">
        <w:rPr>
          <w:rFonts w:asciiTheme="majorHAnsi" w:hAnsiTheme="majorHAnsi" w:cstheme="majorHAnsi"/>
          <w:lang w:val="ro-RO"/>
        </w:rPr>
        <w:t>e</w:t>
      </w:r>
      <w:r w:rsidR="00901696" w:rsidRPr="00525B3A">
        <w:rPr>
          <w:rFonts w:asciiTheme="majorHAnsi" w:hAnsiTheme="majorHAnsi" w:cstheme="majorHAnsi"/>
          <w:lang w:val="ro-RO"/>
        </w:rPr>
        <w:t xml:space="preserve"> de inspecție fiscală</w:t>
      </w:r>
      <w:r w:rsidR="00901696">
        <w:rPr>
          <w:rFonts w:asciiTheme="majorHAnsi" w:hAnsiTheme="majorHAnsi" w:cstheme="majorHAnsi"/>
          <w:lang w:val="ro-RO"/>
        </w:rPr>
        <w:t xml:space="preserve">, având în vedere </w:t>
      </w:r>
      <w:r w:rsidR="00FE7016" w:rsidRPr="00525B3A">
        <w:rPr>
          <w:rFonts w:asciiTheme="majorHAnsi" w:hAnsiTheme="majorHAnsi" w:cstheme="majorHAnsi"/>
          <w:lang w:val="ro-RO"/>
        </w:rPr>
        <w:t xml:space="preserve">interpretarea diferită a </w:t>
      </w:r>
      <w:r w:rsidR="00901696">
        <w:rPr>
          <w:rFonts w:asciiTheme="majorHAnsi" w:hAnsiTheme="majorHAnsi" w:cstheme="majorHAnsi"/>
          <w:lang w:val="ro-RO"/>
        </w:rPr>
        <w:t xml:space="preserve">aspectelor de acest gen în </w:t>
      </w:r>
      <w:r w:rsidR="00FE7016" w:rsidRPr="00525B3A">
        <w:rPr>
          <w:rFonts w:asciiTheme="majorHAnsi" w:hAnsiTheme="majorHAnsi" w:cstheme="majorHAnsi"/>
          <w:lang w:val="ro-RO"/>
        </w:rPr>
        <w:t>statel</w:t>
      </w:r>
      <w:r w:rsidR="00901696">
        <w:rPr>
          <w:rFonts w:asciiTheme="majorHAnsi" w:hAnsiTheme="majorHAnsi" w:cstheme="majorHAnsi"/>
          <w:lang w:val="ro-RO"/>
        </w:rPr>
        <w:t>e UE</w:t>
      </w:r>
      <w:r w:rsidR="00FE7016" w:rsidRPr="00525B3A">
        <w:rPr>
          <w:rFonts w:asciiTheme="majorHAnsi" w:hAnsiTheme="majorHAnsi" w:cstheme="majorHAnsi"/>
          <w:lang w:val="ro-RO"/>
        </w:rPr>
        <w:t>. Rămâne de v</w:t>
      </w:r>
      <w:r w:rsidR="00901696">
        <w:rPr>
          <w:rFonts w:asciiTheme="majorHAnsi" w:hAnsiTheme="majorHAnsi" w:cstheme="majorHAnsi"/>
          <w:lang w:val="ro-RO"/>
        </w:rPr>
        <w:t>ă</w:t>
      </w:r>
      <w:r w:rsidR="00FE7016" w:rsidRPr="00525B3A">
        <w:rPr>
          <w:rFonts w:asciiTheme="majorHAnsi" w:hAnsiTheme="majorHAnsi" w:cstheme="majorHAnsi"/>
          <w:lang w:val="ro-RO"/>
        </w:rPr>
        <w:t>zut</w:t>
      </w:r>
      <w:r w:rsidR="00901696">
        <w:rPr>
          <w:rFonts w:asciiTheme="majorHAnsi" w:hAnsiTheme="majorHAnsi" w:cstheme="majorHAnsi"/>
          <w:lang w:val="ro-RO"/>
        </w:rPr>
        <w:t xml:space="preserve"> care va fi</w:t>
      </w:r>
      <w:r w:rsidR="00FE7016" w:rsidRPr="00525B3A">
        <w:rPr>
          <w:rFonts w:asciiTheme="majorHAnsi" w:hAnsiTheme="majorHAnsi" w:cstheme="majorHAnsi"/>
          <w:lang w:val="ro-RO"/>
        </w:rPr>
        <w:t xml:space="preserve"> modalitatea prin care tratamentul de TVA a</w:t>
      </w:r>
      <w:r w:rsidR="00901696">
        <w:rPr>
          <w:rFonts w:asciiTheme="majorHAnsi" w:hAnsiTheme="majorHAnsi" w:cstheme="majorHAnsi"/>
          <w:lang w:val="ro-RO"/>
        </w:rPr>
        <w:t>l</w:t>
      </w:r>
      <w:r w:rsidR="00FE7016" w:rsidRPr="00525B3A">
        <w:rPr>
          <w:rFonts w:asciiTheme="majorHAnsi" w:hAnsiTheme="majorHAnsi" w:cstheme="majorHAnsi"/>
          <w:lang w:val="ro-RO"/>
        </w:rPr>
        <w:t xml:space="preserve"> acestor operațiuni va fi armonizat la nivelul U</w:t>
      </w:r>
      <w:r w:rsidR="00901696">
        <w:rPr>
          <w:rFonts w:asciiTheme="majorHAnsi" w:hAnsiTheme="majorHAnsi" w:cstheme="majorHAnsi"/>
          <w:lang w:val="ro-RO"/>
        </w:rPr>
        <w:t>E</w:t>
      </w:r>
      <w:r w:rsidR="00FE7016" w:rsidRPr="00525B3A">
        <w:rPr>
          <w:rFonts w:asciiTheme="majorHAnsi" w:hAnsiTheme="majorHAnsi" w:cstheme="majorHAnsi"/>
          <w:lang w:val="ro-RO"/>
        </w:rPr>
        <w:t xml:space="preserve"> și</w:t>
      </w:r>
      <w:r w:rsidR="00901696">
        <w:rPr>
          <w:rFonts w:asciiTheme="majorHAnsi" w:hAnsiTheme="majorHAnsi" w:cstheme="majorHAnsi"/>
          <w:lang w:val="ro-RO"/>
        </w:rPr>
        <w:t xml:space="preserve"> </w:t>
      </w:r>
      <w:r w:rsidR="00FE7016" w:rsidRPr="00525B3A">
        <w:rPr>
          <w:rFonts w:asciiTheme="majorHAnsi" w:hAnsiTheme="majorHAnsi" w:cstheme="majorHAnsi"/>
          <w:lang w:val="ro-RO"/>
        </w:rPr>
        <w:t>care va fi poziția României în acest sens.</w:t>
      </w:r>
    </w:p>
    <w:p w14:paraId="6E69FDD6" w14:textId="77777777" w:rsidR="00DB76BD" w:rsidRPr="00525B3A" w:rsidRDefault="00DB76BD" w:rsidP="0031766C">
      <w:pPr>
        <w:spacing w:before="80" w:line="312" w:lineRule="auto"/>
        <w:jc w:val="both"/>
        <w:rPr>
          <w:rFonts w:asciiTheme="majorHAnsi" w:hAnsiTheme="majorHAnsi" w:cstheme="majorHAnsi"/>
          <w:lang w:val="ro-RO"/>
        </w:rPr>
      </w:pPr>
    </w:p>
    <w:p w14:paraId="572E040C" w14:textId="0225CB50" w:rsidR="00FE7016" w:rsidRPr="00525B3A" w:rsidRDefault="004A0CDB" w:rsidP="0031766C">
      <w:pPr>
        <w:spacing w:before="80" w:line="312" w:lineRule="auto"/>
        <w:jc w:val="both"/>
        <w:rPr>
          <w:rFonts w:asciiTheme="majorHAnsi" w:hAnsiTheme="majorHAnsi" w:cstheme="majorHAnsi"/>
          <w:b/>
          <w:bCs/>
          <w:lang w:val="ro-RO"/>
        </w:rPr>
      </w:pPr>
      <w:r>
        <w:rPr>
          <w:rFonts w:asciiTheme="majorHAnsi" w:hAnsiTheme="majorHAnsi" w:cstheme="majorHAnsi"/>
          <w:b/>
          <w:bCs/>
          <w:lang w:val="ro-RO"/>
        </w:rPr>
        <w:t>Reflectarea tranzacțiilor în contabilitate, încă neclară</w:t>
      </w:r>
    </w:p>
    <w:p w14:paraId="1B5E1DB9" w14:textId="4CC086A9" w:rsidR="00FE7016" w:rsidRPr="00525B3A" w:rsidRDefault="00FE7016" w:rsidP="0031766C">
      <w:pPr>
        <w:spacing w:before="80" w:line="312" w:lineRule="auto"/>
        <w:jc w:val="both"/>
        <w:rPr>
          <w:rFonts w:asciiTheme="majorHAnsi" w:hAnsiTheme="majorHAnsi" w:cstheme="majorHAnsi"/>
          <w:lang w:val="ro-RO"/>
        </w:rPr>
      </w:pPr>
      <w:r w:rsidRPr="00525B3A">
        <w:rPr>
          <w:rFonts w:asciiTheme="majorHAnsi" w:hAnsiTheme="majorHAnsi" w:cstheme="majorHAnsi"/>
          <w:lang w:val="ro-RO"/>
        </w:rPr>
        <w:t xml:space="preserve">Din perspectivă contabilă, nu există un cadru legislativ specific în ceea ce privește reflectarea acestor tranzacții în contabilitatea persoanelor juridice, astfel </w:t>
      </w:r>
      <w:r w:rsidR="00676919">
        <w:rPr>
          <w:rFonts w:asciiTheme="majorHAnsi" w:hAnsiTheme="majorHAnsi" w:cstheme="majorHAnsi"/>
          <w:lang w:val="ro-RO"/>
        </w:rPr>
        <w:t>că</w:t>
      </w:r>
      <w:r w:rsidRPr="00525B3A">
        <w:rPr>
          <w:rFonts w:asciiTheme="majorHAnsi" w:hAnsiTheme="majorHAnsi" w:cstheme="majorHAnsi"/>
          <w:lang w:val="ro-RO"/>
        </w:rPr>
        <w:t xml:space="preserve"> tratamentul contabil </w:t>
      </w:r>
      <w:r w:rsidR="00676919">
        <w:rPr>
          <w:rFonts w:asciiTheme="majorHAnsi" w:hAnsiTheme="majorHAnsi" w:cstheme="majorHAnsi"/>
          <w:lang w:val="ro-RO"/>
        </w:rPr>
        <w:t xml:space="preserve">trebuie analizat </w:t>
      </w:r>
      <w:r w:rsidRPr="00525B3A">
        <w:rPr>
          <w:rFonts w:asciiTheme="majorHAnsi" w:hAnsiTheme="majorHAnsi" w:cstheme="majorHAnsi"/>
          <w:lang w:val="ro-RO"/>
        </w:rPr>
        <w:t xml:space="preserve">de la caz la caz, după felul tranzacției: </w:t>
      </w:r>
      <w:proofErr w:type="spellStart"/>
      <w:r w:rsidRPr="00525B3A">
        <w:rPr>
          <w:rFonts w:asciiTheme="majorHAnsi" w:hAnsiTheme="majorHAnsi" w:cstheme="majorHAnsi"/>
          <w:lang w:val="ro-RO"/>
        </w:rPr>
        <w:t>criptoactive</w:t>
      </w:r>
      <w:proofErr w:type="spellEnd"/>
      <w:r w:rsidRPr="00525B3A">
        <w:rPr>
          <w:rFonts w:asciiTheme="majorHAnsi" w:hAnsiTheme="majorHAnsi" w:cstheme="majorHAnsi"/>
          <w:lang w:val="ro-RO"/>
        </w:rPr>
        <w:t xml:space="preserve"> rezultate în urma activității de „minare”, emiterea de </w:t>
      </w:r>
      <w:proofErr w:type="spellStart"/>
      <w:r w:rsidRPr="00525B3A">
        <w:rPr>
          <w:rFonts w:asciiTheme="majorHAnsi" w:hAnsiTheme="majorHAnsi" w:cstheme="majorHAnsi"/>
          <w:lang w:val="ro-RO"/>
        </w:rPr>
        <w:t>criptoactive</w:t>
      </w:r>
      <w:proofErr w:type="spellEnd"/>
      <w:r w:rsidRPr="00525B3A">
        <w:rPr>
          <w:rFonts w:asciiTheme="majorHAnsi" w:hAnsiTheme="majorHAnsi" w:cstheme="majorHAnsi"/>
          <w:lang w:val="ro-RO"/>
        </w:rPr>
        <w:t xml:space="preserve"> în cadrul unor oferte inițiale, publice sau private, schimbul </w:t>
      </w:r>
      <w:proofErr w:type="spellStart"/>
      <w:r w:rsidRPr="00525B3A">
        <w:rPr>
          <w:rFonts w:asciiTheme="majorHAnsi" w:hAnsiTheme="majorHAnsi" w:cstheme="majorHAnsi"/>
          <w:lang w:val="ro-RO"/>
        </w:rPr>
        <w:t>criptoactivelor</w:t>
      </w:r>
      <w:proofErr w:type="spellEnd"/>
      <w:r w:rsidRPr="00525B3A">
        <w:rPr>
          <w:rFonts w:asciiTheme="majorHAnsi" w:hAnsiTheme="majorHAnsi" w:cstheme="majorHAnsi"/>
          <w:lang w:val="ro-RO"/>
        </w:rPr>
        <w:t xml:space="preserve"> cu alte tipuri de active etc. </w:t>
      </w:r>
    </w:p>
    <w:p w14:paraId="04A70220" w14:textId="40027B23" w:rsidR="00FE7016" w:rsidRPr="00525B3A" w:rsidRDefault="00676919" w:rsidP="0031766C">
      <w:pPr>
        <w:spacing w:before="80" w:line="312" w:lineRule="auto"/>
        <w:jc w:val="both"/>
        <w:rPr>
          <w:rFonts w:asciiTheme="majorHAnsi" w:hAnsiTheme="majorHAnsi" w:cstheme="majorHAnsi"/>
          <w:lang w:val="ro-RO"/>
        </w:rPr>
      </w:pPr>
      <w:r>
        <w:rPr>
          <w:rFonts w:asciiTheme="majorHAnsi" w:hAnsiTheme="majorHAnsi" w:cstheme="majorHAnsi"/>
          <w:lang w:val="ro-RO"/>
        </w:rPr>
        <w:t>În România, e</w:t>
      </w:r>
      <w:r w:rsidR="00FE7016" w:rsidRPr="00525B3A">
        <w:rPr>
          <w:rFonts w:asciiTheme="majorHAnsi" w:hAnsiTheme="majorHAnsi" w:cstheme="majorHAnsi"/>
          <w:lang w:val="ro-RO"/>
        </w:rPr>
        <w:t xml:space="preserve">xistă un </w:t>
      </w:r>
      <w:r>
        <w:rPr>
          <w:rFonts w:asciiTheme="majorHAnsi" w:hAnsiTheme="majorHAnsi" w:cstheme="majorHAnsi"/>
          <w:lang w:val="ro-RO"/>
        </w:rPr>
        <w:t xml:space="preserve">set </w:t>
      </w:r>
      <w:r w:rsidR="00FE7016" w:rsidRPr="00525B3A">
        <w:rPr>
          <w:rFonts w:asciiTheme="majorHAnsi" w:hAnsiTheme="majorHAnsi" w:cstheme="majorHAnsi"/>
          <w:lang w:val="ro-RO"/>
        </w:rPr>
        <w:t xml:space="preserve">de propuneri privind înregistrarea în contabilitate a unei categorii particulare de </w:t>
      </w:r>
      <w:proofErr w:type="spellStart"/>
      <w:r w:rsidR="00FE7016" w:rsidRPr="00525B3A">
        <w:rPr>
          <w:rFonts w:asciiTheme="majorHAnsi" w:hAnsiTheme="majorHAnsi" w:cstheme="majorHAnsi"/>
          <w:lang w:val="ro-RO"/>
        </w:rPr>
        <w:t>criptoactive</w:t>
      </w:r>
      <w:proofErr w:type="spellEnd"/>
      <w:r w:rsidR="00FE7016" w:rsidRPr="00525B3A">
        <w:rPr>
          <w:rFonts w:asciiTheme="majorHAnsi" w:hAnsiTheme="majorHAnsi" w:cstheme="majorHAnsi"/>
          <w:lang w:val="ro-RO"/>
        </w:rPr>
        <w:t xml:space="preserve"> (</w:t>
      </w:r>
      <w:proofErr w:type="spellStart"/>
      <w:r w:rsidR="00FE7016" w:rsidRPr="00525B3A">
        <w:rPr>
          <w:rFonts w:asciiTheme="majorHAnsi" w:hAnsiTheme="majorHAnsi" w:cstheme="majorHAnsi"/>
          <w:lang w:val="ro-RO"/>
        </w:rPr>
        <w:t>criptomonedele</w:t>
      </w:r>
      <w:proofErr w:type="spellEnd"/>
      <w:r w:rsidR="00FE7016" w:rsidRPr="00525B3A">
        <w:rPr>
          <w:rFonts w:asciiTheme="majorHAnsi" w:hAnsiTheme="majorHAnsi" w:cstheme="majorHAnsi"/>
          <w:lang w:val="ro-RO"/>
        </w:rPr>
        <w:t>)</w:t>
      </w:r>
      <w:r w:rsidR="00DB76BD">
        <w:rPr>
          <w:rFonts w:asciiTheme="majorHAnsi" w:hAnsiTheme="majorHAnsi" w:cstheme="majorHAnsi"/>
          <w:lang w:val="ro-RO"/>
        </w:rPr>
        <w:t>,</w:t>
      </w:r>
      <w:r w:rsidR="00FE7016" w:rsidRPr="00525B3A">
        <w:rPr>
          <w:rFonts w:asciiTheme="majorHAnsi" w:hAnsiTheme="majorHAnsi" w:cstheme="majorHAnsi"/>
          <w:lang w:val="ro-RO"/>
        </w:rPr>
        <w:t xml:space="preserve"> </w:t>
      </w:r>
      <w:r>
        <w:rPr>
          <w:rFonts w:asciiTheme="majorHAnsi" w:hAnsiTheme="majorHAnsi" w:cstheme="majorHAnsi"/>
          <w:lang w:val="ro-RO"/>
        </w:rPr>
        <w:t xml:space="preserve">elaborate de </w:t>
      </w:r>
      <w:r w:rsidR="00FE7016" w:rsidRPr="00525B3A">
        <w:rPr>
          <w:rFonts w:asciiTheme="majorHAnsi" w:hAnsiTheme="majorHAnsi" w:cstheme="majorHAnsi"/>
          <w:lang w:val="ro-RO"/>
        </w:rPr>
        <w:t>Corpul Experților Contabili și Contabililor Autorizați din România</w:t>
      </w:r>
      <w:r>
        <w:rPr>
          <w:rFonts w:asciiTheme="majorHAnsi" w:hAnsiTheme="majorHAnsi" w:cstheme="majorHAnsi"/>
          <w:lang w:val="ro-RO"/>
        </w:rPr>
        <w:t xml:space="preserve"> (</w:t>
      </w:r>
      <w:r w:rsidRPr="00525B3A">
        <w:rPr>
          <w:rFonts w:asciiTheme="majorHAnsi" w:hAnsiTheme="majorHAnsi" w:cstheme="majorHAnsi"/>
          <w:lang w:val="ro-RO"/>
        </w:rPr>
        <w:t>CECCAR</w:t>
      </w:r>
      <w:r>
        <w:rPr>
          <w:rFonts w:asciiTheme="majorHAnsi" w:hAnsiTheme="majorHAnsi" w:cstheme="majorHAnsi"/>
          <w:lang w:val="ro-RO"/>
        </w:rPr>
        <w:t>)</w:t>
      </w:r>
      <w:r w:rsidR="00FE7016" w:rsidRPr="00525B3A">
        <w:rPr>
          <w:rFonts w:asciiTheme="majorHAnsi" w:hAnsiTheme="majorHAnsi" w:cstheme="majorHAnsi"/>
          <w:lang w:val="ro-RO"/>
        </w:rPr>
        <w:t xml:space="preserve">, </w:t>
      </w:r>
      <w:r>
        <w:rPr>
          <w:rFonts w:asciiTheme="majorHAnsi" w:hAnsiTheme="majorHAnsi" w:cstheme="majorHAnsi"/>
          <w:lang w:val="ro-RO"/>
        </w:rPr>
        <w:t xml:space="preserve">în conformitate cu </w:t>
      </w:r>
      <w:r w:rsidR="00FE7016" w:rsidRPr="00525B3A">
        <w:rPr>
          <w:rFonts w:asciiTheme="majorHAnsi" w:hAnsiTheme="majorHAnsi" w:cstheme="majorHAnsi"/>
          <w:lang w:val="ro-RO"/>
        </w:rPr>
        <w:t xml:space="preserve">reglementările contabile </w:t>
      </w:r>
      <w:r>
        <w:rPr>
          <w:rFonts w:asciiTheme="majorHAnsi" w:hAnsiTheme="majorHAnsi" w:cstheme="majorHAnsi"/>
          <w:lang w:val="ro-RO"/>
        </w:rPr>
        <w:t>în vigoare</w:t>
      </w:r>
      <w:r w:rsidR="00FE7016" w:rsidRPr="00525B3A">
        <w:rPr>
          <w:rFonts w:asciiTheme="majorHAnsi" w:hAnsiTheme="majorHAnsi" w:cstheme="majorHAnsi"/>
          <w:lang w:val="ro-RO"/>
        </w:rPr>
        <w:t xml:space="preserve">. De asemenea, există și un punct de vedere din partea Comitetului pentru interpretarea standardelor internaționale de raportare financiară – corpul de experți care emite interpretări ale Standardelor Internaționale de Raportare Financiară – privind reflectarea în contabilitate a </w:t>
      </w:r>
      <w:proofErr w:type="spellStart"/>
      <w:r w:rsidR="00FE7016" w:rsidRPr="00525B3A">
        <w:rPr>
          <w:rFonts w:asciiTheme="majorHAnsi" w:hAnsiTheme="majorHAnsi" w:cstheme="majorHAnsi"/>
          <w:lang w:val="ro-RO"/>
        </w:rPr>
        <w:t>criptoactivelor</w:t>
      </w:r>
      <w:proofErr w:type="spellEnd"/>
      <w:r w:rsidR="00FE7016" w:rsidRPr="00525B3A">
        <w:rPr>
          <w:rFonts w:asciiTheme="majorHAnsi" w:hAnsiTheme="majorHAnsi" w:cstheme="majorHAnsi"/>
          <w:lang w:val="ro-RO"/>
        </w:rPr>
        <w:t xml:space="preserve"> de natura </w:t>
      </w:r>
      <w:proofErr w:type="spellStart"/>
      <w:r w:rsidR="00FE7016" w:rsidRPr="00525B3A">
        <w:rPr>
          <w:rFonts w:asciiTheme="majorHAnsi" w:hAnsiTheme="majorHAnsi" w:cstheme="majorHAnsi"/>
          <w:lang w:val="ro-RO"/>
        </w:rPr>
        <w:t>criptomonedelor</w:t>
      </w:r>
      <w:proofErr w:type="spellEnd"/>
      <w:r w:rsidR="00FE7016" w:rsidRPr="00525B3A">
        <w:rPr>
          <w:rFonts w:asciiTheme="majorHAnsi" w:hAnsiTheme="majorHAnsi" w:cstheme="majorHAnsi"/>
          <w:lang w:val="ro-RO"/>
        </w:rPr>
        <w:t xml:space="preserve"> și a activităților de minare și </w:t>
      </w:r>
      <w:r w:rsidR="00E9174D">
        <w:rPr>
          <w:rFonts w:asciiTheme="majorHAnsi" w:hAnsiTheme="majorHAnsi" w:cstheme="majorHAnsi"/>
          <w:lang w:val="ro-RO"/>
        </w:rPr>
        <w:t>forjare</w:t>
      </w:r>
      <w:r w:rsidR="00FE7016" w:rsidRPr="00525B3A">
        <w:rPr>
          <w:rFonts w:asciiTheme="majorHAnsi" w:hAnsiTheme="majorHAnsi" w:cstheme="majorHAnsi"/>
          <w:lang w:val="ro-RO"/>
        </w:rPr>
        <w:t xml:space="preserve">. </w:t>
      </w:r>
    </w:p>
    <w:p w14:paraId="160936C8" w14:textId="2FE69497" w:rsidR="00FE7016" w:rsidRPr="00525B3A" w:rsidRDefault="00FE7016" w:rsidP="0031766C">
      <w:pPr>
        <w:spacing w:before="80" w:line="312" w:lineRule="auto"/>
        <w:jc w:val="both"/>
        <w:rPr>
          <w:rFonts w:asciiTheme="majorHAnsi" w:hAnsiTheme="majorHAnsi" w:cstheme="majorHAnsi"/>
          <w:lang w:val="ro-RO"/>
        </w:rPr>
      </w:pPr>
      <w:r w:rsidRPr="00525B3A">
        <w:rPr>
          <w:rFonts w:asciiTheme="majorHAnsi" w:hAnsiTheme="majorHAnsi" w:cstheme="majorHAnsi"/>
          <w:lang w:val="ro-RO"/>
        </w:rPr>
        <w:t xml:space="preserve">Astfel, pare că se conturează natura </w:t>
      </w:r>
      <w:r w:rsidR="009733D3">
        <w:rPr>
          <w:rFonts w:asciiTheme="majorHAnsi" w:hAnsiTheme="majorHAnsi" w:cstheme="majorHAnsi"/>
          <w:lang w:val="ro-RO"/>
        </w:rPr>
        <w:t xml:space="preserve">acestui tip de </w:t>
      </w:r>
      <w:r w:rsidRPr="00525B3A">
        <w:rPr>
          <w:rFonts w:asciiTheme="majorHAnsi" w:hAnsiTheme="majorHAnsi" w:cstheme="majorHAnsi"/>
          <w:lang w:val="ro-RO"/>
        </w:rPr>
        <w:t xml:space="preserve">active, care, în principiu, funcționează similar unor stocuri (active circulante). Totuși, încadrarea </w:t>
      </w:r>
      <w:proofErr w:type="spellStart"/>
      <w:r w:rsidRPr="00525B3A">
        <w:rPr>
          <w:rFonts w:asciiTheme="majorHAnsi" w:hAnsiTheme="majorHAnsi" w:cstheme="majorHAnsi"/>
          <w:lang w:val="ro-RO"/>
        </w:rPr>
        <w:t>criptoactivelor</w:t>
      </w:r>
      <w:proofErr w:type="spellEnd"/>
      <w:r w:rsidRPr="00525B3A">
        <w:rPr>
          <w:rFonts w:asciiTheme="majorHAnsi" w:hAnsiTheme="majorHAnsi" w:cstheme="majorHAnsi"/>
          <w:lang w:val="ro-RO"/>
        </w:rPr>
        <w:t xml:space="preserve"> trebuie să aibă în vedere și </w:t>
      </w:r>
      <w:r w:rsidR="009733D3">
        <w:rPr>
          <w:rFonts w:asciiTheme="majorHAnsi" w:hAnsiTheme="majorHAnsi" w:cstheme="majorHAnsi"/>
          <w:lang w:val="ro-RO"/>
        </w:rPr>
        <w:t xml:space="preserve">modul în care cel care le deține </w:t>
      </w:r>
      <w:r w:rsidRPr="00525B3A">
        <w:rPr>
          <w:rFonts w:asciiTheme="majorHAnsi" w:hAnsiTheme="majorHAnsi" w:cstheme="majorHAnsi"/>
          <w:lang w:val="ro-RO"/>
        </w:rPr>
        <w:t>intenți</w:t>
      </w:r>
      <w:r w:rsidR="009733D3">
        <w:rPr>
          <w:rFonts w:asciiTheme="majorHAnsi" w:hAnsiTheme="majorHAnsi" w:cstheme="majorHAnsi"/>
          <w:lang w:val="ro-RO"/>
        </w:rPr>
        <w:t xml:space="preserve">onează să le </w:t>
      </w:r>
      <w:r w:rsidRPr="00525B3A">
        <w:rPr>
          <w:rFonts w:asciiTheme="majorHAnsi" w:hAnsiTheme="majorHAnsi" w:cstheme="majorHAnsi"/>
          <w:lang w:val="ro-RO"/>
        </w:rPr>
        <w:t>utiliz</w:t>
      </w:r>
      <w:r w:rsidR="009733D3">
        <w:rPr>
          <w:rFonts w:asciiTheme="majorHAnsi" w:hAnsiTheme="majorHAnsi" w:cstheme="majorHAnsi"/>
          <w:lang w:val="ro-RO"/>
        </w:rPr>
        <w:t>eze</w:t>
      </w:r>
      <w:r w:rsidRPr="00525B3A">
        <w:rPr>
          <w:rFonts w:asciiTheme="majorHAnsi" w:hAnsiTheme="majorHAnsi" w:cstheme="majorHAnsi"/>
          <w:lang w:val="ro-RO"/>
        </w:rPr>
        <w:t xml:space="preserve">, motiv pentru care analiza trebuie efectuată de la caz la caz. De exemplu, există situații în care </w:t>
      </w:r>
      <w:proofErr w:type="spellStart"/>
      <w:r w:rsidRPr="00525B3A">
        <w:rPr>
          <w:rFonts w:asciiTheme="majorHAnsi" w:hAnsiTheme="majorHAnsi" w:cstheme="majorHAnsi"/>
          <w:lang w:val="ro-RO"/>
        </w:rPr>
        <w:t>criptoactivele</w:t>
      </w:r>
      <w:proofErr w:type="spellEnd"/>
      <w:r w:rsidRPr="00525B3A">
        <w:rPr>
          <w:rFonts w:asciiTheme="majorHAnsi" w:hAnsiTheme="majorHAnsi" w:cstheme="majorHAnsi"/>
          <w:lang w:val="ro-RO"/>
        </w:rPr>
        <w:t xml:space="preserve"> sunt deținute pe termen lung – eventual indisponibilizate în vederea obținerii calității de nod validator, iar condițiile de recunoaștere drept stocuri ar putea să nu fie îndeplinite. </w:t>
      </w:r>
    </w:p>
    <w:p w14:paraId="3502F561" w14:textId="1F40C6BE" w:rsidR="00DB76BD" w:rsidRDefault="00FE7016" w:rsidP="0031766C">
      <w:pPr>
        <w:spacing w:before="80" w:line="312" w:lineRule="auto"/>
        <w:jc w:val="both"/>
        <w:rPr>
          <w:rFonts w:asciiTheme="majorHAnsi" w:hAnsiTheme="majorHAnsi" w:cstheme="majorHAnsi"/>
          <w:lang w:val="ro-RO"/>
        </w:rPr>
      </w:pPr>
      <w:r w:rsidRPr="00525B3A">
        <w:rPr>
          <w:rFonts w:asciiTheme="majorHAnsi" w:hAnsiTheme="majorHAnsi" w:cstheme="majorHAnsi"/>
          <w:lang w:val="ro-RO"/>
        </w:rPr>
        <w:t xml:space="preserve">Un alt element important îl constituie valoarea la care aceste </w:t>
      </w:r>
      <w:proofErr w:type="spellStart"/>
      <w:r w:rsidRPr="00525B3A">
        <w:rPr>
          <w:rFonts w:asciiTheme="majorHAnsi" w:hAnsiTheme="majorHAnsi" w:cstheme="majorHAnsi"/>
          <w:lang w:val="ro-RO"/>
        </w:rPr>
        <w:t>criptoactive</w:t>
      </w:r>
      <w:proofErr w:type="spellEnd"/>
      <w:r w:rsidRPr="00525B3A">
        <w:rPr>
          <w:rFonts w:asciiTheme="majorHAnsi" w:hAnsiTheme="majorHAnsi" w:cstheme="majorHAnsi"/>
          <w:lang w:val="ro-RO"/>
        </w:rPr>
        <w:t xml:space="preserve"> sunt reflectate în bilanț, </w:t>
      </w:r>
      <w:r w:rsidR="009733D3">
        <w:rPr>
          <w:rFonts w:asciiTheme="majorHAnsi" w:hAnsiTheme="majorHAnsi" w:cstheme="majorHAnsi"/>
          <w:lang w:val="ro-RO"/>
        </w:rPr>
        <w:t xml:space="preserve">dat fiind că </w:t>
      </w:r>
      <w:r w:rsidRPr="00525B3A">
        <w:rPr>
          <w:rFonts w:asciiTheme="majorHAnsi" w:hAnsiTheme="majorHAnsi" w:cstheme="majorHAnsi"/>
          <w:lang w:val="ro-RO"/>
        </w:rPr>
        <w:t>acest</w:t>
      </w:r>
      <w:r w:rsidR="009733D3">
        <w:rPr>
          <w:rFonts w:asciiTheme="majorHAnsi" w:hAnsiTheme="majorHAnsi" w:cstheme="majorHAnsi"/>
          <w:lang w:val="ro-RO"/>
        </w:rPr>
        <w:t>ea</w:t>
      </w:r>
      <w:r w:rsidRPr="00525B3A">
        <w:rPr>
          <w:rFonts w:asciiTheme="majorHAnsi" w:hAnsiTheme="majorHAnsi" w:cstheme="majorHAnsi"/>
          <w:lang w:val="ro-RO"/>
        </w:rPr>
        <w:t xml:space="preserve"> sunt extrem de volatile</w:t>
      </w:r>
      <w:r w:rsidR="00DB76BD">
        <w:rPr>
          <w:rFonts w:asciiTheme="majorHAnsi" w:hAnsiTheme="majorHAnsi" w:cstheme="majorHAnsi"/>
          <w:lang w:val="ro-RO"/>
        </w:rPr>
        <w:t>,</w:t>
      </w:r>
      <w:r w:rsidRPr="00525B3A">
        <w:rPr>
          <w:rFonts w:asciiTheme="majorHAnsi" w:hAnsiTheme="majorHAnsi" w:cstheme="majorHAnsi"/>
          <w:lang w:val="ro-RO"/>
        </w:rPr>
        <w:t xml:space="preserve"> iar valoarea lor poate să difere semnificativ de la un exercițiu financiar la altul. Desigur, modalitatea de reflectare în contabilitate este importantă și pentru stabilirea corectă a poziț</w:t>
      </w:r>
      <w:r w:rsidR="009733D3">
        <w:rPr>
          <w:rFonts w:asciiTheme="majorHAnsi" w:hAnsiTheme="majorHAnsi" w:cstheme="majorHAnsi"/>
          <w:lang w:val="ro-RO"/>
        </w:rPr>
        <w:t>i</w:t>
      </w:r>
      <w:r w:rsidRPr="00525B3A">
        <w:rPr>
          <w:rFonts w:asciiTheme="majorHAnsi" w:hAnsiTheme="majorHAnsi" w:cstheme="majorHAnsi"/>
          <w:lang w:val="ro-RO"/>
        </w:rPr>
        <w:t xml:space="preserve">ei fiscale a entității care emite și/sau primește astfel de </w:t>
      </w:r>
      <w:proofErr w:type="spellStart"/>
      <w:r w:rsidRPr="00525B3A">
        <w:rPr>
          <w:rFonts w:asciiTheme="majorHAnsi" w:hAnsiTheme="majorHAnsi" w:cstheme="majorHAnsi"/>
          <w:color w:val="000000"/>
          <w:lang w:val="ro-RO"/>
        </w:rPr>
        <w:t>criptoactive</w:t>
      </w:r>
      <w:proofErr w:type="spellEnd"/>
      <w:r w:rsidRPr="00525B3A">
        <w:rPr>
          <w:rFonts w:asciiTheme="majorHAnsi" w:hAnsiTheme="majorHAnsi" w:cstheme="majorHAnsi"/>
          <w:lang w:val="ro-RO"/>
        </w:rPr>
        <w:t xml:space="preserve">. </w:t>
      </w:r>
    </w:p>
    <w:p w14:paraId="101F3984" w14:textId="3DF9D8E7" w:rsidR="009733D3" w:rsidRPr="00525B3A" w:rsidRDefault="009733D3" w:rsidP="0031766C">
      <w:pPr>
        <w:spacing w:before="80" w:line="312" w:lineRule="auto"/>
        <w:jc w:val="both"/>
        <w:rPr>
          <w:lang w:val="ro-RO"/>
        </w:rPr>
      </w:pPr>
      <w:r>
        <w:rPr>
          <w:rFonts w:asciiTheme="majorHAnsi" w:hAnsiTheme="majorHAnsi" w:cstheme="majorHAnsi"/>
          <w:lang w:val="ro-RO"/>
        </w:rPr>
        <w:t>În concluzie, entitățile care utilizează astfel de active în diverse operațiuni trebuie să</w:t>
      </w:r>
      <w:r w:rsidR="00FE7016" w:rsidRPr="00525B3A">
        <w:rPr>
          <w:rFonts w:asciiTheme="majorHAnsi" w:hAnsiTheme="majorHAnsi" w:cstheme="majorHAnsi"/>
          <w:lang w:val="ro-RO"/>
        </w:rPr>
        <w:t xml:space="preserve"> urmăr</w:t>
      </w:r>
      <w:r>
        <w:rPr>
          <w:rFonts w:asciiTheme="majorHAnsi" w:hAnsiTheme="majorHAnsi" w:cstheme="majorHAnsi"/>
          <w:lang w:val="ro-RO"/>
        </w:rPr>
        <w:t>ească</w:t>
      </w:r>
      <w:r w:rsidR="00FE7016" w:rsidRPr="00525B3A">
        <w:rPr>
          <w:rFonts w:asciiTheme="majorHAnsi" w:hAnsiTheme="majorHAnsi" w:cstheme="majorHAnsi"/>
          <w:lang w:val="ro-RO"/>
        </w:rPr>
        <w:t xml:space="preserve"> cu interes cadrul legislativ, care ar trebui să aducă mai multă claritate în sensul definirii conceptelor, termenilor și operațiunilor implicate, concepte pe care se poate apoi stabili un tratament contabil și fiscal corect.</w:t>
      </w:r>
    </w:p>
    <w:sectPr w:rsidR="009733D3" w:rsidRPr="00525B3A" w:rsidSect="00443A7E">
      <w:headerReference w:type="default" r:id="rId7"/>
      <w:headerReference w:type="first" r:id="rId8"/>
      <w:footerReference w:type="first" r:id="rId9"/>
      <w:pgSz w:w="11901" w:h="16840" w:code="9"/>
      <w:pgMar w:top="1440" w:right="1440" w:bottom="1440" w:left="1440"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FEC" w14:textId="77777777" w:rsidR="00D84359" w:rsidRDefault="00D84359">
      <w:pPr>
        <w:spacing w:line="240" w:lineRule="auto"/>
      </w:pPr>
      <w:r>
        <w:separator/>
      </w:r>
    </w:p>
  </w:endnote>
  <w:endnote w:type="continuationSeparator" w:id="0">
    <w:p w14:paraId="61E79645" w14:textId="77777777" w:rsidR="00D84359" w:rsidRDefault="00D84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1178" w14:textId="77777777" w:rsidR="001615F5" w:rsidRPr="001615F5" w:rsidRDefault="00D84359"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9C1F" w14:textId="77777777" w:rsidR="00D84359" w:rsidRDefault="00D84359">
      <w:pPr>
        <w:spacing w:line="240" w:lineRule="auto"/>
      </w:pPr>
      <w:r>
        <w:separator/>
      </w:r>
    </w:p>
  </w:footnote>
  <w:footnote w:type="continuationSeparator" w:id="0">
    <w:p w14:paraId="0DE3998A" w14:textId="77777777" w:rsidR="00D84359" w:rsidRDefault="00D84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45EF"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67792911" wp14:editId="2E295CAE">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9480" w14:textId="77777777" w:rsidR="006A0423" w:rsidRDefault="00D84359" w:rsidP="003023E6">
    <w:pPr>
      <w:pStyle w:val="Legalentity"/>
      <w:spacing w:after="140" w:line="240" w:lineRule="auto"/>
      <w:rPr>
        <w:rFonts w:ascii="FrutigerNextPro-Light" w:hAnsi="FrutigerNextPro-Light"/>
        <w:color w:val="002776"/>
      </w:rPr>
    </w:pPr>
  </w:p>
  <w:p w14:paraId="678AAE71" w14:textId="77777777"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2336" behindDoc="0" locked="0" layoutInCell="1" allowOverlap="1" wp14:anchorId="03D553A9" wp14:editId="29F722B5">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4E530AE1" w14:textId="77777777"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08FB48F5" wp14:editId="2B2A9242">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52DCE" w14:textId="77777777" w:rsidR="006A0423" w:rsidRDefault="00BD4912" w:rsidP="003023E6">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274B3066" w14:textId="77777777" w:rsidR="00AF6CE1" w:rsidRDefault="00D84359" w:rsidP="003023E6">
    <w:pPr>
      <w:pStyle w:val="Legalentity"/>
      <w:spacing w:after="140" w:line="240" w:lineRule="auto"/>
      <w:rPr>
        <w:rFonts w:ascii="FrutigerNextPro-Light" w:hAnsi="FrutigerNextPro-Light"/>
        <w:color w:val="002776"/>
      </w:rPr>
    </w:pPr>
  </w:p>
  <w:p w14:paraId="0A8C7680" w14:textId="77777777" w:rsidR="00BD4912" w:rsidRDefault="00BD4912" w:rsidP="003023E6">
    <w:pPr>
      <w:pStyle w:val="Legalentity"/>
      <w:spacing w:after="140" w:line="240" w:lineRule="auto"/>
      <w:rPr>
        <w:rFonts w:ascii="FrutigerNextPro-Light" w:hAnsi="FrutigerNextPro-Light"/>
        <w:color w:val="002776"/>
      </w:rPr>
    </w:pPr>
  </w:p>
  <w:p w14:paraId="49AABDE1" w14:textId="77777777" w:rsidR="00BD4912" w:rsidRDefault="00BD4912" w:rsidP="003023E6">
    <w:pPr>
      <w:pStyle w:val="Legalentity"/>
      <w:spacing w:after="140" w:line="240" w:lineRule="auto"/>
      <w:rPr>
        <w:rFonts w:ascii="FrutigerNextPro-Light" w:hAnsi="FrutigerNextPro-Light"/>
        <w:color w:val="002776"/>
      </w:rPr>
    </w:pPr>
  </w:p>
  <w:p w14:paraId="36432F1D" w14:textId="77777777" w:rsidR="00BD4912" w:rsidRDefault="00BD4912" w:rsidP="003023E6">
    <w:pPr>
      <w:pStyle w:val="Legalentity"/>
      <w:spacing w:after="140" w:line="240" w:lineRule="auto"/>
      <w:rPr>
        <w:rFonts w:ascii="FrutigerNextPro-Light" w:hAnsi="FrutigerNextPro-Light"/>
        <w:color w:val="002776"/>
      </w:rPr>
    </w:pPr>
  </w:p>
  <w:p w14:paraId="4A734539" w14:textId="77777777" w:rsidR="005443B3" w:rsidRPr="001615F5" w:rsidRDefault="00097D10">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1B39AABF" wp14:editId="0E5820C8">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E3F64" w14:textId="77777777" w:rsidR="006679A3" w:rsidRPr="00E57B68" w:rsidRDefault="00D84359"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9AABF"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65EE3F64" w14:textId="77777777" w:rsidR="006679A3" w:rsidRPr="00E57B68" w:rsidRDefault="00D84359"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6" w:nlCheck="1" w:checkStyle="0"/>
  <w:activeWritingStyle w:appName="MSWord" w:lang="de-AT"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027C9"/>
    <w:rsid w:val="000048A3"/>
    <w:rsid w:val="00015D05"/>
    <w:rsid w:val="000231EA"/>
    <w:rsid w:val="0002725C"/>
    <w:rsid w:val="000422EC"/>
    <w:rsid w:val="00050AC2"/>
    <w:rsid w:val="00087CFB"/>
    <w:rsid w:val="000956D2"/>
    <w:rsid w:val="00097D10"/>
    <w:rsid w:val="000A06CA"/>
    <w:rsid w:val="000A2A6E"/>
    <w:rsid w:val="000E13D0"/>
    <w:rsid w:val="000F2427"/>
    <w:rsid w:val="000F298B"/>
    <w:rsid w:val="00105765"/>
    <w:rsid w:val="0011087B"/>
    <w:rsid w:val="00112ED0"/>
    <w:rsid w:val="0015444C"/>
    <w:rsid w:val="0015472A"/>
    <w:rsid w:val="00166487"/>
    <w:rsid w:val="00174F8A"/>
    <w:rsid w:val="00196BA3"/>
    <w:rsid w:val="001978B0"/>
    <w:rsid w:val="001B3A2D"/>
    <w:rsid w:val="001B72B5"/>
    <w:rsid w:val="001D729B"/>
    <w:rsid w:val="001F1813"/>
    <w:rsid w:val="00214F31"/>
    <w:rsid w:val="00216920"/>
    <w:rsid w:val="00242F51"/>
    <w:rsid w:val="00252C95"/>
    <w:rsid w:val="0026664A"/>
    <w:rsid w:val="00286CF7"/>
    <w:rsid w:val="002C2533"/>
    <w:rsid w:val="002D33A2"/>
    <w:rsid w:val="002F32AB"/>
    <w:rsid w:val="00300DA6"/>
    <w:rsid w:val="003117AE"/>
    <w:rsid w:val="00314592"/>
    <w:rsid w:val="0031766C"/>
    <w:rsid w:val="0033063F"/>
    <w:rsid w:val="00360357"/>
    <w:rsid w:val="00367C84"/>
    <w:rsid w:val="00373858"/>
    <w:rsid w:val="00383F7B"/>
    <w:rsid w:val="003A49A4"/>
    <w:rsid w:val="003F0E06"/>
    <w:rsid w:val="00405481"/>
    <w:rsid w:val="00406CE5"/>
    <w:rsid w:val="00416029"/>
    <w:rsid w:val="004306E1"/>
    <w:rsid w:val="00442743"/>
    <w:rsid w:val="00443A7E"/>
    <w:rsid w:val="004444F9"/>
    <w:rsid w:val="0044798D"/>
    <w:rsid w:val="004531F3"/>
    <w:rsid w:val="00467032"/>
    <w:rsid w:val="004A0CDB"/>
    <w:rsid w:val="004A7217"/>
    <w:rsid w:val="004D2A4D"/>
    <w:rsid w:val="004E3CC4"/>
    <w:rsid w:val="004E58EE"/>
    <w:rsid w:val="004F45BA"/>
    <w:rsid w:val="004F4E65"/>
    <w:rsid w:val="004F5D15"/>
    <w:rsid w:val="0050245D"/>
    <w:rsid w:val="00506A40"/>
    <w:rsid w:val="00520C02"/>
    <w:rsid w:val="00525B3A"/>
    <w:rsid w:val="005279E5"/>
    <w:rsid w:val="00537681"/>
    <w:rsid w:val="00540FE9"/>
    <w:rsid w:val="00580D7A"/>
    <w:rsid w:val="0058550C"/>
    <w:rsid w:val="00587919"/>
    <w:rsid w:val="005C7309"/>
    <w:rsid w:val="005F3B3E"/>
    <w:rsid w:val="006074F9"/>
    <w:rsid w:val="006324BF"/>
    <w:rsid w:val="00632968"/>
    <w:rsid w:val="00635D32"/>
    <w:rsid w:val="00651423"/>
    <w:rsid w:val="00667E05"/>
    <w:rsid w:val="00676919"/>
    <w:rsid w:val="006B4CEC"/>
    <w:rsid w:val="006B6768"/>
    <w:rsid w:val="006C2AF7"/>
    <w:rsid w:val="006E7587"/>
    <w:rsid w:val="007269BF"/>
    <w:rsid w:val="007544DF"/>
    <w:rsid w:val="00757F1F"/>
    <w:rsid w:val="0076240B"/>
    <w:rsid w:val="00766365"/>
    <w:rsid w:val="007704B9"/>
    <w:rsid w:val="0078310F"/>
    <w:rsid w:val="00793403"/>
    <w:rsid w:val="00793F15"/>
    <w:rsid w:val="007C7440"/>
    <w:rsid w:val="007C7B0C"/>
    <w:rsid w:val="007E3428"/>
    <w:rsid w:val="007F122F"/>
    <w:rsid w:val="007F5232"/>
    <w:rsid w:val="00820C24"/>
    <w:rsid w:val="008221EE"/>
    <w:rsid w:val="00830857"/>
    <w:rsid w:val="00846AEF"/>
    <w:rsid w:val="00876E1B"/>
    <w:rsid w:val="00880FD8"/>
    <w:rsid w:val="008C58C5"/>
    <w:rsid w:val="008D061D"/>
    <w:rsid w:val="008E58E6"/>
    <w:rsid w:val="008E5D08"/>
    <w:rsid w:val="00901696"/>
    <w:rsid w:val="00903032"/>
    <w:rsid w:val="009058CB"/>
    <w:rsid w:val="00917E62"/>
    <w:rsid w:val="00920A3F"/>
    <w:rsid w:val="009468C9"/>
    <w:rsid w:val="009552EA"/>
    <w:rsid w:val="0095774A"/>
    <w:rsid w:val="00963BD8"/>
    <w:rsid w:val="009733D3"/>
    <w:rsid w:val="009775E0"/>
    <w:rsid w:val="0098321A"/>
    <w:rsid w:val="009927A7"/>
    <w:rsid w:val="00994B33"/>
    <w:rsid w:val="009A73C5"/>
    <w:rsid w:val="00A010BC"/>
    <w:rsid w:val="00A10B8A"/>
    <w:rsid w:val="00A20646"/>
    <w:rsid w:val="00A41270"/>
    <w:rsid w:val="00A47D56"/>
    <w:rsid w:val="00A50B9C"/>
    <w:rsid w:val="00A7731B"/>
    <w:rsid w:val="00A875ED"/>
    <w:rsid w:val="00A87B5C"/>
    <w:rsid w:val="00A934CF"/>
    <w:rsid w:val="00A95C64"/>
    <w:rsid w:val="00AC6705"/>
    <w:rsid w:val="00B11463"/>
    <w:rsid w:val="00B814E6"/>
    <w:rsid w:val="00BC1E5E"/>
    <w:rsid w:val="00BD4912"/>
    <w:rsid w:val="00BE2DC3"/>
    <w:rsid w:val="00C06F10"/>
    <w:rsid w:val="00C161E7"/>
    <w:rsid w:val="00CA6506"/>
    <w:rsid w:val="00CD4F91"/>
    <w:rsid w:val="00CF2250"/>
    <w:rsid w:val="00D1061E"/>
    <w:rsid w:val="00D16102"/>
    <w:rsid w:val="00D22868"/>
    <w:rsid w:val="00D279EA"/>
    <w:rsid w:val="00D35224"/>
    <w:rsid w:val="00D356C1"/>
    <w:rsid w:val="00D40BF0"/>
    <w:rsid w:val="00D52CA2"/>
    <w:rsid w:val="00D71241"/>
    <w:rsid w:val="00D84359"/>
    <w:rsid w:val="00D96375"/>
    <w:rsid w:val="00D97A47"/>
    <w:rsid w:val="00DA4944"/>
    <w:rsid w:val="00DB76BD"/>
    <w:rsid w:val="00DD10AE"/>
    <w:rsid w:val="00DE11F1"/>
    <w:rsid w:val="00DF1394"/>
    <w:rsid w:val="00E0304E"/>
    <w:rsid w:val="00E04CDF"/>
    <w:rsid w:val="00E06828"/>
    <w:rsid w:val="00E335FE"/>
    <w:rsid w:val="00E37B69"/>
    <w:rsid w:val="00E60EC6"/>
    <w:rsid w:val="00E706EB"/>
    <w:rsid w:val="00E9174D"/>
    <w:rsid w:val="00E9353C"/>
    <w:rsid w:val="00ED344E"/>
    <w:rsid w:val="00EF082A"/>
    <w:rsid w:val="00EF228F"/>
    <w:rsid w:val="00EF3236"/>
    <w:rsid w:val="00F1650D"/>
    <w:rsid w:val="00F41E60"/>
    <w:rsid w:val="00F50E45"/>
    <w:rsid w:val="00F671FA"/>
    <w:rsid w:val="00F86D85"/>
    <w:rsid w:val="00FB38E3"/>
    <w:rsid w:val="00FB5CC6"/>
    <w:rsid w:val="00FC44C7"/>
    <w:rsid w:val="00FD3DBD"/>
    <w:rsid w:val="00FE47B2"/>
    <w:rsid w:val="00FE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9F77"/>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semiHidden/>
    <w:unhideWhenUsed/>
    <w:rsid w:val="00FD3DBD"/>
    <w:pPr>
      <w:spacing w:line="240" w:lineRule="auto"/>
    </w:pPr>
  </w:style>
  <w:style w:type="character" w:customStyle="1" w:styleId="CommentTextChar">
    <w:name w:val="Comment Text Char"/>
    <w:basedOn w:val="DefaultParagraphFont"/>
    <w:link w:val="CommentText"/>
    <w:uiPriority w:val="99"/>
    <w:semiHidden/>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customStyle="1" w:styleId="par">
    <w:name w:val="par"/>
    <w:basedOn w:val="Normal"/>
    <w:rsid w:val="00F41E60"/>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paragraph" w:styleId="HTMLPreformatted">
    <w:name w:val="HTML Preformatted"/>
    <w:basedOn w:val="Normal"/>
    <w:link w:val="HTMLPreformattedChar"/>
    <w:uiPriority w:val="99"/>
    <w:semiHidden/>
    <w:unhideWhenUsed/>
    <w:rsid w:val="00CD4F91"/>
    <w:pPr>
      <w:tabs>
        <w:tab w:val="clear" w:pos="284"/>
        <w:tab w:val="clear" w:pos="567"/>
        <w:tab w:val="clear" w:pos="851"/>
        <w:tab w:val="clear" w:pos="1985"/>
        <w:tab w:val="clear" w:pos="3119"/>
        <w:tab w:val="clear" w:pos="4253"/>
        <w:tab w:val="clear" w:pos="76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CD4F91"/>
    <w:rPr>
      <w:rFonts w:ascii="Courier New" w:eastAsia="Times New Roman" w:hAnsi="Courier New" w:cs="Courier New"/>
      <w:sz w:val="20"/>
      <w:szCs w:val="20"/>
    </w:rPr>
  </w:style>
  <w:style w:type="character" w:customStyle="1" w:styleId="y2iqfc">
    <w:name w:val="y2iqfc"/>
    <w:basedOn w:val="DefaultParagraphFont"/>
    <w:rsid w:val="00CD4F91"/>
  </w:style>
  <w:style w:type="paragraph" w:styleId="Revision">
    <w:name w:val="Revision"/>
    <w:hidden/>
    <w:uiPriority w:val="99"/>
    <w:semiHidden/>
    <w:rsid w:val="001978B0"/>
    <w:pPr>
      <w:spacing w:after="0" w:line="240" w:lineRule="auto"/>
    </w:pPr>
    <w:rPr>
      <w:rFonts w:ascii="Helvetica 45 Light" w:eastAsia="Times" w:hAnsi="Helvetica 45 Light"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15">
      <w:bodyDiv w:val="1"/>
      <w:marLeft w:val="0"/>
      <w:marRight w:val="0"/>
      <w:marTop w:val="0"/>
      <w:marBottom w:val="0"/>
      <w:divBdr>
        <w:top w:val="none" w:sz="0" w:space="0" w:color="auto"/>
        <w:left w:val="none" w:sz="0" w:space="0" w:color="auto"/>
        <w:bottom w:val="none" w:sz="0" w:space="0" w:color="auto"/>
        <w:right w:val="none" w:sz="0" w:space="0" w:color="auto"/>
      </w:divBdr>
    </w:div>
    <w:div w:id="258415618">
      <w:bodyDiv w:val="1"/>
      <w:marLeft w:val="0"/>
      <w:marRight w:val="0"/>
      <w:marTop w:val="0"/>
      <w:marBottom w:val="0"/>
      <w:divBdr>
        <w:top w:val="none" w:sz="0" w:space="0" w:color="auto"/>
        <w:left w:val="none" w:sz="0" w:space="0" w:color="auto"/>
        <w:bottom w:val="none" w:sz="0" w:space="0" w:color="auto"/>
        <w:right w:val="none" w:sz="0" w:space="0" w:color="auto"/>
      </w:divBdr>
    </w:div>
    <w:div w:id="263806979">
      <w:bodyDiv w:val="1"/>
      <w:marLeft w:val="0"/>
      <w:marRight w:val="0"/>
      <w:marTop w:val="0"/>
      <w:marBottom w:val="0"/>
      <w:divBdr>
        <w:top w:val="none" w:sz="0" w:space="0" w:color="auto"/>
        <w:left w:val="none" w:sz="0" w:space="0" w:color="auto"/>
        <w:bottom w:val="none" w:sz="0" w:space="0" w:color="auto"/>
        <w:right w:val="none" w:sz="0" w:space="0" w:color="auto"/>
      </w:divBdr>
    </w:div>
    <w:div w:id="408120786">
      <w:bodyDiv w:val="1"/>
      <w:marLeft w:val="0"/>
      <w:marRight w:val="0"/>
      <w:marTop w:val="0"/>
      <w:marBottom w:val="0"/>
      <w:divBdr>
        <w:top w:val="none" w:sz="0" w:space="0" w:color="auto"/>
        <w:left w:val="none" w:sz="0" w:space="0" w:color="auto"/>
        <w:bottom w:val="none" w:sz="0" w:space="0" w:color="auto"/>
        <w:right w:val="none" w:sz="0" w:space="0" w:color="auto"/>
      </w:divBdr>
    </w:div>
    <w:div w:id="7310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2609-4957-404C-AFFC-E3ABF369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5</cp:revision>
  <dcterms:created xsi:type="dcterms:W3CDTF">2022-08-17T15:44:00Z</dcterms:created>
  <dcterms:modified xsi:type="dcterms:W3CDTF">2022-08-18T06:21:00Z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2022-05-23T14:43:11Z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f16cd210-cdad-49f1-b991-2d948fe5f3ff</vt:lpwstr>
  </property>
  <property fmtid="{D5CDD505-2E9C-101B-9397-08002B2CF9AE}" pid="8" name="MSIP_Label_ea60d57e-af5b-4752-ac57-3e4f28ca11dc_ContentBits">
    <vt:lpwstr>0</vt:lpwstr>
  </property>
</Properties>
</file>