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08B90" w14:textId="6E97DAFB" w:rsidR="00A331E6" w:rsidRPr="00A331E6" w:rsidRDefault="00A331E6" w:rsidP="00453898">
      <w:pPr>
        <w:spacing w:after="80" w:line="264" w:lineRule="auto"/>
        <w:jc w:val="center"/>
        <w:rPr>
          <w:rFonts w:asciiTheme="majorHAnsi" w:hAnsiTheme="majorHAnsi" w:cstheme="majorHAnsi"/>
          <w:b/>
          <w:bCs/>
          <w:sz w:val="24"/>
          <w:szCs w:val="24"/>
          <w:lang w:val="ro-RO"/>
        </w:rPr>
      </w:pPr>
      <w:r w:rsidRPr="0041768D">
        <w:rPr>
          <w:rFonts w:asciiTheme="majorHAnsi" w:hAnsiTheme="majorHAnsi" w:cstheme="majorHAnsi"/>
          <w:b/>
          <w:bCs/>
          <w:sz w:val="24"/>
          <w:szCs w:val="24"/>
          <w:lang w:val="ro-RO"/>
        </w:rPr>
        <w:t>D</w:t>
      </w:r>
      <w:r>
        <w:rPr>
          <w:rFonts w:asciiTheme="majorHAnsi" w:hAnsiTheme="majorHAnsi" w:cstheme="majorHAnsi"/>
          <w:b/>
          <w:bCs/>
          <w:sz w:val="24"/>
          <w:szCs w:val="24"/>
          <w:lang w:val="ro-RO"/>
        </w:rPr>
        <w:t>ublarea competențelor</w:t>
      </w:r>
      <w:r w:rsidRPr="00B34A9A">
        <w:rPr>
          <w:rFonts w:asciiTheme="majorHAnsi" w:hAnsiTheme="majorHAnsi" w:cstheme="majorHAnsi"/>
          <w:b/>
          <w:bCs/>
          <w:sz w:val="24"/>
          <w:szCs w:val="24"/>
          <w:lang w:val="ro-RO"/>
        </w:rPr>
        <w:t xml:space="preserve"> </w:t>
      </w:r>
      <w:r>
        <w:rPr>
          <w:rFonts w:asciiTheme="majorHAnsi" w:hAnsiTheme="majorHAnsi" w:cstheme="majorHAnsi"/>
          <w:b/>
          <w:bCs/>
          <w:sz w:val="24"/>
          <w:szCs w:val="24"/>
          <w:lang w:val="ro-RO"/>
        </w:rPr>
        <w:t xml:space="preserve">de </w:t>
      </w:r>
      <w:r w:rsidRPr="00B34A9A">
        <w:rPr>
          <w:rFonts w:asciiTheme="majorHAnsi" w:hAnsiTheme="majorHAnsi" w:cstheme="majorHAnsi"/>
          <w:b/>
          <w:bCs/>
          <w:sz w:val="24"/>
          <w:szCs w:val="24"/>
          <w:lang w:val="ro-RO"/>
        </w:rPr>
        <w:t>control în industria far</w:t>
      </w:r>
      <w:r>
        <w:rPr>
          <w:rFonts w:asciiTheme="majorHAnsi" w:hAnsiTheme="majorHAnsi" w:cstheme="majorHAnsi"/>
          <w:b/>
          <w:bCs/>
          <w:sz w:val="24"/>
          <w:szCs w:val="24"/>
          <w:lang w:val="ro-RO"/>
        </w:rPr>
        <w:t>m</w:t>
      </w:r>
      <w:r w:rsidRPr="00B34A9A">
        <w:rPr>
          <w:rFonts w:asciiTheme="majorHAnsi" w:hAnsiTheme="majorHAnsi" w:cstheme="majorHAnsi"/>
          <w:b/>
          <w:bCs/>
          <w:sz w:val="24"/>
          <w:szCs w:val="24"/>
          <w:lang w:val="ro-RO"/>
        </w:rPr>
        <w:t xml:space="preserve">aceutică, </w:t>
      </w:r>
      <w:r w:rsidR="00495735">
        <w:rPr>
          <w:rFonts w:asciiTheme="majorHAnsi" w:hAnsiTheme="majorHAnsi" w:cstheme="majorHAnsi"/>
          <w:b/>
          <w:bCs/>
          <w:sz w:val="24"/>
          <w:szCs w:val="24"/>
          <w:lang w:val="ro-RO"/>
        </w:rPr>
        <w:t xml:space="preserve">în </w:t>
      </w:r>
      <w:r w:rsidRPr="00B34A9A">
        <w:rPr>
          <w:rFonts w:asciiTheme="majorHAnsi" w:hAnsiTheme="majorHAnsi" w:cstheme="majorHAnsi"/>
          <w:b/>
          <w:sz w:val="24"/>
          <w:szCs w:val="24"/>
          <w:lang w:val="ro-RO"/>
        </w:rPr>
        <w:t>producția de petrol și de resurse minerale</w:t>
      </w:r>
      <w:r>
        <w:rPr>
          <w:rFonts w:asciiTheme="majorHAnsi" w:hAnsiTheme="majorHAnsi" w:cstheme="majorHAnsi"/>
          <w:b/>
          <w:sz w:val="24"/>
          <w:szCs w:val="24"/>
          <w:lang w:val="ro-RO"/>
        </w:rPr>
        <w:t xml:space="preserve"> – implicații practice</w:t>
      </w:r>
    </w:p>
    <w:p w14:paraId="178E53FD" w14:textId="77777777" w:rsidR="00495735" w:rsidRDefault="00495735" w:rsidP="00453898">
      <w:pPr>
        <w:spacing w:after="80" w:line="264" w:lineRule="auto"/>
        <w:rPr>
          <w:rFonts w:asciiTheme="majorHAnsi" w:hAnsiTheme="majorHAnsi" w:cstheme="majorHAnsi"/>
          <w:bCs/>
          <w:i/>
          <w:sz w:val="20"/>
          <w:szCs w:val="20"/>
          <w:lang w:val="ro-RO"/>
        </w:rPr>
      </w:pPr>
    </w:p>
    <w:p w14:paraId="06270223" w14:textId="4A38DACA" w:rsidR="00A331E6" w:rsidRDefault="00A331E6" w:rsidP="00453898">
      <w:pPr>
        <w:spacing w:after="80" w:line="264" w:lineRule="auto"/>
        <w:rPr>
          <w:rStyle w:val="Emphasis"/>
          <w:rFonts w:asciiTheme="majorHAnsi" w:hAnsiTheme="majorHAnsi" w:cstheme="majorHAnsi"/>
          <w:color w:val="000000"/>
          <w:sz w:val="20"/>
          <w:szCs w:val="20"/>
          <w:shd w:val="clear" w:color="auto" w:fill="FFFFFF"/>
        </w:rPr>
      </w:pPr>
      <w:r w:rsidRPr="00351F15">
        <w:rPr>
          <w:rFonts w:asciiTheme="majorHAnsi" w:hAnsiTheme="majorHAnsi" w:cstheme="majorHAnsi"/>
          <w:bCs/>
          <w:i/>
          <w:sz w:val="20"/>
          <w:szCs w:val="20"/>
          <w:lang w:val="ro-RO"/>
        </w:rPr>
        <w:t xml:space="preserve">Material de opinie de </w:t>
      </w:r>
      <w:r w:rsidRPr="00351F15">
        <w:rPr>
          <w:rStyle w:val="Emphasis"/>
          <w:rFonts w:asciiTheme="majorHAnsi" w:hAnsiTheme="majorHAnsi" w:cstheme="majorHAnsi"/>
          <w:color w:val="000000"/>
          <w:sz w:val="20"/>
          <w:szCs w:val="20"/>
          <w:shd w:val="clear" w:color="auto" w:fill="FFFFFF"/>
        </w:rPr>
        <w:t xml:space="preserve">Loredana Ilea, Senior Manager </w:t>
      </w:r>
      <w:proofErr w:type="spellStart"/>
      <w:r w:rsidRPr="00351F15">
        <w:rPr>
          <w:rStyle w:val="Emphasis"/>
          <w:rFonts w:asciiTheme="majorHAnsi" w:hAnsiTheme="majorHAnsi" w:cstheme="majorHAnsi"/>
          <w:color w:val="000000"/>
          <w:sz w:val="20"/>
          <w:szCs w:val="20"/>
          <w:shd w:val="clear" w:color="auto" w:fill="FFFFFF"/>
        </w:rPr>
        <w:t>Taxe</w:t>
      </w:r>
      <w:proofErr w:type="spellEnd"/>
      <w:r w:rsidRPr="00351F15">
        <w:rPr>
          <w:rStyle w:val="Emphasis"/>
          <w:rFonts w:asciiTheme="majorHAnsi" w:hAnsiTheme="majorHAnsi" w:cstheme="majorHAnsi"/>
          <w:color w:val="000000"/>
          <w:sz w:val="20"/>
          <w:szCs w:val="20"/>
          <w:shd w:val="clear" w:color="auto" w:fill="FFFFFF"/>
        </w:rPr>
        <w:t xml:space="preserve"> </w:t>
      </w:r>
      <w:proofErr w:type="spellStart"/>
      <w:r w:rsidRPr="00351F15">
        <w:rPr>
          <w:rStyle w:val="Emphasis"/>
          <w:rFonts w:asciiTheme="majorHAnsi" w:hAnsiTheme="majorHAnsi" w:cstheme="majorHAnsi"/>
          <w:color w:val="000000"/>
          <w:sz w:val="20"/>
          <w:szCs w:val="20"/>
          <w:shd w:val="clear" w:color="auto" w:fill="FFFFFF"/>
        </w:rPr>
        <w:t>Indirecte</w:t>
      </w:r>
      <w:proofErr w:type="spellEnd"/>
      <w:r w:rsidRPr="00351F15">
        <w:rPr>
          <w:rStyle w:val="Emphasis"/>
          <w:rFonts w:asciiTheme="majorHAnsi" w:hAnsiTheme="majorHAnsi" w:cstheme="majorHAnsi"/>
          <w:color w:val="000000"/>
          <w:sz w:val="20"/>
          <w:szCs w:val="20"/>
          <w:shd w:val="clear" w:color="auto" w:fill="FFFFFF"/>
        </w:rPr>
        <w:t xml:space="preserve">, Deloitte </w:t>
      </w:r>
      <w:proofErr w:type="spellStart"/>
      <w:r w:rsidRPr="00351F15">
        <w:rPr>
          <w:rStyle w:val="Emphasis"/>
          <w:rFonts w:asciiTheme="majorHAnsi" w:hAnsiTheme="majorHAnsi" w:cstheme="majorHAnsi"/>
          <w:color w:val="000000"/>
          <w:sz w:val="20"/>
          <w:szCs w:val="20"/>
          <w:shd w:val="clear" w:color="auto" w:fill="FFFFFF"/>
        </w:rPr>
        <w:t>România</w:t>
      </w:r>
      <w:proofErr w:type="spellEnd"/>
      <w:r w:rsidRPr="00351F15">
        <w:rPr>
          <w:rFonts w:asciiTheme="majorHAnsi" w:hAnsiTheme="majorHAnsi" w:cstheme="majorHAnsi"/>
          <w:sz w:val="20"/>
          <w:szCs w:val="20"/>
          <w:lang w:val="ro-RO"/>
        </w:rPr>
        <w:t xml:space="preserve">, </w:t>
      </w:r>
      <w:r w:rsidRPr="00351F15">
        <w:rPr>
          <w:rStyle w:val="Emphasis"/>
          <w:rFonts w:asciiTheme="majorHAnsi" w:hAnsiTheme="majorHAnsi" w:cstheme="majorHAnsi"/>
          <w:color w:val="000000"/>
          <w:sz w:val="20"/>
          <w:szCs w:val="20"/>
          <w:shd w:val="clear" w:color="auto" w:fill="FFFFFF"/>
        </w:rPr>
        <w:t xml:space="preserve">Emanuel Bondalici, Managing Associate, și Elena Moroiu, Associate, Reff &amp; </w:t>
      </w:r>
      <w:proofErr w:type="spellStart"/>
      <w:r w:rsidRPr="00351F15">
        <w:rPr>
          <w:rStyle w:val="Emphasis"/>
          <w:rFonts w:asciiTheme="majorHAnsi" w:hAnsiTheme="majorHAnsi" w:cstheme="majorHAnsi"/>
          <w:color w:val="000000"/>
          <w:sz w:val="20"/>
          <w:szCs w:val="20"/>
          <w:shd w:val="clear" w:color="auto" w:fill="FFFFFF"/>
        </w:rPr>
        <w:t>Asociații</w:t>
      </w:r>
      <w:proofErr w:type="spellEnd"/>
      <w:r w:rsidRPr="00351F15">
        <w:rPr>
          <w:rStyle w:val="Emphasis"/>
          <w:rFonts w:asciiTheme="majorHAnsi" w:hAnsiTheme="majorHAnsi" w:cstheme="majorHAnsi"/>
          <w:color w:val="000000"/>
          <w:sz w:val="20"/>
          <w:szCs w:val="20"/>
          <w:shd w:val="clear" w:color="auto" w:fill="FFFFFF"/>
        </w:rPr>
        <w:t xml:space="preserve"> | Deloitte Legal </w:t>
      </w:r>
    </w:p>
    <w:p w14:paraId="022E54F9" w14:textId="77777777" w:rsidR="00495735" w:rsidRPr="00351F15" w:rsidRDefault="00495735" w:rsidP="00453898">
      <w:pPr>
        <w:spacing w:after="80" w:line="264" w:lineRule="auto"/>
        <w:rPr>
          <w:rStyle w:val="Emphasis"/>
          <w:rFonts w:asciiTheme="majorHAnsi" w:hAnsiTheme="majorHAnsi" w:cstheme="majorHAnsi"/>
          <w:color w:val="000000"/>
          <w:sz w:val="20"/>
          <w:szCs w:val="20"/>
          <w:shd w:val="clear" w:color="auto" w:fill="FFFFFF"/>
        </w:rPr>
      </w:pPr>
    </w:p>
    <w:p w14:paraId="21899EB5" w14:textId="77777777" w:rsidR="00A331E6" w:rsidRDefault="00A331E6" w:rsidP="00453898">
      <w:pPr>
        <w:spacing w:after="80" w:line="264" w:lineRule="auto"/>
        <w:jc w:val="both"/>
        <w:rPr>
          <w:rFonts w:asciiTheme="majorHAnsi" w:hAnsiTheme="majorHAnsi" w:cstheme="majorHAnsi"/>
          <w:sz w:val="20"/>
          <w:szCs w:val="20"/>
          <w:lang w:val="ro-RO"/>
        </w:rPr>
      </w:pPr>
      <w:r w:rsidRPr="00B34A9A">
        <w:rPr>
          <w:rFonts w:asciiTheme="majorHAnsi" w:hAnsiTheme="majorHAnsi" w:cstheme="majorHAnsi"/>
          <w:bCs/>
          <w:sz w:val="20"/>
          <w:szCs w:val="20"/>
          <w:lang w:val="ro-RO"/>
        </w:rPr>
        <w:t>O lege intrată în vigoare de curând oferă Agenției Naționale de A</w:t>
      </w:r>
      <w:r>
        <w:rPr>
          <w:rFonts w:asciiTheme="majorHAnsi" w:hAnsiTheme="majorHAnsi" w:cstheme="majorHAnsi"/>
          <w:bCs/>
          <w:sz w:val="20"/>
          <w:szCs w:val="20"/>
          <w:lang w:val="ro-RO"/>
        </w:rPr>
        <w:t xml:space="preserve">dministrare Fiscală (ANAF) și </w:t>
      </w:r>
      <w:r w:rsidRPr="00B34A9A">
        <w:rPr>
          <w:rFonts w:asciiTheme="majorHAnsi" w:hAnsiTheme="majorHAnsi" w:cstheme="majorHAnsi"/>
          <w:bCs/>
          <w:sz w:val="20"/>
          <w:szCs w:val="20"/>
          <w:lang w:val="ro-RO"/>
        </w:rPr>
        <w:t xml:space="preserve">Ministerului Finanțelor </w:t>
      </w:r>
      <w:r>
        <w:rPr>
          <w:rFonts w:asciiTheme="majorHAnsi" w:hAnsiTheme="majorHAnsi" w:cstheme="majorHAnsi"/>
          <w:bCs/>
          <w:sz w:val="20"/>
          <w:szCs w:val="20"/>
          <w:lang w:val="ro-RO"/>
        </w:rPr>
        <w:t xml:space="preserve">Publice (MFP) </w:t>
      </w:r>
      <w:r w:rsidRPr="00827BFF">
        <w:rPr>
          <w:rFonts w:asciiTheme="majorHAnsi" w:hAnsiTheme="majorHAnsi" w:cstheme="majorHAnsi"/>
          <w:bCs/>
          <w:sz w:val="20"/>
          <w:szCs w:val="20"/>
          <w:lang w:val="ro-RO"/>
        </w:rPr>
        <w:t xml:space="preserve">noi competențe de control </w:t>
      </w:r>
      <w:r w:rsidRPr="00B34A9A">
        <w:rPr>
          <w:rFonts w:asciiTheme="majorHAnsi" w:hAnsiTheme="majorHAnsi" w:cstheme="majorHAnsi"/>
          <w:bCs/>
          <w:sz w:val="20"/>
          <w:szCs w:val="20"/>
          <w:lang w:val="ro-RO"/>
        </w:rPr>
        <w:t xml:space="preserve">în </w:t>
      </w:r>
      <w:r>
        <w:rPr>
          <w:rFonts w:asciiTheme="majorHAnsi" w:hAnsiTheme="majorHAnsi" w:cstheme="majorHAnsi"/>
          <w:bCs/>
          <w:sz w:val="20"/>
          <w:szCs w:val="20"/>
          <w:lang w:val="ro-RO"/>
        </w:rPr>
        <w:t xml:space="preserve">privința </w:t>
      </w:r>
      <w:r w:rsidRPr="00B54B4B">
        <w:rPr>
          <w:rFonts w:asciiTheme="majorHAnsi" w:hAnsiTheme="majorHAnsi" w:cstheme="majorHAnsi"/>
          <w:sz w:val="20"/>
          <w:szCs w:val="20"/>
          <w:lang w:val="ro-RO"/>
        </w:rPr>
        <w:t>declarării și achitării</w:t>
      </w:r>
      <w:r w:rsidRPr="00940324">
        <w:rPr>
          <w:rFonts w:asciiTheme="majorHAnsi" w:hAnsiTheme="majorHAnsi" w:cstheme="majorHAnsi"/>
          <w:bCs/>
          <w:sz w:val="20"/>
          <w:szCs w:val="20"/>
          <w:lang w:val="ro-RO"/>
        </w:rPr>
        <w:t xml:space="preserve"> </w:t>
      </w:r>
      <w:r w:rsidRPr="00B34A9A">
        <w:rPr>
          <w:rFonts w:asciiTheme="majorHAnsi" w:hAnsiTheme="majorHAnsi" w:cstheme="majorHAnsi"/>
          <w:bCs/>
          <w:sz w:val="20"/>
          <w:szCs w:val="20"/>
          <w:lang w:val="ro-RO"/>
        </w:rPr>
        <w:t xml:space="preserve">taxei </w:t>
      </w:r>
      <w:proofErr w:type="spellStart"/>
      <w:r w:rsidRPr="00B34A9A">
        <w:rPr>
          <w:rFonts w:asciiTheme="majorHAnsi" w:hAnsiTheme="majorHAnsi" w:cstheme="majorHAnsi"/>
          <w:bCs/>
          <w:i/>
          <w:sz w:val="20"/>
          <w:szCs w:val="20"/>
          <w:lang w:val="ro-RO"/>
        </w:rPr>
        <w:t>clawback</w:t>
      </w:r>
      <w:proofErr w:type="spellEnd"/>
      <w:r w:rsidRPr="00B34A9A">
        <w:rPr>
          <w:rFonts w:asciiTheme="majorHAnsi" w:hAnsiTheme="majorHAnsi" w:cstheme="majorHAnsi"/>
          <w:bCs/>
          <w:sz w:val="20"/>
          <w:szCs w:val="20"/>
          <w:lang w:val="ro-RO"/>
        </w:rPr>
        <w:t xml:space="preserve"> și a redevențelor miniere și petroliere</w:t>
      </w:r>
      <w:r>
        <w:rPr>
          <w:rFonts w:asciiTheme="majorHAnsi" w:hAnsiTheme="majorHAnsi" w:cstheme="majorHAnsi"/>
          <w:bCs/>
          <w:sz w:val="20"/>
          <w:szCs w:val="20"/>
          <w:lang w:val="ro-RO"/>
        </w:rPr>
        <w:t xml:space="preserve">. Este vorba de </w:t>
      </w:r>
      <w:r w:rsidRPr="00B54B4B">
        <w:rPr>
          <w:rFonts w:asciiTheme="majorHAnsi" w:hAnsiTheme="majorHAnsi" w:cstheme="majorHAnsi"/>
          <w:sz w:val="20"/>
          <w:szCs w:val="20"/>
          <w:lang w:val="ro-RO"/>
        </w:rPr>
        <w:t>Legea nr. 222/2021</w:t>
      </w:r>
      <w:r>
        <w:rPr>
          <w:rFonts w:asciiTheme="majorHAnsi" w:hAnsiTheme="majorHAnsi" w:cstheme="majorHAnsi"/>
          <w:sz w:val="20"/>
          <w:szCs w:val="20"/>
          <w:lang w:val="ro-RO"/>
        </w:rPr>
        <w:t xml:space="preserve">, aplicabilă din 30 iulie 2021, </w:t>
      </w:r>
      <w:r w:rsidRPr="00D10C20">
        <w:rPr>
          <w:rFonts w:asciiTheme="majorHAnsi" w:hAnsiTheme="majorHAnsi" w:cstheme="majorHAnsi"/>
          <w:sz w:val="20"/>
          <w:szCs w:val="20"/>
          <w:lang w:val="ro-RO"/>
        </w:rPr>
        <w:t xml:space="preserve">care își propune intensificarea controalelor la </w:t>
      </w:r>
      <w:r>
        <w:rPr>
          <w:rFonts w:asciiTheme="majorHAnsi" w:hAnsiTheme="majorHAnsi" w:cstheme="majorHAnsi"/>
          <w:sz w:val="20"/>
          <w:szCs w:val="20"/>
          <w:lang w:val="ro-RO"/>
        </w:rPr>
        <w:t xml:space="preserve">contribuabilii </w:t>
      </w:r>
      <w:r w:rsidRPr="00D10C20">
        <w:rPr>
          <w:rFonts w:asciiTheme="majorHAnsi" w:hAnsiTheme="majorHAnsi" w:cstheme="majorHAnsi"/>
          <w:sz w:val="20"/>
          <w:szCs w:val="20"/>
          <w:lang w:val="ro-RO"/>
        </w:rPr>
        <w:t>care desf</w:t>
      </w:r>
      <w:r>
        <w:rPr>
          <w:rFonts w:asciiTheme="majorHAnsi" w:hAnsiTheme="majorHAnsi" w:cstheme="majorHAnsi"/>
          <w:sz w:val="20"/>
          <w:szCs w:val="20"/>
          <w:lang w:val="ro-RO"/>
        </w:rPr>
        <w:t>ăș</w:t>
      </w:r>
      <w:r w:rsidRPr="00D10C20">
        <w:rPr>
          <w:rFonts w:asciiTheme="majorHAnsi" w:hAnsiTheme="majorHAnsi" w:cstheme="majorHAnsi"/>
          <w:sz w:val="20"/>
          <w:szCs w:val="20"/>
          <w:lang w:val="ro-RO"/>
        </w:rPr>
        <w:t>oar</w:t>
      </w:r>
      <w:r>
        <w:rPr>
          <w:rFonts w:asciiTheme="majorHAnsi" w:hAnsiTheme="majorHAnsi" w:cstheme="majorHAnsi"/>
          <w:sz w:val="20"/>
          <w:szCs w:val="20"/>
          <w:lang w:val="ro-RO"/>
        </w:rPr>
        <w:t>ă</w:t>
      </w:r>
      <w:r w:rsidRPr="00D10C20">
        <w:rPr>
          <w:rFonts w:asciiTheme="majorHAnsi" w:hAnsiTheme="majorHAnsi" w:cstheme="majorHAnsi"/>
          <w:sz w:val="20"/>
          <w:szCs w:val="20"/>
          <w:lang w:val="ro-RO"/>
        </w:rPr>
        <w:t xml:space="preserve"> opera</w:t>
      </w:r>
      <w:r>
        <w:rPr>
          <w:rFonts w:asciiTheme="majorHAnsi" w:hAnsiTheme="majorHAnsi" w:cstheme="majorHAnsi"/>
          <w:sz w:val="20"/>
          <w:szCs w:val="20"/>
          <w:lang w:val="ro-RO"/>
        </w:rPr>
        <w:t>ț</w:t>
      </w:r>
      <w:r w:rsidRPr="00D10C20">
        <w:rPr>
          <w:rFonts w:asciiTheme="majorHAnsi" w:hAnsiTheme="majorHAnsi" w:cstheme="majorHAnsi"/>
          <w:sz w:val="20"/>
          <w:szCs w:val="20"/>
          <w:lang w:val="ro-RO"/>
        </w:rPr>
        <w:t xml:space="preserve">iuni petroliere </w:t>
      </w:r>
      <w:r>
        <w:rPr>
          <w:rFonts w:asciiTheme="majorHAnsi" w:hAnsiTheme="majorHAnsi" w:cstheme="majorHAnsi"/>
          <w:sz w:val="20"/>
          <w:szCs w:val="20"/>
          <w:lang w:val="ro-RO"/>
        </w:rPr>
        <w:t>ș</w:t>
      </w:r>
      <w:r w:rsidRPr="00D10C20">
        <w:rPr>
          <w:rFonts w:asciiTheme="majorHAnsi" w:hAnsiTheme="majorHAnsi" w:cstheme="majorHAnsi"/>
          <w:sz w:val="20"/>
          <w:szCs w:val="20"/>
          <w:lang w:val="ro-RO"/>
        </w:rPr>
        <w:t xml:space="preserve">i miniere ori </w:t>
      </w:r>
      <w:r>
        <w:rPr>
          <w:rFonts w:asciiTheme="majorHAnsi" w:hAnsiTheme="majorHAnsi" w:cstheme="majorHAnsi"/>
          <w:sz w:val="20"/>
          <w:szCs w:val="20"/>
          <w:lang w:val="ro-RO"/>
        </w:rPr>
        <w:t>î</w:t>
      </w:r>
      <w:r w:rsidRPr="00D10C20">
        <w:rPr>
          <w:rFonts w:asciiTheme="majorHAnsi" w:hAnsiTheme="majorHAnsi" w:cstheme="majorHAnsi"/>
          <w:sz w:val="20"/>
          <w:szCs w:val="20"/>
          <w:lang w:val="ro-RO"/>
        </w:rPr>
        <w:t>n domeniul farmaceutic</w:t>
      </w:r>
      <w:r>
        <w:rPr>
          <w:rFonts w:asciiTheme="majorHAnsi" w:hAnsiTheme="majorHAnsi" w:cstheme="majorHAnsi"/>
          <w:sz w:val="20"/>
          <w:szCs w:val="20"/>
          <w:lang w:val="ro-RO"/>
        </w:rPr>
        <w:t>, domenii considerate esențiale, dar care sunt deja riguros legiferate și controlate direct de autorități de reglementare și supraveghere dedicate. În aceste condiții, noua lege ar putea duce la dublarea controalelor în domeniile vizate, cu consecințe fiscale și juridice importante.</w:t>
      </w:r>
    </w:p>
    <w:p w14:paraId="379A3CC1" w14:textId="77777777" w:rsidR="00A331E6" w:rsidRDefault="00A331E6" w:rsidP="00453898">
      <w:pPr>
        <w:spacing w:after="80" w:line="264" w:lineRule="auto"/>
        <w:jc w:val="both"/>
        <w:rPr>
          <w:rFonts w:asciiTheme="majorHAnsi" w:hAnsiTheme="majorHAnsi" w:cstheme="majorHAnsi"/>
          <w:sz w:val="20"/>
          <w:szCs w:val="20"/>
          <w:lang w:val="ro-RO"/>
        </w:rPr>
      </w:pPr>
      <w:r w:rsidRPr="00B54B4B">
        <w:rPr>
          <w:rFonts w:asciiTheme="majorHAnsi" w:hAnsiTheme="majorHAnsi" w:cstheme="majorHAnsi"/>
          <w:sz w:val="20"/>
          <w:szCs w:val="20"/>
          <w:lang w:val="ro-RO"/>
        </w:rPr>
        <w:t>Legea preia un proiect de ordonanță de urgență din 2019 și are ca scop verificarea „</w:t>
      </w:r>
      <w:r w:rsidRPr="006B44A9">
        <w:rPr>
          <w:rFonts w:asciiTheme="majorHAnsi" w:hAnsiTheme="majorHAnsi" w:cstheme="majorHAnsi"/>
          <w:sz w:val="20"/>
          <w:szCs w:val="20"/>
          <w:lang w:val="ro-RO"/>
        </w:rPr>
        <w:t>c</w:t>
      </w:r>
      <w:r w:rsidRPr="00B34A9A">
        <w:rPr>
          <w:rFonts w:asciiTheme="majorHAnsi" w:hAnsiTheme="majorHAnsi" w:cstheme="majorHAnsi"/>
          <w:iCs/>
          <w:sz w:val="20"/>
          <w:szCs w:val="20"/>
          <w:lang w:val="ro-RO"/>
        </w:rPr>
        <w:t>el puțin anuală</w:t>
      </w:r>
      <w:r w:rsidRPr="00B54B4B">
        <w:rPr>
          <w:rFonts w:asciiTheme="majorHAnsi" w:hAnsiTheme="majorHAnsi" w:cstheme="majorHAnsi"/>
          <w:sz w:val="20"/>
          <w:szCs w:val="20"/>
          <w:lang w:val="ro-RO"/>
        </w:rPr>
        <w:t xml:space="preserve">” a modalității de calcul și declarare a taxei </w:t>
      </w:r>
      <w:proofErr w:type="spellStart"/>
      <w:r w:rsidRPr="00B34A9A">
        <w:rPr>
          <w:rFonts w:asciiTheme="majorHAnsi" w:hAnsiTheme="majorHAnsi" w:cstheme="majorHAnsi"/>
          <w:i/>
          <w:sz w:val="20"/>
          <w:szCs w:val="20"/>
          <w:lang w:val="ro-RO"/>
        </w:rPr>
        <w:t>clawback</w:t>
      </w:r>
      <w:proofErr w:type="spellEnd"/>
      <w:r w:rsidRPr="00B54B4B">
        <w:rPr>
          <w:rFonts w:asciiTheme="majorHAnsi" w:hAnsiTheme="majorHAnsi" w:cstheme="majorHAnsi"/>
          <w:sz w:val="20"/>
          <w:szCs w:val="20"/>
          <w:lang w:val="ro-RO"/>
        </w:rPr>
        <w:t xml:space="preserve">, </w:t>
      </w:r>
      <w:r>
        <w:rPr>
          <w:rFonts w:asciiTheme="majorHAnsi" w:hAnsiTheme="majorHAnsi" w:cstheme="majorHAnsi"/>
          <w:sz w:val="20"/>
          <w:szCs w:val="20"/>
          <w:lang w:val="ro-RO"/>
        </w:rPr>
        <w:t xml:space="preserve">respectiv a exactității datelor și informațiilor în baza cărora se plătesc </w:t>
      </w:r>
      <w:r w:rsidRPr="00B54B4B">
        <w:rPr>
          <w:rFonts w:asciiTheme="majorHAnsi" w:hAnsiTheme="majorHAnsi" w:cstheme="majorHAnsi"/>
          <w:sz w:val="20"/>
          <w:szCs w:val="20"/>
          <w:lang w:val="ro-RO"/>
        </w:rPr>
        <w:t>tax</w:t>
      </w:r>
      <w:r>
        <w:rPr>
          <w:rFonts w:asciiTheme="majorHAnsi" w:hAnsiTheme="majorHAnsi" w:cstheme="majorHAnsi"/>
          <w:sz w:val="20"/>
          <w:szCs w:val="20"/>
          <w:lang w:val="ro-RO"/>
        </w:rPr>
        <w:t>a</w:t>
      </w:r>
      <w:r w:rsidRPr="00B54B4B">
        <w:rPr>
          <w:rFonts w:asciiTheme="majorHAnsi" w:hAnsiTheme="majorHAnsi" w:cstheme="majorHAnsi"/>
          <w:sz w:val="20"/>
          <w:szCs w:val="20"/>
          <w:lang w:val="ro-RO"/>
        </w:rPr>
        <w:t xml:space="preserve"> pe activitatea minieră</w:t>
      </w:r>
      <w:r>
        <w:rPr>
          <w:rFonts w:asciiTheme="majorHAnsi" w:hAnsiTheme="majorHAnsi" w:cstheme="majorHAnsi"/>
          <w:sz w:val="20"/>
          <w:szCs w:val="20"/>
          <w:lang w:val="ro-RO"/>
        </w:rPr>
        <w:t xml:space="preserve"> și</w:t>
      </w:r>
      <w:r w:rsidRPr="00B54B4B">
        <w:rPr>
          <w:rFonts w:asciiTheme="majorHAnsi" w:hAnsiTheme="majorHAnsi" w:cstheme="majorHAnsi"/>
          <w:sz w:val="20"/>
          <w:szCs w:val="20"/>
          <w:lang w:val="ro-RO"/>
        </w:rPr>
        <w:t xml:space="preserve"> redevențel</w:t>
      </w:r>
      <w:r>
        <w:rPr>
          <w:rFonts w:asciiTheme="majorHAnsi" w:hAnsiTheme="majorHAnsi" w:cstheme="majorHAnsi"/>
          <w:sz w:val="20"/>
          <w:szCs w:val="20"/>
          <w:lang w:val="ro-RO"/>
        </w:rPr>
        <w:t>e</w:t>
      </w:r>
      <w:r w:rsidRPr="00B54B4B">
        <w:rPr>
          <w:rFonts w:asciiTheme="majorHAnsi" w:hAnsiTheme="majorHAnsi" w:cstheme="majorHAnsi"/>
          <w:sz w:val="20"/>
          <w:szCs w:val="20"/>
          <w:lang w:val="ro-RO"/>
        </w:rPr>
        <w:t xml:space="preserve"> miniere și petroliere. În expunerea de motive se precizează în mod expres că prin această lege „</w:t>
      </w:r>
      <w:r w:rsidRPr="00B34A9A">
        <w:rPr>
          <w:rFonts w:asciiTheme="majorHAnsi" w:hAnsiTheme="majorHAnsi" w:cstheme="majorHAnsi"/>
          <w:iCs/>
          <w:sz w:val="20"/>
          <w:szCs w:val="20"/>
          <w:lang w:val="ro-RO"/>
        </w:rPr>
        <w:t>se urmărește creșterea capacității de control și mobilizare a sumelor cuve</w:t>
      </w:r>
      <w:bookmarkStart w:id="0" w:name="_GoBack"/>
      <w:bookmarkEnd w:id="0"/>
      <w:r w:rsidRPr="00B34A9A">
        <w:rPr>
          <w:rFonts w:asciiTheme="majorHAnsi" w:hAnsiTheme="majorHAnsi" w:cstheme="majorHAnsi"/>
          <w:iCs/>
          <w:sz w:val="20"/>
          <w:szCs w:val="20"/>
          <w:lang w:val="ro-RO"/>
        </w:rPr>
        <w:t>nite bugetului general consolidat al statului, cu consecința obținerii de venituri bugetare suplimentare</w:t>
      </w:r>
      <w:r w:rsidRPr="00B54B4B">
        <w:rPr>
          <w:rFonts w:asciiTheme="majorHAnsi" w:hAnsiTheme="majorHAnsi" w:cstheme="majorHAnsi"/>
          <w:sz w:val="20"/>
          <w:szCs w:val="20"/>
          <w:lang w:val="ro-RO"/>
        </w:rPr>
        <w:t xml:space="preserve">”. </w:t>
      </w:r>
    </w:p>
    <w:p w14:paraId="33197807" w14:textId="77777777" w:rsidR="00A331E6" w:rsidRPr="00B54B4B" w:rsidRDefault="00A331E6" w:rsidP="00453898">
      <w:pPr>
        <w:spacing w:after="80" w:line="264" w:lineRule="auto"/>
        <w:jc w:val="both"/>
        <w:rPr>
          <w:rFonts w:asciiTheme="majorHAnsi" w:hAnsiTheme="majorHAnsi" w:cstheme="majorHAnsi"/>
          <w:sz w:val="20"/>
          <w:szCs w:val="20"/>
          <w:lang w:val="ro-RO"/>
        </w:rPr>
      </w:pPr>
      <w:r w:rsidRPr="00B54B4B">
        <w:rPr>
          <w:rFonts w:asciiTheme="majorHAnsi" w:hAnsiTheme="majorHAnsi" w:cstheme="majorHAnsi"/>
          <w:sz w:val="20"/>
          <w:szCs w:val="20"/>
          <w:lang w:val="ro-RO"/>
        </w:rPr>
        <w:t>Anterior acestui act normativ, analiza și controlul modului de declarare și achitare a acestor obligații asimilate unor creanțe fiscale reveneau organelor fiscale</w:t>
      </w:r>
      <w:r>
        <w:rPr>
          <w:rFonts w:asciiTheme="majorHAnsi" w:hAnsiTheme="majorHAnsi" w:cstheme="majorHAnsi"/>
          <w:sz w:val="20"/>
          <w:szCs w:val="20"/>
          <w:lang w:val="ro-RO"/>
        </w:rPr>
        <w:t xml:space="preserve"> din </w:t>
      </w:r>
      <w:r w:rsidRPr="00B54B4B">
        <w:rPr>
          <w:rFonts w:asciiTheme="majorHAnsi" w:hAnsiTheme="majorHAnsi" w:cstheme="majorHAnsi"/>
          <w:sz w:val="20"/>
          <w:szCs w:val="20"/>
          <w:lang w:val="ro-RO"/>
        </w:rPr>
        <w:t xml:space="preserve">ANAF, </w:t>
      </w:r>
      <w:r>
        <w:rPr>
          <w:rFonts w:asciiTheme="majorHAnsi" w:hAnsiTheme="majorHAnsi" w:cstheme="majorHAnsi"/>
          <w:sz w:val="20"/>
          <w:szCs w:val="20"/>
          <w:lang w:val="ro-RO"/>
        </w:rPr>
        <w:t xml:space="preserve">conform </w:t>
      </w:r>
      <w:r w:rsidRPr="00B54B4B">
        <w:rPr>
          <w:rFonts w:asciiTheme="majorHAnsi" w:hAnsiTheme="majorHAnsi" w:cstheme="majorHAnsi"/>
          <w:sz w:val="20"/>
          <w:szCs w:val="20"/>
          <w:lang w:val="ro-RO"/>
        </w:rPr>
        <w:t>Codul</w:t>
      </w:r>
      <w:r>
        <w:rPr>
          <w:rFonts w:asciiTheme="majorHAnsi" w:hAnsiTheme="majorHAnsi" w:cstheme="majorHAnsi"/>
          <w:sz w:val="20"/>
          <w:szCs w:val="20"/>
          <w:lang w:val="ro-RO"/>
        </w:rPr>
        <w:t>ui</w:t>
      </w:r>
      <w:r w:rsidRPr="00B54B4B">
        <w:rPr>
          <w:rFonts w:asciiTheme="majorHAnsi" w:hAnsiTheme="majorHAnsi" w:cstheme="majorHAnsi"/>
          <w:sz w:val="20"/>
          <w:szCs w:val="20"/>
          <w:lang w:val="ro-RO"/>
        </w:rPr>
        <w:t xml:space="preserve"> de procedură fiscală, și Agenți</w:t>
      </w:r>
      <w:r>
        <w:rPr>
          <w:rFonts w:asciiTheme="majorHAnsi" w:hAnsiTheme="majorHAnsi" w:cstheme="majorHAnsi"/>
          <w:sz w:val="20"/>
          <w:szCs w:val="20"/>
          <w:lang w:val="ro-RO"/>
        </w:rPr>
        <w:t>ei</w:t>
      </w:r>
      <w:r w:rsidRPr="00B54B4B">
        <w:rPr>
          <w:rFonts w:asciiTheme="majorHAnsi" w:hAnsiTheme="majorHAnsi" w:cstheme="majorHAnsi"/>
          <w:sz w:val="20"/>
          <w:szCs w:val="20"/>
          <w:lang w:val="ro-RO"/>
        </w:rPr>
        <w:t xml:space="preserve"> Național</w:t>
      </w:r>
      <w:r>
        <w:rPr>
          <w:rFonts w:asciiTheme="majorHAnsi" w:hAnsiTheme="majorHAnsi" w:cstheme="majorHAnsi"/>
          <w:sz w:val="20"/>
          <w:szCs w:val="20"/>
          <w:lang w:val="ro-RO"/>
        </w:rPr>
        <w:t>e</w:t>
      </w:r>
      <w:r w:rsidRPr="00B54B4B">
        <w:rPr>
          <w:rFonts w:asciiTheme="majorHAnsi" w:hAnsiTheme="majorHAnsi" w:cstheme="majorHAnsi"/>
          <w:sz w:val="20"/>
          <w:szCs w:val="20"/>
          <w:lang w:val="ro-RO"/>
        </w:rPr>
        <w:t xml:space="preserve"> pentru Resurse Minerale</w:t>
      </w:r>
      <w:r>
        <w:rPr>
          <w:rFonts w:asciiTheme="majorHAnsi" w:hAnsiTheme="majorHAnsi" w:cstheme="majorHAnsi"/>
          <w:sz w:val="20"/>
          <w:szCs w:val="20"/>
          <w:lang w:val="ro-RO"/>
        </w:rPr>
        <w:t xml:space="preserve"> (</w:t>
      </w:r>
      <w:r w:rsidRPr="00B34A9A">
        <w:rPr>
          <w:rFonts w:asciiTheme="majorHAnsi" w:hAnsiTheme="majorHAnsi" w:cstheme="majorHAnsi"/>
          <w:bCs/>
          <w:iCs/>
          <w:sz w:val="20"/>
          <w:szCs w:val="20"/>
          <w:lang w:val="ro-RO"/>
        </w:rPr>
        <w:t>ANRM</w:t>
      </w:r>
      <w:r w:rsidRPr="00D4708F">
        <w:rPr>
          <w:rFonts w:asciiTheme="majorHAnsi" w:hAnsiTheme="majorHAnsi" w:cstheme="majorHAnsi"/>
          <w:sz w:val="20"/>
          <w:szCs w:val="20"/>
          <w:lang w:val="ro-RO"/>
        </w:rPr>
        <w:t>)</w:t>
      </w:r>
      <w:r>
        <w:rPr>
          <w:rFonts w:asciiTheme="majorHAnsi" w:hAnsiTheme="majorHAnsi" w:cstheme="majorHAnsi"/>
          <w:sz w:val="20"/>
          <w:szCs w:val="20"/>
          <w:lang w:val="ro-RO"/>
        </w:rPr>
        <w:t xml:space="preserve"> pentru redevențele miniere și petroliere.</w:t>
      </w:r>
    </w:p>
    <w:p w14:paraId="7E711629" w14:textId="77777777" w:rsidR="00495735" w:rsidRDefault="00495735" w:rsidP="00453898">
      <w:pPr>
        <w:spacing w:after="80" w:line="264" w:lineRule="auto"/>
        <w:jc w:val="both"/>
        <w:rPr>
          <w:rFonts w:asciiTheme="majorHAnsi" w:hAnsiTheme="majorHAnsi" w:cstheme="majorHAnsi"/>
          <w:b/>
          <w:bCs/>
          <w:sz w:val="20"/>
          <w:szCs w:val="20"/>
          <w:lang w:val="ro-RO"/>
        </w:rPr>
      </w:pPr>
    </w:p>
    <w:p w14:paraId="731E7C0E" w14:textId="467E82EA" w:rsidR="00A331E6" w:rsidRPr="00B54B4B" w:rsidRDefault="00A331E6" w:rsidP="00453898">
      <w:pPr>
        <w:spacing w:after="80" w:line="264" w:lineRule="auto"/>
        <w:jc w:val="both"/>
        <w:rPr>
          <w:rFonts w:asciiTheme="majorHAnsi" w:hAnsiTheme="majorHAnsi" w:cstheme="majorHAnsi"/>
          <w:b/>
          <w:bCs/>
          <w:sz w:val="20"/>
          <w:szCs w:val="20"/>
          <w:lang w:val="ro-RO"/>
        </w:rPr>
      </w:pPr>
      <w:r w:rsidRPr="00B54B4B">
        <w:rPr>
          <w:rFonts w:asciiTheme="majorHAnsi" w:hAnsiTheme="majorHAnsi" w:cstheme="majorHAnsi"/>
          <w:b/>
          <w:bCs/>
          <w:sz w:val="20"/>
          <w:szCs w:val="20"/>
          <w:lang w:val="ro-RO"/>
        </w:rPr>
        <w:t>Aspecte practice și consecințe</w:t>
      </w:r>
      <w:r>
        <w:rPr>
          <w:rFonts w:asciiTheme="majorHAnsi" w:hAnsiTheme="majorHAnsi" w:cstheme="majorHAnsi"/>
          <w:b/>
          <w:bCs/>
          <w:sz w:val="20"/>
          <w:szCs w:val="20"/>
          <w:lang w:val="ro-RO"/>
        </w:rPr>
        <w:t xml:space="preserve"> ale noii reglementări</w:t>
      </w:r>
      <w:r w:rsidRPr="00B54B4B">
        <w:rPr>
          <w:rFonts w:asciiTheme="majorHAnsi" w:hAnsiTheme="majorHAnsi" w:cstheme="majorHAnsi"/>
          <w:b/>
          <w:bCs/>
          <w:sz w:val="20"/>
          <w:szCs w:val="20"/>
          <w:lang w:val="ro-RO"/>
        </w:rPr>
        <w:t xml:space="preserve"> </w:t>
      </w:r>
    </w:p>
    <w:p w14:paraId="738A2B48" w14:textId="77777777" w:rsidR="00A331E6" w:rsidRPr="00B54B4B" w:rsidRDefault="00A331E6" w:rsidP="00453898">
      <w:pPr>
        <w:spacing w:after="80" w:line="264" w:lineRule="auto"/>
        <w:jc w:val="both"/>
        <w:rPr>
          <w:rFonts w:asciiTheme="majorHAnsi" w:hAnsiTheme="majorHAnsi" w:cstheme="majorHAnsi"/>
          <w:sz w:val="20"/>
          <w:szCs w:val="20"/>
          <w:lang w:val="ro-RO"/>
        </w:rPr>
      </w:pPr>
      <w:r>
        <w:rPr>
          <w:rFonts w:asciiTheme="majorHAnsi" w:hAnsiTheme="majorHAnsi" w:cstheme="majorHAnsi"/>
          <w:sz w:val="20"/>
          <w:szCs w:val="20"/>
          <w:lang w:val="ro-RO"/>
        </w:rPr>
        <w:t>În baza noii legi</w:t>
      </w:r>
      <w:r w:rsidRPr="00B54B4B">
        <w:rPr>
          <w:rFonts w:asciiTheme="majorHAnsi" w:hAnsiTheme="majorHAnsi" w:cstheme="majorHAnsi"/>
          <w:sz w:val="20"/>
          <w:szCs w:val="20"/>
          <w:lang w:val="ro-RO"/>
        </w:rPr>
        <w:t>, inspecțiile fiscale obișnuite/controalele autorităților de supraveghere și reglementare vor putea fi dublate de</w:t>
      </w:r>
      <w:r>
        <w:rPr>
          <w:rFonts w:asciiTheme="majorHAnsi" w:hAnsiTheme="majorHAnsi" w:cstheme="majorHAnsi"/>
          <w:sz w:val="20"/>
          <w:szCs w:val="20"/>
          <w:lang w:val="ro-RO"/>
        </w:rPr>
        <w:t xml:space="preserve"> </w:t>
      </w:r>
      <w:r w:rsidRPr="00B54B4B">
        <w:rPr>
          <w:rFonts w:asciiTheme="majorHAnsi" w:hAnsiTheme="majorHAnsi" w:cstheme="majorHAnsi"/>
          <w:sz w:val="20"/>
          <w:szCs w:val="20"/>
          <w:lang w:val="ro-RO"/>
        </w:rPr>
        <w:t>controale</w:t>
      </w:r>
      <w:r>
        <w:rPr>
          <w:rFonts w:asciiTheme="majorHAnsi" w:hAnsiTheme="majorHAnsi" w:cstheme="majorHAnsi"/>
          <w:sz w:val="20"/>
          <w:szCs w:val="20"/>
          <w:lang w:val="ro-RO"/>
        </w:rPr>
        <w:t>le</w:t>
      </w:r>
      <w:r w:rsidRPr="00B54B4B">
        <w:rPr>
          <w:rFonts w:asciiTheme="majorHAnsi" w:hAnsiTheme="majorHAnsi" w:cstheme="majorHAnsi"/>
          <w:sz w:val="20"/>
          <w:szCs w:val="20"/>
          <w:lang w:val="ro-RO"/>
        </w:rPr>
        <w:t xml:space="preserve"> tematice realizate de structuri de inspecție </w:t>
      </w:r>
      <w:proofErr w:type="spellStart"/>
      <w:r w:rsidRPr="00B54B4B">
        <w:rPr>
          <w:rFonts w:asciiTheme="majorHAnsi" w:hAnsiTheme="majorHAnsi" w:cstheme="majorHAnsi"/>
          <w:sz w:val="20"/>
          <w:szCs w:val="20"/>
          <w:lang w:val="ro-RO"/>
        </w:rPr>
        <w:t>economico</w:t>
      </w:r>
      <w:proofErr w:type="spellEnd"/>
      <w:r w:rsidRPr="00B54B4B">
        <w:rPr>
          <w:rFonts w:asciiTheme="majorHAnsi" w:hAnsiTheme="majorHAnsi" w:cstheme="majorHAnsi"/>
          <w:sz w:val="20"/>
          <w:szCs w:val="20"/>
          <w:lang w:val="ro-RO"/>
        </w:rPr>
        <w:t xml:space="preserve">-financiară </w:t>
      </w:r>
      <w:r>
        <w:rPr>
          <w:rFonts w:asciiTheme="majorHAnsi" w:hAnsiTheme="majorHAnsi" w:cstheme="majorHAnsi"/>
          <w:sz w:val="20"/>
          <w:szCs w:val="20"/>
          <w:lang w:val="ro-RO"/>
        </w:rPr>
        <w:t xml:space="preserve">din </w:t>
      </w:r>
      <w:r w:rsidRPr="00B54B4B">
        <w:rPr>
          <w:rFonts w:asciiTheme="majorHAnsi" w:hAnsiTheme="majorHAnsi" w:cstheme="majorHAnsi"/>
          <w:sz w:val="20"/>
          <w:szCs w:val="20"/>
          <w:lang w:val="ro-RO"/>
        </w:rPr>
        <w:t>MF</w:t>
      </w:r>
      <w:r>
        <w:rPr>
          <w:rFonts w:asciiTheme="majorHAnsi" w:hAnsiTheme="majorHAnsi" w:cstheme="majorHAnsi"/>
          <w:sz w:val="20"/>
          <w:szCs w:val="20"/>
          <w:lang w:val="ro-RO"/>
        </w:rPr>
        <w:t>P</w:t>
      </w:r>
      <w:r w:rsidRPr="00B54B4B">
        <w:rPr>
          <w:rFonts w:asciiTheme="majorHAnsi" w:hAnsiTheme="majorHAnsi" w:cstheme="majorHAnsi"/>
          <w:sz w:val="20"/>
          <w:szCs w:val="20"/>
          <w:lang w:val="ro-RO"/>
        </w:rPr>
        <w:t xml:space="preserve"> sau ANAF</w:t>
      </w:r>
      <w:r>
        <w:rPr>
          <w:rFonts w:asciiTheme="majorHAnsi" w:hAnsiTheme="majorHAnsi" w:cstheme="majorHAnsi"/>
          <w:sz w:val="20"/>
          <w:szCs w:val="20"/>
          <w:lang w:val="ro-RO"/>
        </w:rPr>
        <w:t xml:space="preserve"> și astfel </w:t>
      </w:r>
      <w:r w:rsidRPr="00B54B4B">
        <w:rPr>
          <w:rFonts w:asciiTheme="majorHAnsi" w:hAnsiTheme="majorHAnsi" w:cstheme="majorHAnsi"/>
          <w:sz w:val="20"/>
          <w:szCs w:val="20"/>
          <w:lang w:val="ro-RO"/>
        </w:rPr>
        <w:t xml:space="preserve">vor putea </w:t>
      </w:r>
      <w:r>
        <w:rPr>
          <w:rFonts w:asciiTheme="majorHAnsi" w:hAnsiTheme="majorHAnsi" w:cstheme="majorHAnsi"/>
          <w:sz w:val="20"/>
          <w:szCs w:val="20"/>
          <w:lang w:val="ro-RO"/>
        </w:rPr>
        <w:t xml:space="preserve">fi </w:t>
      </w:r>
      <w:r w:rsidRPr="00B54B4B">
        <w:rPr>
          <w:rFonts w:asciiTheme="majorHAnsi" w:hAnsiTheme="majorHAnsi" w:cstheme="majorHAnsi"/>
          <w:sz w:val="20"/>
          <w:szCs w:val="20"/>
          <w:lang w:val="ro-RO"/>
        </w:rPr>
        <w:t>stabili</w:t>
      </w:r>
      <w:r>
        <w:rPr>
          <w:rFonts w:asciiTheme="majorHAnsi" w:hAnsiTheme="majorHAnsi" w:cstheme="majorHAnsi"/>
          <w:sz w:val="20"/>
          <w:szCs w:val="20"/>
          <w:lang w:val="ro-RO"/>
        </w:rPr>
        <w:t>te</w:t>
      </w:r>
      <w:r w:rsidRPr="00B54B4B">
        <w:rPr>
          <w:rFonts w:asciiTheme="majorHAnsi" w:hAnsiTheme="majorHAnsi" w:cstheme="majorHAnsi"/>
          <w:sz w:val="20"/>
          <w:szCs w:val="20"/>
          <w:lang w:val="ro-RO"/>
        </w:rPr>
        <w:t xml:space="preserve"> noi obligații bugetare în sarcina contribuabililor. </w:t>
      </w:r>
    </w:p>
    <w:p w14:paraId="16AB4F49" w14:textId="3FB7EDF3" w:rsidR="00A331E6" w:rsidRPr="00B54B4B" w:rsidRDefault="00A331E6" w:rsidP="00453898">
      <w:pPr>
        <w:spacing w:after="80" w:line="264" w:lineRule="auto"/>
        <w:jc w:val="both"/>
        <w:rPr>
          <w:rFonts w:asciiTheme="majorHAnsi" w:hAnsiTheme="majorHAnsi" w:cstheme="majorHAnsi"/>
          <w:sz w:val="20"/>
          <w:szCs w:val="20"/>
          <w:lang w:val="ro-RO"/>
        </w:rPr>
      </w:pPr>
      <w:r w:rsidRPr="00B54B4B">
        <w:rPr>
          <w:rFonts w:asciiTheme="majorHAnsi" w:hAnsiTheme="majorHAnsi" w:cstheme="majorHAnsi"/>
          <w:sz w:val="20"/>
          <w:szCs w:val="20"/>
          <w:lang w:val="ro-RO"/>
        </w:rPr>
        <w:t xml:space="preserve">Inspecția </w:t>
      </w:r>
      <w:proofErr w:type="spellStart"/>
      <w:r w:rsidRPr="00B54B4B">
        <w:rPr>
          <w:rFonts w:asciiTheme="majorHAnsi" w:hAnsiTheme="majorHAnsi" w:cstheme="majorHAnsi"/>
          <w:sz w:val="20"/>
          <w:szCs w:val="20"/>
          <w:lang w:val="ro-RO"/>
        </w:rPr>
        <w:t>economico</w:t>
      </w:r>
      <w:proofErr w:type="spellEnd"/>
      <w:r w:rsidRPr="00B54B4B">
        <w:rPr>
          <w:rFonts w:asciiTheme="majorHAnsi" w:hAnsiTheme="majorHAnsi" w:cstheme="majorHAnsi"/>
          <w:sz w:val="20"/>
          <w:szCs w:val="20"/>
          <w:lang w:val="ro-RO"/>
        </w:rPr>
        <w:t>-financiară este reglementată de Ordonanța de urgență nr. 94/2011</w:t>
      </w:r>
      <w:r>
        <w:rPr>
          <w:rFonts w:asciiTheme="majorHAnsi" w:hAnsiTheme="majorHAnsi" w:cstheme="majorHAnsi"/>
          <w:sz w:val="20"/>
          <w:szCs w:val="20"/>
          <w:lang w:val="ro-RO"/>
        </w:rPr>
        <w:t xml:space="preserve"> </w:t>
      </w:r>
      <w:r w:rsidRPr="00B54B4B">
        <w:rPr>
          <w:rFonts w:asciiTheme="majorHAnsi" w:hAnsiTheme="majorHAnsi" w:cstheme="majorHAnsi"/>
          <w:sz w:val="20"/>
          <w:szCs w:val="20"/>
          <w:lang w:val="ro-RO"/>
        </w:rPr>
        <w:t xml:space="preserve">și împrumută, până la </w:t>
      </w:r>
      <w:r>
        <w:rPr>
          <w:rFonts w:asciiTheme="majorHAnsi" w:hAnsiTheme="majorHAnsi" w:cstheme="majorHAnsi"/>
          <w:sz w:val="20"/>
          <w:szCs w:val="20"/>
          <w:lang w:val="ro-RO"/>
        </w:rPr>
        <w:t>suprapuner</w:t>
      </w:r>
      <w:r w:rsidRPr="00B54B4B">
        <w:rPr>
          <w:rFonts w:asciiTheme="majorHAnsi" w:hAnsiTheme="majorHAnsi" w:cstheme="majorHAnsi"/>
          <w:sz w:val="20"/>
          <w:szCs w:val="20"/>
          <w:lang w:val="ro-RO"/>
        </w:rPr>
        <w:t xml:space="preserve">e, fizionomia </w:t>
      </w:r>
      <w:r>
        <w:rPr>
          <w:rFonts w:asciiTheme="majorHAnsi" w:hAnsiTheme="majorHAnsi" w:cstheme="majorHAnsi"/>
          <w:sz w:val="20"/>
          <w:szCs w:val="20"/>
          <w:lang w:val="ro-RO"/>
        </w:rPr>
        <w:t>celei</w:t>
      </w:r>
      <w:r w:rsidRPr="00B54B4B">
        <w:rPr>
          <w:rFonts w:asciiTheme="majorHAnsi" w:hAnsiTheme="majorHAnsi" w:cstheme="majorHAnsi"/>
          <w:sz w:val="20"/>
          <w:szCs w:val="20"/>
          <w:lang w:val="ro-RO"/>
        </w:rPr>
        <w:t xml:space="preserve"> fiscale</w:t>
      </w:r>
      <w:r>
        <w:rPr>
          <w:rFonts w:asciiTheme="majorHAnsi" w:hAnsiTheme="majorHAnsi" w:cstheme="majorHAnsi"/>
          <w:sz w:val="20"/>
          <w:szCs w:val="20"/>
          <w:lang w:val="ro-RO"/>
        </w:rPr>
        <w:t xml:space="preserve"> - </w:t>
      </w:r>
      <w:r w:rsidRPr="00B54B4B">
        <w:rPr>
          <w:rFonts w:asciiTheme="majorHAnsi" w:hAnsiTheme="majorHAnsi" w:cstheme="majorHAnsi"/>
          <w:sz w:val="20"/>
          <w:szCs w:val="20"/>
          <w:lang w:val="ro-RO"/>
        </w:rPr>
        <w:t>organul de inspecție este obligat să respecte o serie de reguli procedurale minimale</w:t>
      </w:r>
      <w:r>
        <w:rPr>
          <w:rFonts w:asciiTheme="majorHAnsi" w:hAnsiTheme="majorHAnsi" w:cstheme="majorHAnsi"/>
          <w:sz w:val="20"/>
          <w:szCs w:val="20"/>
          <w:lang w:val="ro-RO"/>
        </w:rPr>
        <w:t xml:space="preserve"> (spre </w:t>
      </w:r>
      <w:r w:rsidRPr="00B54B4B">
        <w:rPr>
          <w:rFonts w:asciiTheme="majorHAnsi" w:hAnsiTheme="majorHAnsi" w:cstheme="majorHAnsi"/>
          <w:sz w:val="20"/>
          <w:szCs w:val="20"/>
          <w:lang w:val="ro-RO"/>
        </w:rPr>
        <w:t xml:space="preserve">exemplu, </w:t>
      </w:r>
      <w:r w:rsidR="00495735">
        <w:rPr>
          <w:rFonts w:asciiTheme="majorHAnsi" w:hAnsiTheme="majorHAnsi" w:cstheme="majorHAnsi"/>
          <w:sz w:val="20"/>
          <w:szCs w:val="20"/>
          <w:lang w:val="ro-RO"/>
        </w:rPr>
        <w:t xml:space="preserve">să înștiințeze </w:t>
      </w:r>
      <w:r>
        <w:rPr>
          <w:rFonts w:asciiTheme="majorHAnsi" w:hAnsiTheme="majorHAnsi" w:cstheme="majorHAnsi"/>
          <w:sz w:val="20"/>
          <w:szCs w:val="20"/>
          <w:lang w:val="ro-RO"/>
        </w:rPr>
        <w:t>contribuabilul</w:t>
      </w:r>
      <w:r w:rsidRPr="00B54B4B">
        <w:rPr>
          <w:rFonts w:asciiTheme="majorHAnsi" w:hAnsiTheme="majorHAnsi" w:cstheme="majorHAnsi"/>
          <w:sz w:val="20"/>
          <w:szCs w:val="20"/>
          <w:lang w:val="ro-RO"/>
        </w:rPr>
        <w:t xml:space="preserve"> despre începerea u</w:t>
      </w:r>
      <w:r>
        <w:rPr>
          <w:rFonts w:asciiTheme="majorHAnsi" w:hAnsiTheme="majorHAnsi" w:cstheme="majorHAnsi"/>
          <w:sz w:val="20"/>
          <w:szCs w:val="20"/>
          <w:lang w:val="ro-RO"/>
        </w:rPr>
        <w:t>nui astfel de control</w:t>
      </w:r>
      <w:r w:rsidRPr="00B54B4B">
        <w:rPr>
          <w:rFonts w:asciiTheme="majorHAnsi" w:hAnsiTheme="majorHAnsi" w:cstheme="majorHAnsi"/>
          <w:sz w:val="20"/>
          <w:szCs w:val="20"/>
          <w:lang w:val="ro-RO"/>
        </w:rPr>
        <w:t xml:space="preserve"> și </w:t>
      </w:r>
      <w:r w:rsidR="00495735">
        <w:rPr>
          <w:rFonts w:asciiTheme="majorHAnsi" w:hAnsiTheme="majorHAnsi" w:cstheme="majorHAnsi"/>
          <w:sz w:val="20"/>
          <w:szCs w:val="20"/>
          <w:lang w:val="ro-RO"/>
        </w:rPr>
        <w:t>să-l</w:t>
      </w:r>
      <w:r w:rsidR="00495735" w:rsidRPr="00B54B4B">
        <w:rPr>
          <w:rFonts w:asciiTheme="majorHAnsi" w:hAnsiTheme="majorHAnsi" w:cstheme="majorHAnsi"/>
          <w:sz w:val="20"/>
          <w:szCs w:val="20"/>
          <w:lang w:val="ro-RO"/>
        </w:rPr>
        <w:t xml:space="preserve"> inform</w:t>
      </w:r>
      <w:r w:rsidR="00495735">
        <w:rPr>
          <w:rFonts w:asciiTheme="majorHAnsi" w:hAnsiTheme="majorHAnsi" w:cstheme="majorHAnsi"/>
          <w:sz w:val="20"/>
          <w:szCs w:val="20"/>
          <w:lang w:val="ro-RO"/>
        </w:rPr>
        <w:t xml:space="preserve">eze </w:t>
      </w:r>
      <w:r w:rsidRPr="00B54B4B">
        <w:rPr>
          <w:rFonts w:asciiTheme="majorHAnsi" w:hAnsiTheme="majorHAnsi" w:cstheme="majorHAnsi"/>
          <w:sz w:val="20"/>
          <w:szCs w:val="20"/>
          <w:lang w:val="ro-RO"/>
        </w:rPr>
        <w:t xml:space="preserve">pe întreg parcursul </w:t>
      </w:r>
      <w:r w:rsidRPr="00C45E14">
        <w:rPr>
          <w:rFonts w:asciiTheme="majorHAnsi" w:hAnsiTheme="majorHAnsi" w:cstheme="majorHAnsi"/>
          <w:sz w:val="20"/>
          <w:szCs w:val="20"/>
          <w:lang w:val="ro-RO"/>
        </w:rPr>
        <w:t>inspecției</w:t>
      </w:r>
      <w:r w:rsidRPr="00B54B4B">
        <w:rPr>
          <w:rFonts w:asciiTheme="majorHAnsi" w:hAnsiTheme="majorHAnsi" w:cstheme="majorHAnsi"/>
          <w:sz w:val="20"/>
          <w:szCs w:val="20"/>
          <w:lang w:val="ro-RO"/>
        </w:rPr>
        <w:t xml:space="preserve"> </w:t>
      </w:r>
      <w:r>
        <w:rPr>
          <w:rFonts w:asciiTheme="majorHAnsi" w:hAnsiTheme="majorHAnsi" w:cstheme="majorHAnsi"/>
          <w:sz w:val="20"/>
          <w:szCs w:val="20"/>
          <w:lang w:val="ro-RO"/>
        </w:rPr>
        <w:t xml:space="preserve">cu privire la </w:t>
      </w:r>
      <w:r w:rsidRPr="00B54B4B">
        <w:rPr>
          <w:rFonts w:asciiTheme="majorHAnsi" w:hAnsiTheme="majorHAnsi" w:cstheme="majorHAnsi"/>
          <w:sz w:val="20"/>
          <w:szCs w:val="20"/>
          <w:lang w:val="ro-RO"/>
        </w:rPr>
        <w:t>constatăril</w:t>
      </w:r>
      <w:r>
        <w:rPr>
          <w:rFonts w:asciiTheme="majorHAnsi" w:hAnsiTheme="majorHAnsi" w:cstheme="majorHAnsi"/>
          <w:sz w:val="20"/>
          <w:szCs w:val="20"/>
          <w:lang w:val="ro-RO"/>
        </w:rPr>
        <w:t>e</w:t>
      </w:r>
      <w:r w:rsidRPr="00B54B4B">
        <w:rPr>
          <w:rFonts w:asciiTheme="majorHAnsi" w:hAnsiTheme="majorHAnsi" w:cstheme="majorHAnsi"/>
          <w:sz w:val="20"/>
          <w:szCs w:val="20"/>
          <w:lang w:val="ro-RO"/>
        </w:rPr>
        <w:t xml:space="preserve"> rezultate în urma controlului</w:t>
      </w:r>
      <w:r>
        <w:rPr>
          <w:rFonts w:asciiTheme="majorHAnsi" w:hAnsiTheme="majorHAnsi" w:cstheme="majorHAnsi"/>
          <w:sz w:val="20"/>
          <w:szCs w:val="20"/>
          <w:lang w:val="ro-RO"/>
        </w:rPr>
        <w:t>), iar contribuabilul</w:t>
      </w:r>
      <w:r w:rsidRPr="00B54B4B">
        <w:rPr>
          <w:rFonts w:asciiTheme="majorHAnsi" w:hAnsiTheme="majorHAnsi" w:cstheme="majorHAnsi"/>
          <w:sz w:val="20"/>
          <w:szCs w:val="20"/>
          <w:lang w:val="ro-RO"/>
        </w:rPr>
        <w:t xml:space="preserve"> are dreptul să prezinte, în termen de </w:t>
      </w:r>
      <w:r w:rsidR="00495735">
        <w:rPr>
          <w:rFonts w:asciiTheme="majorHAnsi" w:hAnsiTheme="majorHAnsi" w:cstheme="majorHAnsi"/>
          <w:sz w:val="20"/>
          <w:szCs w:val="20"/>
          <w:lang w:val="ro-RO"/>
        </w:rPr>
        <w:t>trei</w:t>
      </w:r>
      <w:r w:rsidR="00495735" w:rsidRPr="00B54B4B">
        <w:rPr>
          <w:rFonts w:asciiTheme="majorHAnsi" w:hAnsiTheme="majorHAnsi" w:cstheme="majorHAnsi"/>
          <w:sz w:val="20"/>
          <w:szCs w:val="20"/>
          <w:lang w:val="ro-RO"/>
        </w:rPr>
        <w:t xml:space="preserve"> </w:t>
      </w:r>
      <w:r w:rsidRPr="00B54B4B">
        <w:rPr>
          <w:rFonts w:asciiTheme="majorHAnsi" w:hAnsiTheme="majorHAnsi" w:cstheme="majorHAnsi"/>
          <w:sz w:val="20"/>
          <w:szCs w:val="20"/>
          <w:lang w:val="ro-RO"/>
        </w:rPr>
        <w:t xml:space="preserve">zile lucrătoare de la primirea proiectului de raport, punctul de vedere cu privire la constatările </w:t>
      </w:r>
      <w:r>
        <w:rPr>
          <w:rFonts w:asciiTheme="majorHAnsi" w:hAnsiTheme="majorHAnsi" w:cstheme="majorHAnsi"/>
          <w:sz w:val="20"/>
          <w:szCs w:val="20"/>
          <w:lang w:val="ro-RO"/>
        </w:rPr>
        <w:t>controlului</w:t>
      </w:r>
      <w:r w:rsidRPr="00B54B4B">
        <w:rPr>
          <w:rFonts w:asciiTheme="majorHAnsi" w:hAnsiTheme="majorHAnsi" w:cstheme="majorHAnsi"/>
          <w:sz w:val="20"/>
          <w:szCs w:val="20"/>
          <w:lang w:val="ro-RO"/>
        </w:rPr>
        <w:t>.</w:t>
      </w:r>
    </w:p>
    <w:p w14:paraId="450D6D2D" w14:textId="0E306570" w:rsidR="00A331E6" w:rsidRPr="00B54B4B" w:rsidRDefault="00A331E6" w:rsidP="00453898">
      <w:pPr>
        <w:spacing w:after="80" w:line="264" w:lineRule="auto"/>
        <w:jc w:val="both"/>
        <w:rPr>
          <w:rFonts w:asciiTheme="majorHAnsi" w:hAnsiTheme="majorHAnsi" w:cstheme="majorHAnsi"/>
          <w:sz w:val="20"/>
          <w:szCs w:val="20"/>
          <w:lang w:val="ro-RO"/>
        </w:rPr>
      </w:pPr>
      <w:r w:rsidRPr="00B54B4B">
        <w:rPr>
          <w:rFonts w:asciiTheme="majorHAnsi" w:hAnsiTheme="majorHAnsi" w:cstheme="majorHAnsi"/>
          <w:sz w:val="20"/>
          <w:szCs w:val="20"/>
          <w:lang w:val="ro-RO"/>
        </w:rPr>
        <w:t xml:space="preserve">Rezultatul va fi consemnat într-un raport de inspecție </w:t>
      </w:r>
      <w:proofErr w:type="spellStart"/>
      <w:r w:rsidRPr="00B54B4B">
        <w:rPr>
          <w:rFonts w:asciiTheme="majorHAnsi" w:hAnsiTheme="majorHAnsi" w:cstheme="majorHAnsi"/>
          <w:sz w:val="20"/>
          <w:szCs w:val="20"/>
          <w:lang w:val="ro-RO"/>
        </w:rPr>
        <w:t>economico</w:t>
      </w:r>
      <w:proofErr w:type="spellEnd"/>
      <w:r w:rsidRPr="00B54B4B">
        <w:rPr>
          <w:rFonts w:asciiTheme="majorHAnsi" w:hAnsiTheme="majorHAnsi" w:cstheme="majorHAnsi"/>
          <w:sz w:val="20"/>
          <w:szCs w:val="20"/>
          <w:lang w:val="ro-RO"/>
        </w:rPr>
        <w:t xml:space="preserve">-financiară care va cuprinde constatările organului de control, precum și opinia acestuia </w:t>
      </w:r>
      <w:r>
        <w:rPr>
          <w:rFonts w:asciiTheme="majorHAnsi" w:hAnsiTheme="majorHAnsi" w:cstheme="majorHAnsi"/>
          <w:sz w:val="20"/>
          <w:szCs w:val="20"/>
          <w:lang w:val="ro-RO"/>
        </w:rPr>
        <w:t xml:space="preserve">referitoare </w:t>
      </w:r>
      <w:r w:rsidRPr="00B54B4B">
        <w:rPr>
          <w:rFonts w:asciiTheme="majorHAnsi" w:hAnsiTheme="majorHAnsi" w:cstheme="majorHAnsi"/>
          <w:sz w:val="20"/>
          <w:szCs w:val="20"/>
          <w:lang w:val="ro-RO"/>
        </w:rPr>
        <w:t xml:space="preserve">la punctul de vedere formulat de </w:t>
      </w:r>
      <w:r>
        <w:rPr>
          <w:rFonts w:asciiTheme="majorHAnsi" w:hAnsiTheme="majorHAnsi" w:cstheme="majorHAnsi"/>
          <w:sz w:val="20"/>
          <w:szCs w:val="20"/>
          <w:lang w:val="ro-RO"/>
        </w:rPr>
        <w:t xml:space="preserve">contribuabil. Totodată, raportul va </w:t>
      </w:r>
      <w:r w:rsidRPr="00B54B4B">
        <w:rPr>
          <w:rFonts w:asciiTheme="majorHAnsi" w:hAnsiTheme="majorHAnsi" w:cstheme="majorHAnsi"/>
          <w:sz w:val="20"/>
          <w:szCs w:val="20"/>
          <w:lang w:val="ro-RO"/>
        </w:rPr>
        <w:t>st</w:t>
      </w:r>
      <w:r>
        <w:rPr>
          <w:rFonts w:asciiTheme="majorHAnsi" w:hAnsiTheme="majorHAnsi" w:cstheme="majorHAnsi"/>
          <w:sz w:val="20"/>
          <w:szCs w:val="20"/>
          <w:lang w:val="ro-RO"/>
        </w:rPr>
        <w:t>a</w:t>
      </w:r>
      <w:r w:rsidRPr="00B54B4B">
        <w:rPr>
          <w:rFonts w:asciiTheme="majorHAnsi" w:hAnsiTheme="majorHAnsi" w:cstheme="majorHAnsi"/>
          <w:sz w:val="20"/>
          <w:szCs w:val="20"/>
          <w:lang w:val="ro-RO"/>
        </w:rPr>
        <w:t xml:space="preserve"> la baza emiterii unor dispoziții obligatorii de măsuri, prin intermediul cărora se vor putea stabili inclusiv sumele cuvenite bugetului de stat cu titlu de creanțe bugetare.  </w:t>
      </w:r>
    </w:p>
    <w:p w14:paraId="2F222008" w14:textId="71B02B36" w:rsidR="00A331E6" w:rsidRPr="00B54B4B" w:rsidRDefault="00A331E6" w:rsidP="00453898">
      <w:pPr>
        <w:spacing w:after="80" w:line="264" w:lineRule="auto"/>
        <w:jc w:val="both"/>
        <w:rPr>
          <w:rFonts w:ascii="Calibri Light" w:hAnsi="Calibri Light" w:cs="Calibri Light"/>
          <w:sz w:val="20"/>
          <w:szCs w:val="20"/>
          <w:lang w:val="ro-RO"/>
        </w:rPr>
      </w:pPr>
      <w:r w:rsidRPr="00B54B4B">
        <w:rPr>
          <w:rFonts w:ascii="Calibri Light" w:hAnsi="Calibri Light" w:cs="Calibri Light"/>
          <w:sz w:val="20"/>
          <w:szCs w:val="20"/>
          <w:lang w:val="ro-RO"/>
        </w:rPr>
        <w:t>De asemenea,</w:t>
      </w:r>
      <w:r>
        <w:rPr>
          <w:rFonts w:ascii="Calibri Light" w:hAnsi="Calibri Light" w:cs="Calibri Light"/>
          <w:sz w:val="20"/>
          <w:szCs w:val="20"/>
          <w:lang w:val="ro-RO"/>
        </w:rPr>
        <w:t xml:space="preserve"> </w:t>
      </w:r>
      <w:r w:rsidRPr="00B54B4B">
        <w:rPr>
          <w:rFonts w:ascii="Calibri Light" w:hAnsi="Calibri Light" w:cs="Calibri Light"/>
          <w:sz w:val="20"/>
          <w:szCs w:val="20"/>
          <w:lang w:val="ro-RO"/>
        </w:rPr>
        <w:t xml:space="preserve">același control tematic va putea stabili în sarcina </w:t>
      </w:r>
      <w:r>
        <w:rPr>
          <w:rFonts w:ascii="Calibri Light" w:hAnsi="Calibri Light" w:cs="Calibri Light"/>
          <w:sz w:val="20"/>
          <w:szCs w:val="20"/>
          <w:lang w:val="ro-RO"/>
        </w:rPr>
        <w:t>contribuabililor</w:t>
      </w:r>
      <w:r w:rsidRPr="00B54B4B">
        <w:rPr>
          <w:rFonts w:ascii="Calibri Light" w:hAnsi="Calibri Light" w:cs="Calibri Light"/>
          <w:sz w:val="20"/>
          <w:szCs w:val="20"/>
          <w:lang w:val="ro-RO"/>
        </w:rPr>
        <w:t xml:space="preserve"> controlați și</w:t>
      </w:r>
      <w:r w:rsidR="00461CA3">
        <w:rPr>
          <w:rFonts w:ascii="Calibri Light" w:hAnsi="Calibri Light" w:cs="Calibri Light"/>
          <w:sz w:val="20"/>
          <w:szCs w:val="20"/>
          <w:lang w:val="ro-RO"/>
        </w:rPr>
        <w:t xml:space="preserve"> </w:t>
      </w:r>
      <w:r w:rsidRPr="00B54B4B">
        <w:rPr>
          <w:rFonts w:ascii="Calibri Light" w:hAnsi="Calibri Light" w:cs="Calibri Light"/>
          <w:sz w:val="20"/>
          <w:szCs w:val="20"/>
          <w:lang w:val="ro-RO"/>
        </w:rPr>
        <w:t>obligații accesorii, calculate potrivit Codului de procedură fiscală (dobânzi, penalități de întârziere și/sau penalități de nedeclarare)</w:t>
      </w:r>
      <w:r w:rsidR="00461CA3">
        <w:rPr>
          <w:rFonts w:ascii="Calibri Light" w:hAnsi="Calibri Light" w:cs="Calibri Light"/>
          <w:sz w:val="20"/>
          <w:szCs w:val="20"/>
          <w:lang w:val="ro-RO"/>
        </w:rPr>
        <w:t xml:space="preserve">. Aceste obligații vor putea face totuși obiectul facilităților (amnistiei) fiscale adoptate în ultima perioadă, </w:t>
      </w:r>
      <w:r w:rsidR="00432EB8">
        <w:rPr>
          <w:rFonts w:ascii="Calibri Light" w:hAnsi="Calibri Light" w:cs="Calibri Light"/>
          <w:sz w:val="20"/>
          <w:szCs w:val="20"/>
          <w:lang w:val="ro-RO"/>
        </w:rPr>
        <w:t>sub rezerva</w:t>
      </w:r>
      <w:r w:rsidR="00461CA3">
        <w:rPr>
          <w:rFonts w:ascii="Calibri Light" w:hAnsi="Calibri Light" w:cs="Calibri Light"/>
          <w:sz w:val="20"/>
          <w:szCs w:val="20"/>
          <w:lang w:val="ro-RO"/>
        </w:rPr>
        <w:t xml:space="preserve"> îndeplinirii condițiilor formale </w:t>
      </w:r>
      <w:r w:rsidR="00432EB8">
        <w:rPr>
          <w:rFonts w:ascii="Calibri Light" w:hAnsi="Calibri Light" w:cs="Calibri Light"/>
          <w:sz w:val="20"/>
          <w:szCs w:val="20"/>
          <w:lang w:val="ro-RO"/>
        </w:rPr>
        <w:t>necesare pentru aplicarea acestora.</w:t>
      </w:r>
    </w:p>
    <w:p w14:paraId="4B338DB9" w14:textId="77777777" w:rsidR="00A331E6" w:rsidRPr="00B54B4B" w:rsidRDefault="00A331E6" w:rsidP="00453898">
      <w:pPr>
        <w:spacing w:after="80" w:line="264" w:lineRule="auto"/>
        <w:jc w:val="both"/>
        <w:rPr>
          <w:rFonts w:asciiTheme="majorHAnsi" w:hAnsiTheme="majorHAnsi" w:cstheme="majorHAnsi"/>
          <w:sz w:val="20"/>
          <w:szCs w:val="20"/>
          <w:lang w:val="ro-RO"/>
        </w:rPr>
      </w:pPr>
      <w:r w:rsidRPr="00B54B4B">
        <w:rPr>
          <w:rFonts w:asciiTheme="majorHAnsi" w:hAnsiTheme="majorHAnsi" w:cstheme="majorHAnsi"/>
          <w:sz w:val="20"/>
          <w:szCs w:val="20"/>
          <w:lang w:val="ro-RO"/>
        </w:rPr>
        <w:t>Împotriva actelor administrative emise în această procedură se poate formula plângere prealabil</w:t>
      </w:r>
      <w:r>
        <w:rPr>
          <w:rFonts w:asciiTheme="majorHAnsi" w:hAnsiTheme="majorHAnsi" w:cstheme="majorHAnsi"/>
          <w:sz w:val="20"/>
          <w:szCs w:val="20"/>
          <w:lang w:val="ro-RO"/>
        </w:rPr>
        <w:t>ă</w:t>
      </w:r>
      <w:r w:rsidRPr="00B54B4B">
        <w:rPr>
          <w:rFonts w:asciiTheme="majorHAnsi" w:hAnsiTheme="majorHAnsi" w:cstheme="majorHAnsi"/>
          <w:sz w:val="20"/>
          <w:szCs w:val="20"/>
          <w:lang w:val="ro-RO"/>
        </w:rPr>
        <w:t>, însă termenul de contestare este cel din dreptul comun (Legea nr. 554/2004 a contenciosului administrativ), de 30 de zile</w:t>
      </w:r>
      <w:r>
        <w:rPr>
          <w:rFonts w:asciiTheme="majorHAnsi" w:hAnsiTheme="majorHAnsi" w:cstheme="majorHAnsi"/>
          <w:sz w:val="20"/>
          <w:szCs w:val="20"/>
          <w:lang w:val="ro-RO"/>
        </w:rPr>
        <w:t xml:space="preserve">, </w:t>
      </w:r>
      <w:r w:rsidRPr="00B54B4B">
        <w:rPr>
          <w:rFonts w:asciiTheme="majorHAnsi" w:hAnsiTheme="majorHAnsi" w:cstheme="majorHAnsi"/>
          <w:sz w:val="20"/>
          <w:szCs w:val="20"/>
          <w:lang w:val="ro-RO"/>
        </w:rPr>
        <w:t xml:space="preserve">substanțial mai mic față de termenul de 45 de zile prevăzut pentru o inspecție fiscală obișnuită. </w:t>
      </w:r>
    </w:p>
    <w:p w14:paraId="7A3E2D1E" w14:textId="77777777" w:rsidR="001835EE" w:rsidRDefault="001835EE" w:rsidP="00453898">
      <w:pPr>
        <w:spacing w:after="80" w:line="264" w:lineRule="auto"/>
        <w:jc w:val="both"/>
        <w:rPr>
          <w:rFonts w:asciiTheme="majorHAnsi" w:hAnsiTheme="majorHAnsi" w:cstheme="majorHAnsi"/>
          <w:b/>
          <w:bCs/>
          <w:sz w:val="20"/>
          <w:szCs w:val="20"/>
          <w:lang w:val="ro-RO"/>
        </w:rPr>
      </w:pPr>
    </w:p>
    <w:p w14:paraId="13D0E29A" w14:textId="5B5F8355" w:rsidR="00A331E6" w:rsidRPr="00B54B4B" w:rsidRDefault="00A331E6" w:rsidP="00453898">
      <w:pPr>
        <w:spacing w:after="80" w:line="264" w:lineRule="auto"/>
        <w:jc w:val="both"/>
        <w:rPr>
          <w:rFonts w:asciiTheme="majorHAnsi" w:hAnsiTheme="majorHAnsi" w:cstheme="majorHAnsi"/>
          <w:sz w:val="20"/>
          <w:szCs w:val="20"/>
          <w:lang w:val="ro-RO"/>
        </w:rPr>
      </w:pPr>
      <w:r>
        <w:rPr>
          <w:rFonts w:asciiTheme="majorHAnsi" w:hAnsiTheme="majorHAnsi" w:cstheme="majorHAnsi"/>
          <w:b/>
          <w:bCs/>
          <w:sz w:val="20"/>
          <w:szCs w:val="20"/>
          <w:lang w:val="ro-RO"/>
        </w:rPr>
        <w:t>P</w:t>
      </w:r>
      <w:r w:rsidRPr="00B54B4B">
        <w:rPr>
          <w:rFonts w:asciiTheme="majorHAnsi" w:hAnsiTheme="majorHAnsi" w:cstheme="majorHAnsi"/>
          <w:b/>
          <w:bCs/>
          <w:sz w:val="20"/>
          <w:szCs w:val="20"/>
          <w:lang w:val="ro-RO"/>
        </w:rPr>
        <w:t xml:space="preserve">robleme </w:t>
      </w:r>
      <w:r>
        <w:rPr>
          <w:rFonts w:asciiTheme="majorHAnsi" w:hAnsiTheme="majorHAnsi" w:cstheme="majorHAnsi"/>
          <w:b/>
          <w:bCs/>
          <w:sz w:val="20"/>
          <w:szCs w:val="20"/>
          <w:lang w:val="ro-RO"/>
        </w:rPr>
        <w:t xml:space="preserve">generate de dublarea competențelor de control </w:t>
      </w:r>
    </w:p>
    <w:p w14:paraId="4F91F31A" w14:textId="4AEF65E3" w:rsidR="00A331E6" w:rsidRPr="00B54B4B" w:rsidRDefault="00A331E6" w:rsidP="00453898">
      <w:pPr>
        <w:spacing w:after="80" w:line="264" w:lineRule="auto"/>
        <w:jc w:val="both"/>
        <w:rPr>
          <w:rFonts w:asciiTheme="majorHAnsi" w:hAnsiTheme="majorHAnsi" w:cstheme="majorHAnsi"/>
          <w:sz w:val="20"/>
          <w:szCs w:val="20"/>
          <w:lang w:val="ro-RO"/>
        </w:rPr>
      </w:pPr>
      <w:r w:rsidRPr="00B54B4B">
        <w:rPr>
          <w:rFonts w:asciiTheme="majorHAnsi" w:hAnsiTheme="majorHAnsi" w:cstheme="majorHAnsi"/>
          <w:sz w:val="20"/>
          <w:szCs w:val="20"/>
          <w:lang w:val="ro-RO"/>
        </w:rPr>
        <w:t>Așa</w:t>
      </w:r>
      <w:r>
        <w:rPr>
          <w:rFonts w:asciiTheme="majorHAnsi" w:hAnsiTheme="majorHAnsi" w:cstheme="majorHAnsi"/>
          <w:sz w:val="20"/>
          <w:szCs w:val="20"/>
          <w:lang w:val="ro-RO"/>
        </w:rPr>
        <w:t xml:space="preserve">dar, </w:t>
      </w:r>
      <w:r w:rsidRPr="00B54B4B">
        <w:rPr>
          <w:rFonts w:asciiTheme="majorHAnsi" w:hAnsiTheme="majorHAnsi" w:cstheme="majorHAnsi"/>
          <w:sz w:val="20"/>
          <w:szCs w:val="20"/>
          <w:lang w:val="ro-RO"/>
        </w:rPr>
        <w:t xml:space="preserve">controlul declarării și achitării taxei </w:t>
      </w:r>
      <w:proofErr w:type="spellStart"/>
      <w:r w:rsidRPr="00B34A9A">
        <w:rPr>
          <w:rFonts w:asciiTheme="majorHAnsi" w:hAnsiTheme="majorHAnsi" w:cstheme="majorHAnsi"/>
          <w:i/>
          <w:sz w:val="20"/>
          <w:szCs w:val="20"/>
          <w:lang w:val="ro-RO"/>
        </w:rPr>
        <w:t>clawback</w:t>
      </w:r>
      <w:proofErr w:type="spellEnd"/>
      <w:r w:rsidRPr="00B54B4B">
        <w:rPr>
          <w:rFonts w:asciiTheme="majorHAnsi" w:hAnsiTheme="majorHAnsi" w:cstheme="majorHAnsi"/>
          <w:sz w:val="20"/>
          <w:szCs w:val="20"/>
          <w:lang w:val="ro-RO"/>
        </w:rPr>
        <w:t xml:space="preserve">, a taxei pe activitatea minieră, respectiv a redevențelor miniere și petroliere se va putea efectua atât de organele fiscale, cât și de </w:t>
      </w:r>
      <w:r w:rsidR="001835EE" w:rsidRPr="001835EE">
        <w:rPr>
          <w:rFonts w:asciiTheme="majorHAnsi" w:hAnsiTheme="majorHAnsi" w:cstheme="majorHAnsi"/>
          <w:sz w:val="20"/>
          <w:szCs w:val="20"/>
          <w:lang w:val="ro-RO"/>
        </w:rPr>
        <w:t>Agen</w:t>
      </w:r>
      <w:r w:rsidR="001835EE">
        <w:rPr>
          <w:rFonts w:asciiTheme="majorHAnsi" w:hAnsiTheme="majorHAnsi" w:cstheme="majorHAnsi"/>
          <w:sz w:val="20"/>
          <w:szCs w:val="20"/>
          <w:lang w:val="ro-RO"/>
        </w:rPr>
        <w:t>ț</w:t>
      </w:r>
      <w:r w:rsidR="001835EE" w:rsidRPr="001835EE">
        <w:rPr>
          <w:rFonts w:asciiTheme="majorHAnsi" w:hAnsiTheme="majorHAnsi" w:cstheme="majorHAnsi"/>
          <w:sz w:val="20"/>
          <w:szCs w:val="20"/>
          <w:lang w:val="ro-RO"/>
        </w:rPr>
        <w:t>ia Na</w:t>
      </w:r>
      <w:r w:rsidR="001835EE">
        <w:rPr>
          <w:rFonts w:asciiTheme="majorHAnsi" w:hAnsiTheme="majorHAnsi" w:cstheme="majorHAnsi"/>
          <w:sz w:val="20"/>
          <w:szCs w:val="20"/>
          <w:lang w:val="ro-RO"/>
        </w:rPr>
        <w:t>ț</w:t>
      </w:r>
      <w:r w:rsidR="001835EE" w:rsidRPr="001835EE">
        <w:rPr>
          <w:rFonts w:asciiTheme="majorHAnsi" w:hAnsiTheme="majorHAnsi" w:cstheme="majorHAnsi"/>
          <w:sz w:val="20"/>
          <w:szCs w:val="20"/>
          <w:lang w:val="ro-RO"/>
        </w:rPr>
        <w:t>ional</w:t>
      </w:r>
      <w:r w:rsidR="001835EE">
        <w:rPr>
          <w:rFonts w:asciiTheme="majorHAnsi" w:hAnsiTheme="majorHAnsi" w:cstheme="majorHAnsi"/>
          <w:sz w:val="20"/>
          <w:szCs w:val="20"/>
          <w:lang w:val="ro-RO"/>
        </w:rPr>
        <w:t>ă</w:t>
      </w:r>
      <w:r w:rsidR="001835EE" w:rsidRPr="001835EE">
        <w:rPr>
          <w:rFonts w:asciiTheme="majorHAnsi" w:hAnsiTheme="majorHAnsi" w:cstheme="majorHAnsi"/>
          <w:sz w:val="20"/>
          <w:szCs w:val="20"/>
          <w:lang w:val="ro-RO"/>
        </w:rPr>
        <w:t xml:space="preserve"> pentru Resurse Minerale </w:t>
      </w:r>
      <w:r w:rsidR="001835EE">
        <w:rPr>
          <w:rFonts w:asciiTheme="majorHAnsi" w:hAnsiTheme="majorHAnsi" w:cstheme="majorHAnsi"/>
          <w:sz w:val="20"/>
          <w:szCs w:val="20"/>
          <w:lang w:val="ro-RO"/>
        </w:rPr>
        <w:t>(</w:t>
      </w:r>
      <w:r>
        <w:rPr>
          <w:rFonts w:asciiTheme="majorHAnsi" w:hAnsiTheme="majorHAnsi" w:cstheme="majorHAnsi"/>
          <w:sz w:val="20"/>
          <w:szCs w:val="20"/>
          <w:lang w:val="ro-RO"/>
        </w:rPr>
        <w:t>ANRM</w:t>
      </w:r>
      <w:r w:rsidR="001835EE">
        <w:rPr>
          <w:rFonts w:asciiTheme="majorHAnsi" w:hAnsiTheme="majorHAnsi" w:cstheme="majorHAnsi"/>
          <w:sz w:val="20"/>
          <w:szCs w:val="20"/>
          <w:lang w:val="ro-RO"/>
        </w:rPr>
        <w:t>)</w:t>
      </w:r>
      <w:r>
        <w:rPr>
          <w:rFonts w:asciiTheme="majorHAnsi" w:hAnsiTheme="majorHAnsi" w:cstheme="majorHAnsi"/>
          <w:sz w:val="20"/>
          <w:szCs w:val="20"/>
          <w:lang w:val="ro-RO"/>
        </w:rPr>
        <w:t xml:space="preserve">, </w:t>
      </w:r>
      <w:r w:rsidRPr="00B54B4B">
        <w:rPr>
          <w:rFonts w:asciiTheme="majorHAnsi" w:hAnsiTheme="majorHAnsi" w:cstheme="majorHAnsi"/>
          <w:sz w:val="20"/>
          <w:szCs w:val="20"/>
          <w:lang w:val="ro-RO"/>
        </w:rPr>
        <w:t>în cazul redevențelor miniere și petroliere, respectiv de structurile teritoriale din ANAF sau MF</w:t>
      </w:r>
      <w:r w:rsidR="001835EE">
        <w:rPr>
          <w:rFonts w:asciiTheme="majorHAnsi" w:hAnsiTheme="majorHAnsi" w:cstheme="majorHAnsi"/>
          <w:sz w:val="20"/>
          <w:szCs w:val="20"/>
          <w:lang w:val="ro-RO"/>
        </w:rPr>
        <w:t>P</w:t>
      </w:r>
      <w:r w:rsidRPr="00B54B4B">
        <w:rPr>
          <w:rFonts w:asciiTheme="majorHAnsi" w:hAnsiTheme="majorHAnsi" w:cstheme="majorHAnsi"/>
          <w:sz w:val="20"/>
          <w:szCs w:val="20"/>
          <w:lang w:val="ro-RO"/>
        </w:rPr>
        <w:t xml:space="preserve"> prin inspecții </w:t>
      </w:r>
      <w:proofErr w:type="spellStart"/>
      <w:r w:rsidRPr="00B54B4B">
        <w:rPr>
          <w:rFonts w:asciiTheme="majorHAnsi" w:hAnsiTheme="majorHAnsi" w:cstheme="majorHAnsi"/>
          <w:sz w:val="20"/>
          <w:szCs w:val="20"/>
          <w:lang w:val="ro-RO"/>
        </w:rPr>
        <w:t>economico</w:t>
      </w:r>
      <w:proofErr w:type="spellEnd"/>
      <w:r w:rsidRPr="00B54B4B">
        <w:rPr>
          <w:rFonts w:asciiTheme="majorHAnsi" w:hAnsiTheme="majorHAnsi" w:cstheme="majorHAnsi"/>
          <w:sz w:val="20"/>
          <w:szCs w:val="20"/>
          <w:lang w:val="ro-RO"/>
        </w:rPr>
        <w:t>-financiare.</w:t>
      </w:r>
    </w:p>
    <w:p w14:paraId="2D281F63" w14:textId="0E76B94C" w:rsidR="00A331E6" w:rsidRPr="00B54B4B" w:rsidRDefault="00A331E6" w:rsidP="00453898">
      <w:pPr>
        <w:spacing w:after="80" w:line="264" w:lineRule="auto"/>
        <w:jc w:val="both"/>
        <w:rPr>
          <w:rFonts w:asciiTheme="majorHAnsi" w:hAnsiTheme="majorHAnsi" w:cstheme="majorHAnsi"/>
          <w:sz w:val="20"/>
          <w:szCs w:val="20"/>
          <w:lang w:val="ro-RO"/>
        </w:rPr>
      </w:pPr>
      <w:r w:rsidRPr="00B54B4B">
        <w:rPr>
          <w:rFonts w:asciiTheme="majorHAnsi" w:hAnsiTheme="majorHAnsi" w:cstheme="majorHAnsi"/>
          <w:sz w:val="20"/>
          <w:szCs w:val="20"/>
          <w:lang w:val="ro-RO"/>
        </w:rPr>
        <w:lastRenderedPageBreak/>
        <w:t>Această dublare de competențe și atribuții ridică o problemă majoră: în ce măsură o inspecție fiscală care ar avea ca obiect controlul declarării și achitării taxe</w:t>
      </w:r>
      <w:r>
        <w:rPr>
          <w:rFonts w:asciiTheme="majorHAnsi" w:hAnsiTheme="majorHAnsi" w:cstheme="majorHAnsi"/>
          <w:sz w:val="20"/>
          <w:szCs w:val="20"/>
          <w:lang w:val="ro-RO"/>
        </w:rPr>
        <w:t>i</w:t>
      </w:r>
      <w:r w:rsidRPr="00B54B4B">
        <w:rPr>
          <w:rFonts w:asciiTheme="majorHAnsi" w:hAnsiTheme="majorHAnsi" w:cstheme="majorHAnsi"/>
          <w:sz w:val="20"/>
          <w:szCs w:val="20"/>
          <w:lang w:val="ro-RO"/>
        </w:rPr>
        <w:t xml:space="preserve"> </w:t>
      </w:r>
      <w:proofErr w:type="spellStart"/>
      <w:r w:rsidRPr="00B34A9A">
        <w:rPr>
          <w:rFonts w:asciiTheme="majorHAnsi" w:hAnsiTheme="majorHAnsi" w:cstheme="majorHAnsi"/>
          <w:i/>
          <w:sz w:val="20"/>
          <w:szCs w:val="20"/>
          <w:lang w:val="ro-RO"/>
        </w:rPr>
        <w:t>clawback</w:t>
      </w:r>
      <w:proofErr w:type="spellEnd"/>
      <w:r w:rsidRPr="00B54B4B">
        <w:rPr>
          <w:rFonts w:asciiTheme="majorHAnsi" w:hAnsiTheme="majorHAnsi" w:cstheme="majorHAnsi"/>
          <w:sz w:val="20"/>
          <w:szCs w:val="20"/>
          <w:lang w:val="ro-RO"/>
        </w:rPr>
        <w:t xml:space="preserve"> ar putea fi urmată/dublată de o inspecție </w:t>
      </w:r>
      <w:proofErr w:type="spellStart"/>
      <w:r w:rsidRPr="00B54B4B">
        <w:rPr>
          <w:rFonts w:asciiTheme="majorHAnsi" w:hAnsiTheme="majorHAnsi" w:cstheme="majorHAnsi"/>
          <w:sz w:val="20"/>
          <w:szCs w:val="20"/>
          <w:lang w:val="ro-RO"/>
        </w:rPr>
        <w:t>economico</w:t>
      </w:r>
      <w:proofErr w:type="spellEnd"/>
      <w:r w:rsidRPr="00B54B4B">
        <w:rPr>
          <w:rFonts w:asciiTheme="majorHAnsi" w:hAnsiTheme="majorHAnsi" w:cstheme="majorHAnsi"/>
          <w:sz w:val="20"/>
          <w:szCs w:val="20"/>
          <w:lang w:val="ro-RO"/>
        </w:rPr>
        <w:t>-financiară sau invers? Din păcate</w:t>
      </w:r>
      <w:r w:rsidR="001835EE">
        <w:rPr>
          <w:rFonts w:asciiTheme="majorHAnsi" w:hAnsiTheme="majorHAnsi" w:cstheme="majorHAnsi"/>
          <w:sz w:val="20"/>
          <w:szCs w:val="20"/>
          <w:lang w:val="ro-RO"/>
        </w:rPr>
        <w:t>,</w:t>
      </w:r>
      <w:r w:rsidRPr="00B54B4B">
        <w:rPr>
          <w:rFonts w:asciiTheme="majorHAnsi" w:hAnsiTheme="majorHAnsi" w:cstheme="majorHAnsi"/>
          <w:sz w:val="20"/>
          <w:szCs w:val="20"/>
          <w:lang w:val="ro-RO"/>
        </w:rPr>
        <w:t xml:space="preserve"> nici Legea 222/2021, nici O</w:t>
      </w:r>
      <w:r>
        <w:rPr>
          <w:rFonts w:asciiTheme="majorHAnsi" w:hAnsiTheme="majorHAnsi" w:cstheme="majorHAnsi"/>
          <w:sz w:val="20"/>
          <w:szCs w:val="20"/>
          <w:lang w:val="ro-RO"/>
        </w:rPr>
        <w:t>UG</w:t>
      </w:r>
      <w:r w:rsidRPr="00B54B4B">
        <w:rPr>
          <w:rFonts w:asciiTheme="majorHAnsi" w:hAnsiTheme="majorHAnsi" w:cstheme="majorHAnsi"/>
          <w:sz w:val="20"/>
          <w:szCs w:val="20"/>
          <w:lang w:val="ro-RO"/>
        </w:rPr>
        <w:t xml:space="preserve"> 94/2011 nu </w:t>
      </w:r>
      <w:r w:rsidR="001835EE">
        <w:rPr>
          <w:rFonts w:asciiTheme="majorHAnsi" w:hAnsiTheme="majorHAnsi" w:cstheme="majorHAnsi"/>
          <w:sz w:val="20"/>
          <w:szCs w:val="20"/>
          <w:lang w:val="ro-RO"/>
        </w:rPr>
        <w:t>oferă</w:t>
      </w:r>
      <w:r w:rsidR="001835EE" w:rsidRPr="00B54B4B">
        <w:rPr>
          <w:rFonts w:asciiTheme="majorHAnsi" w:hAnsiTheme="majorHAnsi" w:cstheme="majorHAnsi"/>
          <w:sz w:val="20"/>
          <w:szCs w:val="20"/>
          <w:lang w:val="ro-RO"/>
        </w:rPr>
        <w:t xml:space="preserve"> </w:t>
      </w:r>
      <w:r w:rsidRPr="00B54B4B">
        <w:rPr>
          <w:rFonts w:asciiTheme="majorHAnsi" w:hAnsiTheme="majorHAnsi" w:cstheme="majorHAnsi"/>
          <w:sz w:val="20"/>
          <w:szCs w:val="20"/>
          <w:lang w:val="ro-RO"/>
        </w:rPr>
        <w:t>un răspuns la problema practică a suprapunerii de competențe cu privire la același tip de creanțe controlate. De fapt, O</w:t>
      </w:r>
      <w:r>
        <w:rPr>
          <w:rFonts w:asciiTheme="majorHAnsi" w:hAnsiTheme="majorHAnsi" w:cstheme="majorHAnsi"/>
          <w:sz w:val="20"/>
          <w:szCs w:val="20"/>
          <w:lang w:val="ro-RO"/>
        </w:rPr>
        <w:t xml:space="preserve">UG </w:t>
      </w:r>
      <w:r w:rsidRPr="00B54B4B">
        <w:rPr>
          <w:rFonts w:asciiTheme="majorHAnsi" w:hAnsiTheme="majorHAnsi" w:cstheme="majorHAnsi"/>
          <w:sz w:val="20"/>
          <w:szCs w:val="20"/>
          <w:lang w:val="ro-RO"/>
        </w:rPr>
        <w:t xml:space="preserve">94/2011 </w:t>
      </w:r>
      <w:r>
        <w:rPr>
          <w:rFonts w:asciiTheme="majorHAnsi" w:hAnsiTheme="majorHAnsi" w:cstheme="majorHAnsi"/>
          <w:sz w:val="20"/>
          <w:szCs w:val="20"/>
          <w:lang w:val="ro-RO"/>
        </w:rPr>
        <w:t>prevede</w:t>
      </w:r>
      <w:r w:rsidRPr="00B54B4B">
        <w:rPr>
          <w:rFonts w:asciiTheme="majorHAnsi" w:hAnsiTheme="majorHAnsi" w:cstheme="majorHAnsi"/>
          <w:sz w:val="20"/>
          <w:szCs w:val="20"/>
          <w:lang w:val="ro-RO"/>
        </w:rPr>
        <w:t xml:space="preserve"> expres</w:t>
      </w:r>
      <w:r>
        <w:rPr>
          <w:rFonts w:asciiTheme="majorHAnsi" w:hAnsiTheme="majorHAnsi" w:cstheme="majorHAnsi"/>
          <w:sz w:val="20"/>
          <w:szCs w:val="20"/>
          <w:lang w:val="ro-RO"/>
        </w:rPr>
        <w:t xml:space="preserve"> că</w:t>
      </w:r>
      <w:r w:rsidRPr="00B54B4B">
        <w:rPr>
          <w:rFonts w:asciiTheme="majorHAnsi" w:hAnsiTheme="majorHAnsi" w:cstheme="majorHAnsi"/>
          <w:sz w:val="20"/>
          <w:szCs w:val="20"/>
          <w:lang w:val="ro-RO"/>
        </w:rPr>
        <w:t xml:space="preserve"> doar controlul efectuat de Curtea de Conturi este incompatibil cu inspecția </w:t>
      </w:r>
      <w:proofErr w:type="spellStart"/>
      <w:r w:rsidRPr="00B54B4B">
        <w:rPr>
          <w:rFonts w:asciiTheme="majorHAnsi" w:hAnsiTheme="majorHAnsi" w:cstheme="majorHAnsi"/>
          <w:sz w:val="20"/>
          <w:szCs w:val="20"/>
          <w:lang w:val="ro-RO"/>
        </w:rPr>
        <w:t>economico</w:t>
      </w:r>
      <w:proofErr w:type="spellEnd"/>
      <w:r w:rsidRPr="00B54B4B">
        <w:rPr>
          <w:rFonts w:asciiTheme="majorHAnsi" w:hAnsiTheme="majorHAnsi" w:cstheme="majorHAnsi"/>
          <w:sz w:val="20"/>
          <w:szCs w:val="20"/>
          <w:lang w:val="ro-RO"/>
        </w:rPr>
        <w:t>-financiară. Cu alte cuvinte,</w:t>
      </w:r>
      <w:r>
        <w:rPr>
          <w:rFonts w:asciiTheme="majorHAnsi" w:hAnsiTheme="majorHAnsi" w:cstheme="majorHAnsi"/>
          <w:sz w:val="20"/>
          <w:szCs w:val="20"/>
          <w:lang w:val="ro-RO"/>
        </w:rPr>
        <w:t xml:space="preserve"> o altă procedură de control (spre exemplu</w:t>
      </w:r>
      <w:r w:rsidR="001835EE">
        <w:rPr>
          <w:rFonts w:asciiTheme="majorHAnsi" w:hAnsiTheme="majorHAnsi" w:cstheme="majorHAnsi"/>
          <w:sz w:val="20"/>
          <w:szCs w:val="20"/>
          <w:lang w:val="ro-RO"/>
        </w:rPr>
        <w:t>,</w:t>
      </w:r>
      <w:r>
        <w:rPr>
          <w:rFonts w:asciiTheme="majorHAnsi" w:hAnsiTheme="majorHAnsi" w:cstheme="majorHAnsi"/>
          <w:sz w:val="20"/>
          <w:szCs w:val="20"/>
          <w:lang w:val="ro-RO"/>
        </w:rPr>
        <w:t xml:space="preserve"> o inspecție fiscală) ar putea viza obligații deja supuse unei proceduri de inspecție </w:t>
      </w:r>
      <w:proofErr w:type="spellStart"/>
      <w:r>
        <w:rPr>
          <w:rFonts w:asciiTheme="majorHAnsi" w:hAnsiTheme="majorHAnsi" w:cstheme="majorHAnsi"/>
          <w:sz w:val="20"/>
          <w:szCs w:val="20"/>
          <w:lang w:val="ro-RO"/>
        </w:rPr>
        <w:t>economico</w:t>
      </w:r>
      <w:proofErr w:type="spellEnd"/>
      <w:r>
        <w:rPr>
          <w:rFonts w:asciiTheme="majorHAnsi" w:hAnsiTheme="majorHAnsi" w:cstheme="majorHAnsi"/>
          <w:sz w:val="20"/>
          <w:szCs w:val="20"/>
          <w:lang w:val="ro-RO"/>
        </w:rPr>
        <w:t>-financiară</w:t>
      </w:r>
      <w:r w:rsidRPr="00B54B4B">
        <w:rPr>
          <w:rFonts w:asciiTheme="majorHAnsi" w:hAnsiTheme="majorHAnsi" w:cstheme="majorHAnsi"/>
          <w:sz w:val="20"/>
          <w:szCs w:val="20"/>
          <w:lang w:val="ro-RO"/>
        </w:rPr>
        <w:t>.</w:t>
      </w:r>
    </w:p>
    <w:p w14:paraId="7748E4DD" w14:textId="513F348B" w:rsidR="00A331E6" w:rsidRDefault="00A331E6" w:rsidP="00453898">
      <w:pPr>
        <w:spacing w:after="80" w:line="264" w:lineRule="auto"/>
        <w:jc w:val="both"/>
        <w:rPr>
          <w:rFonts w:asciiTheme="majorHAnsi" w:hAnsiTheme="majorHAnsi" w:cstheme="majorHAnsi"/>
          <w:sz w:val="20"/>
          <w:szCs w:val="20"/>
          <w:lang w:val="ro-RO"/>
        </w:rPr>
      </w:pPr>
      <w:r>
        <w:rPr>
          <w:rFonts w:asciiTheme="majorHAnsi" w:hAnsiTheme="majorHAnsi" w:cstheme="majorHAnsi"/>
          <w:sz w:val="20"/>
          <w:szCs w:val="20"/>
          <w:lang w:val="ro-RO"/>
        </w:rPr>
        <w:t xml:space="preserve">O asemenea </w:t>
      </w:r>
      <w:r w:rsidR="001835EE">
        <w:rPr>
          <w:rFonts w:asciiTheme="majorHAnsi" w:hAnsiTheme="majorHAnsi" w:cstheme="majorHAnsi"/>
          <w:sz w:val="20"/>
          <w:szCs w:val="20"/>
          <w:lang w:val="ro-RO"/>
        </w:rPr>
        <w:t>situație</w:t>
      </w:r>
      <w:r w:rsidR="001835EE">
        <w:rPr>
          <w:rFonts w:asciiTheme="majorHAnsi" w:hAnsiTheme="majorHAnsi" w:cstheme="majorHAnsi"/>
          <w:sz w:val="20"/>
          <w:szCs w:val="20"/>
          <w:lang w:val="ro-RO"/>
        </w:rPr>
        <w:t xml:space="preserve"> </w:t>
      </w:r>
      <w:r>
        <w:rPr>
          <w:rFonts w:asciiTheme="majorHAnsi" w:hAnsiTheme="majorHAnsi" w:cstheme="majorHAnsi"/>
          <w:sz w:val="20"/>
          <w:szCs w:val="20"/>
          <w:lang w:val="ro-RO"/>
        </w:rPr>
        <w:t>nu ar trebui permisă</w:t>
      </w:r>
      <w:r w:rsidR="001835EE">
        <w:rPr>
          <w:rFonts w:asciiTheme="majorHAnsi" w:hAnsiTheme="majorHAnsi" w:cstheme="majorHAnsi"/>
          <w:sz w:val="20"/>
          <w:szCs w:val="20"/>
          <w:lang w:val="ro-RO"/>
        </w:rPr>
        <w:t>,</w:t>
      </w:r>
      <w:r>
        <w:rPr>
          <w:rFonts w:asciiTheme="majorHAnsi" w:hAnsiTheme="majorHAnsi" w:cstheme="majorHAnsi"/>
          <w:sz w:val="20"/>
          <w:szCs w:val="20"/>
          <w:lang w:val="ro-RO"/>
        </w:rPr>
        <w:t xml:space="preserve"> pentru că încalcă principiul securității juridice, precum și principiul </w:t>
      </w:r>
      <w:r>
        <w:rPr>
          <w:rFonts w:asciiTheme="majorHAnsi" w:hAnsiTheme="majorHAnsi" w:cstheme="majorHAnsi"/>
          <w:i/>
          <w:iCs/>
          <w:sz w:val="20"/>
          <w:szCs w:val="20"/>
          <w:lang w:val="ro-RO"/>
        </w:rPr>
        <w:t>non bis in idem</w:t>
      </w:r>
      <w:r w:rsidRPr="008E0B76">
        <w:rPr>
          <w:rFonts w:asciiTheme="majorHAnsi" w:hAnsiTheme="majorHAnsi" w:cstheme="majorHAnsi"/>
          <w:sz w:val="20"/>
          <w:szCs w:val="20"/>
          <w:lang w:val="ro-RO"/>
        </w:rPr>
        <w:t>,</w:t>
      </w:r>
      <w:r>
        <w:rPr>
          <w:rFonts w:asciiTheme="majorHAnsi" w:hAnsiTheme="majorHAnsi" w:cstheme="majorHAnsi"/>
          <w:sz w:val="20"/>
          <w:szCs w:val="20"/>
          <w:lang w:val="ro-RO"/>
        </w:rPr>
        <w:t xml:space="preserve"> care presupune că nimeni nu poate fi sancționat de două ori pentru aceeași faptă. Într-o interpretare mai amplă, principiul presupune și că cel care a fost exonerat pentru o faptă nu </w:t>
      </w:r>
      <w:r w:rsidR="001835EE">
        <w:rPr>
          <w:rFonts w:asciiTheme="majorHAnsi" w:hAnsiTheme="majorHAnsi" w:cstheme="majorHAnsi"/>
          <w:sz w:val="20"/>
          <w:szCs w:val="20"/>
          <w:lang w:val="ro-RO"/>
        </w:rPr>
        <w:t>poat</w:t>
      </w:r>
      <w:r w:rsidR="001835EE">
        <w:rPr>
          <w:rFonts w:asciiTheme="majorHAnsi" w:hAnsiTheme="majorHAnsi" w:cstheme="majorHAnsi"/>
          <w:sz w:val="20"/>
          <w:szCs w:val="20"/>
          <w:lang w:val="ro-RO"/>
        </w:rPr>
        <w:t>e</w:t>
      </w:r>
      <w:r w:rsidR="001835EE">
        <w:rPr>
          <w:rFonts w:asciiTheme="majorHAnsi" w:hAnsiTheme="majorHAnsi" w:cstheme="majorHAnsi"/>
          <w:sz w:val="20"/>
          <w:szCs w:val="20"/>
          <w:lang w:val="ro-RO"/>
        </w:rPr>
        <w:t xml:space="preserve"> </w:t>
      </w:r>
      <w:r>
        <w:rPr>
          <w:rFonts w:asciiTheme="majorHAnsi" w:hAnsiTheme="majorHAnsi" w:cstheme="majorHAnsi"/>
          <w:sz w:val="20"/>
          <w:szCs w:val="20"/>
          <w:lang w:val="ro-RO"/>
        </w:rPr>
        <w:t xml:space="preserve">fi sancționat de o altă autoritate pentru aceeași faptă. </w:t>
      </w:r>
    </w:p>
    <w:p w14:paraId="4280F290" w14:textId="77542224" w:rsidR="00A331E6" w:rsidRDefault="00A331E6" w:rsidP="00453898">
      <w:pPr>
        <w:spacing w:after="80" w:line="264" w:lineRule="auto"/>
        <w:jc w:val="both"/>
        <w:rPr>
          <w:rFonts w:asciiTheme="majorHAnsi" w:hAnsiTheme="majorHAnsi" w:cstheme="majorHAnsi"/>
          <w:sz w:val="20"/>
          <w:szCs w:val="20"/>
          <w:lang w:val="ro-RO"/>
        </w:rPr>
      </w:pPr>
      <w:r>
        <w:rPr>
          <w:rFonts w:asciiTheme="majorHAnsi" w:hAnsiTheme="majorHAnsi" w:cstheme="majorHAnsi"/>
          <w:sz w:val="20"/>
          <w:szCs w:val="20"/>
          <w:lang w:val="ro-RO"/>
        </w:rPr>
        <w:t xml:space="preserve">Există, așadar, argumente juridice care să susțină incompatibilitatea mai multor tipuri de controale la același contribuabil, pentru aceeași perioadă și pentru același tip de obligație. Cu toate acestea, până la o modificare legislativă în acest sens sau până la cristalizarea unei practici care să confirme că o inspecție </w:t>
      </w:r>
      <w:proofErr w:type="spellStart"/>
      <w:r>
        <w:rPr>
          <w:rFonts w:asciiTheme="majorHAnsi" w:hAnsiTheme="majorHAnsi" w:cstheme="majorHAnsi"/>
          <w:sz w:val="20"/>
          <w:szCs w:val="20"/>
          <w:lang w:val="ro-RO"/>
        </w:rPr>
        <w:t>economico</w:t>
      </w:r>
      <w:proofErr w:type="spellEnd"/>
      <w:r>
        <w:rPr>
          <w:rFonts w:asciiTheme="majorHAnsi" w:hAnsiTheme="majorHAnsi" w:cstheme="majorHAnsi"/>
          <w:sz w:val="20"/>
          <w:szCs w:val="20"/>
          <w:lang w:val="ro-RO"/>
        </w:rPr>
        <w:t>-financiară nu poate fi dublată de o inspecție fiscală, respectiv de un control al autorității de supraveghere și reglementare, există riscul unor dublări de atribuții.</w:t>
      </w:r>
    </w:p>
    <w:p w14:paraId="71AEB683" w14:textId="77777777" w:rsidR="001835EE" w:rsidRDefault="001835EE" w:rsidP="00453898">
      <w:pPr>
        <w:spacing w:after="80" w:line="264" w:lineRule="auto"/>
        <w:jc w:val="both"/>
        <w:rPr>
          <w:rFonts w:asciiTheme="majorHAnsi" w:hAnsiTheme="majorHAnsi" w:cstheme="majorHAnsi"/>
          <w:sz w:val="20"/>
          <w:szCs w:val="20"/>
          <w:lang w:val="ro-RO"/>
        </w:rPr>
      </w:pPr>
    </w:p>
    <w:p w14:paraId="00B66E3F" w14:textId="590122B3" w:rsidR="00A84475" w:rsidRPr="00A84475" w:rsidRDefault="00A84475" w:rsidP="00453898">
      <w:pPr>
        <w:spacing w:after="80" w:line="264" w:lineRule="auto"/>
        <w:jc w:val="both"/>
        <w:rPr>
          <w:rFonts w:asciiTheme="majorHAnsi" w:hAnsiTheme="majorHAnsi" w:cstheme="majorHAnsi"/>
          <w:b/>
          <w:sz w:val="20"/>
          <w:szCs w:val="20"/>
          <w:lang w:val="ro-RO"/>
        </w:rPr>
      </w:pPr>
      <w:r w:rsidRPr="00FC4355">
        <w:rPr>
          <w:rFonts w:asciiTheme="majorHAnsi" w:hAnsiTheme="majorHAnsi" w:cstheme="majorHAnsi"/>
          <w:b/>
          <w:sz w:val="20"/>
          <w:szCs w:val="20"/>
          <w:lang w:val="ro-RO"/>
        </w:rPr>
        <w:t>Per</w:t>
      </w:r>
      <w:r>
        <w:rPr>
          <w:rFonts w:asciiTheme="majorHAnsi" w:hAnsiTheme="majorHAnsi" w:cstheme="majorHAnsi"/>
          <w:b/>
          <w:sz w:val="20"/>
          <w:szCs w:val="20"/>
          <w:lang w:val="ro-RO"/>
        </w:rPr>
        <w:t>spective privind modul de aplicare a</w:t>
      </w:r>
      <w:r w:rsidRPr="00FC4355">
        <w:rPr>
          <w:rFonts w:asciiTheme="majorHAnsi" w:hAnsiTheme="majorHAnsi" w:cstheme="majorHAnsi"/>
          <w:b/>
          <w:sz w:val="20"/>
          <w:szCs w:val="20"/>
          <w:lang w:val="ro-RO"/>
        </w:rPr>
        <w:t xml:space="preserve"> noii reglementări</w:t>
      </w:r>
    </w:p>
    <w:p w14:paraId="67E656F3" w14:textId="35FCE11D" w:rsidR="00A331E6" w:rsidRDefault="00A331E6" w:rsidP="00453898">
      <w:pPr>
        <w:spacing w:after="80" w:line="264" w:lineRule="auto"/>
        <w:jc w:val="both"/>
        <w:rPr>
          <w:rFonts w:asciiTheme="majorHAnsi" w:hAnsiTheme="majorHAnsi" w:cstheme="majorHAnsi"/>
          <w:sz w:val="20"/>
          <w:szCs w:val="20"/>
          <w:lang w:val="ro-RO"/>
        </w:rPr>
      </w:pPr>
      <w:r>
        <w:rPr>
          <w:rFonts w:asciiTheme="majorHAnsi" w:hAnsiTheme="majorHAnsi" w:cstheme="majorHAnsi"/>
          <w:sz w:val="20"/>
          <w:szCs w:val="20"/>
          <w:lang w:val="ro-RO"/>
        </w:rPr>
        <w:t xml:space="preserve">O altă problemă practică decurge din specificul celor trei domenii vizate de Legea nr. 222/2021. Taxa </w:t>
      </w:r>
      <w:proofErr w:type="spellStart"/>
      <w:r w:rsidRPr="00B34A9A">
        <w:rPr>
          <w:rFonts w:asciiTheme="majorHAnsi" w:hAnsiTheme="majorHAnsi" w:cstheme="majorHAnsi"/>
          <w:i/>
          <w:sz w:val="20"/>
          <w:szCs w:val="20"/>
          <w:lang w:val="ro-RO"/>
        </w:rPr>
        <w:t>clawback</w:t>
      </w:r>
      <w:proofErr w:type="spellEnd"/>
      <w:r>
        <w:rPr>
          <w:rFonts w:asciiTheme="majorHAnsi" w:hAnsiTheme="majorHAnsi" w:cstheme="majorHAnsi"/>
          <w:sz w:val="20"/>
          <w:szCs w:val="20"/>
          <w:lang w:val="ro-RO"/>
        </w:rPr>
        <w:t xml:space="preserve"> este stabilită în baza unor calcule și formule riguros reglementate, un rol important avându-l Casa Națională de Asigurări de Sănătate (</w:t>
      </w:r>
      <w:r w:rsidRPr="00B34A9A">
        <w:rPr>
          <w:rFonts w:asciiTheme="majorHAnsi" w:hAnsiTheme="majorHAnsi" w:cstheme="majorHAnsi"/>
          <w:bCs/>
          <w:iCs/>
          <w:sz w:val="20"/>
          <w:szCs w:val="20"/>
          <w:lang w:val="ro-RO"/>
        </w:rPr>
        <w:t>CNAS</w:t>
      </w:r>
      <w:r w:rsidRPr="00CA4955">
        <w:rPr>
          <w:rFonts w:asciiTheme="majorHAnsi" w:hAnsiTheme="majorHAnsi" w:cstheme="majorHAnsi"/>
          <w:sz w:val="20"/>
          <w:szCs w:val="20"/>
          <w:lang w:val="ro-RO"/>
        </w:rPr>
        <w:t>)</w:t>
      </w:r>
      <w:r>
        <w:rPr>
          <w:rFonts w:asciiTheme="majorHAnsi" w:hAnsiTheme="majorHAnsi" w:cstheme="majorHAnsi"/>
          <w:i/>
          <w:iCs/>
          <w:sz w:val="20"/>
          <w:szCs w:val="20"/>
          <w:lang w:val="ro-RO"/>
        </w:rPr>
        <w:t xml:space="preserve">, </w:t>
      </w:r>
      <w:r w:rsidRPr="00B75A5B">
        <w:rPr>
          <w:rFonts w:asciiTheme="majorHAnsi" w:hAnsiTheme="majorHAnsi" w:cstheme="majorHAnsi"/>
          <w:sz w:val="20"/>
          <w:szCs w:val="20"/>
          <w:lang w:val="ro-RO"/>
        </w:rPr>
        <w:t>în</w:t>
      </w:r>
      <w:r>
        <w:rPr>
          <w:rFonts w:asciiTheme="majorHAnsi" w:hAnsiTheme="majorHAnsi" w:cstheme="majorHAnsi"/>
          <w:sz w:val="20"/>
          <w:szCs w:val="20"/>
          <w:lang w:val="ro-RO"/>
        </w:rPr>
        <w:t xml:space="preserve"> timp ce taxele privind activitatea minieră, respectiv redevențele miniere și petroliere</w:t>
      </w:r>
      <w:r w:rsidR="001835EE">
        <w:rPr>
          <w:rFonts w:asciiTheme="majorHAnsi" w:hAnsiTheme="majorHAnsi" w:cstheme="majorHAnsi"/>
          <w:sz w:val="20"/>
          <w:szCs w:val="20"/>
          <w:lang w:val="ro-RO"/>
        </w:rPr>
        <w:t>,</w:t>
      </w:r>
      <w:r>
        <w:rPr>
          <w:rFonts w:asciiTheme="majorHAnsi" w:hAnsiTheme="majorHAnsi" w:cstheme="majorHAnsi"/>
          <w:sz w:val="20"/>
          <w:szCs w:val="20"/>
          <w:lang w:val="ro-RO"/>
        </w:rPr>
        <w:t xml:space="preserve"> sunt stabilite în conformitate cu o serie de parametri prevăzuți expres în lege și au la bază acordurile de concesiune petrolieră sau licenț</w:t>
      </w:r>
      <w:r w:rsidR="001835EE">
        <w:rPr>
          <w:rFonts w:asciiTheme="majorHAnsi" w:hAnsiTheme="majorHAnsi" w:cstheme="majorHAnsi"/>
          <w:sz w:val="20"/>
          <w:szCs w:val="20"/>
          <w:lang w:val="ro-RO"/>
        </w:rPr>
        <w:t>a</w:t>
      </w:r>
      <w:r>
        <w:rPr>
          <w:rFonts w:asciiTheme="majorHAnsi" w:hAnsiTheme="majorHAnsi" w:cstheme="majorHAnsi"/>
          <w:sz w:val="20"/>
          <w:szCs w:val="20"/>
          <w:lang w:val="ro-RO"/>
        </w:rPr>
        <w:t xml:space="preserve"> de explorare/exploatare minieră încheiate de titular cu ANRM. Prin urmare, s-ar putea pune problema utilității acestor inspecții </w:t>
      </w:r>
      <w:proofErr w:type="spellStart"/>
      <w:r>
        <w:rPr>
          <w:rFonts w:asciiTheme="majorHAnsi" w:hAnsiTheme="majorHAnsi" w:cstheme="majorHAnsi"/>
          <w:sz w:val="20"/>
          <w:szCs w:val="20"/>
          <w:lang w:val="ro-RO"/>
        </w:rPr>
        <w:t>economico</w:t>
      </w:r>
      <w:proofErr w:type="spellEnd"/>
      <w:r>
        <w:rPr>
          <w:rFonts w:asciiTheme="majorHAnsi" w:hAnsiTheme="majorHAnsi" w:cstheme="majorHAnsi"/>
          <w:sz w:val="20"/>
          <w:szCs w:val="20"/>
          <w:lang w:val="ro-RO"/>
        </w:rPr>
        <w:t xml:space="preserve">-financiare în cele trei domenii riguros reglementate și controlate direct de autorități de reglementare și supraveghere. </w:t>
      </w:r>
    </w:p>
    <w:p w14:paraId="0AA2A3EA" w14:textId="6474DFD9" w:rsidR="00A331E6" w:rsidRDefault="00A331E6" w:rsidP="00453898">
      <w:pPr>
        <w:spacing w:after="80" w:line="264" w:lineRule="auto"/>
        <w:jc w:val="both"/>
        <w:rPr>
          <w:rFonts w:asciiTheme="majorHAnsi" w:hAnsiTheme="majorHAnsi" w:cstheme="majorHAnsi"/>
          <w:sz w:val="20"/>
          <w:szCs w:val="20"/>
          <w:lang w:val="ro-RO"/>
        </w:rPr>
      </w:pPr>
      <w:r>
        <w:rPr>
          <w:rFonts w:asciiTheme="majorHAnsi" w:hAnsiTheme="majorHAnsi" w:cstheme="majorHAnsi"/>
          <w:sz w:val="20"/>
          <w:szCs w:val="20"/>
          <w:lang w:val="ro-RO"/>
        </w:rPr>
        <w:t xml:space="preserve">Pe de altă parte, în cea mai recentă statistică publicată pe </w:t>
      </w:r>
      <w:r w:rsidR="001835EE">
        <w:rPr>
          <w:rFonts w:asciiTheme="majorHAnsi" w:hAnsiTheme="majorHAnsi" w:cstheme="majorHAnsi"/>
          <w:sz w:val="20"/>
          <w:szCs w:val="20"/>
          <w:lang w:val="ro-RO"/>
        </w:rPr>
        <w:t xml:space="preserve">site-ul </w:t>
      </w:r>
      <w:r>
        <w:rPr>
          <w:rFonts w:asciiTheme="majorHAnsi" w:hAnsiTheme="majorHAnsi" w:cstheme="majorHAnsi"/>
          <w:sz w:val="20"/>
          <w:szCs w:val="20"/>
          <w:lang w:val="ro-RO"/>
        </w:rPr>
        <w:t>ANRM</w:t>
      </w:r>
      <w:r w:rsidR="001835EE">
        <w:rPr>
          <w:rFonts w:asciiTheme="majorHAnsi" w:hAnsiTheme="majorHAnsi" w:cstheme="majorHAnsi"/>
          <w:sz w:val="20"/>
          <w:szCs w:val="20"/>
          <w:lang w:val="ro-RO"/>
        </w:rPr>
        <w:t>,</w:t>
      </w:r>
      <w:r>
        <w:rPr>
          <w:rFonts w:asciiTheme="majorHAnsi" w:hAnsiTheme="majorHAnsi" w:cstheme="majorHAnsi"/>
          <w:sz w:val="20"/>
          <w:szCs w:val="20"/>
          <w:lang w:val="ro-RO"/>
        </w:rPr>
        <w:t xml:space="preserve"> pe</w:t>
      </w:r>
      <w:r w:rsidR="001835EE">
        <w:rPr>
          <w:rFonts w:asciiTheme="majorHAnsi" w:hAnsiTheme="majorHAnsi" w:cstheme="majorHAnsi"/>
          <w:sz w:val="20"/>
          <w:szCs w:val="20"/>
          <w:lang w:val="ro-RO"/>
        </w:rPr>
        <w:t>ntru</w:t>
      </w:r>
      <w:r>
        <w:rPr>
          <w:rFonts w:asciiTheme="majorHAnsi" w:hAnsiTheme="majorHAnsi" w:cstheme="majorHAnsi"/>
          <w:sz w:val="20"/>
          <w:szCs w:val="20"/>
          <w:lang w:val="ro-RO"/>
        </w:rPr>
        <w:t xml:space="preserve"> semestrul I din 2020</w:t>
      </w:r>
      <w:r w:rsidR="001835EE">
        <w:rPr>
          <w:rFonts w:asciiTheme="majorHAnsi" w:hAnsiTheme="majorHAnsi" w:cstheme="majorHAnsi"/>
          <w:sz w:val="20"/>
          <w:szCs w:val="20"/>
          <w:lang w:val="ro-RO"/>
        </w:rPr>
        <w:t>,</w:t>
      </w:r>
      <w:r>
        <w:rPr>
          <w:rFonts w:asciiTheme="majorHAnsi" w:hAnsiTheme="majorHAnsi" w:cstheme="majorHAnsi"/>
          <w:sz w:val="20"/>
          <w:szCs w:val="20"/>
          <w:lang w:val="ro-RO"/>
        </w:rPr>
        <w:t xml:space="preserve"> se precizează expres că instituția are o problemă generată de</w:t>
      </w:r>
      <w:r w:rsidR="00432EB8">
        <w:rPr>
          <w:rFonts w:asciiTheme="majorHAnsi" w:hAnsiTheme="majorHAnsi" w:cstheme="majorHAnsi"/>
          <w:sz w:val="20"/>
          <w:szCs w:val="20"/>
          <w:lang w:val="ro-RO"/>
        </w:rPr>
        <w:t xml:space="preserve"> </w:t>
      </w:r>
      <w:r>
        <w:rPr>
          <w:rFonts w:asciiTheme="majorHAnsi" w:hAnsiTheme="majorHAnsi" w:cstheme="majorHAnsi"/>
          <w:sz w:val="20"/>
          <w:szCs w:val="20"/>
          <w:lang w:val="ro-RO"/>
        </w:rPr>
        <w:t>„</w:t>
      </w:r>
      <w:r w:rsidRPr="00B34A9A">
        <w:rPr>
          <w:rFonts w:asciiTheme="majorHAnsi" w:hAnsiTheme="majorHAnsi" w:cstheme="majorHAnsi"/>
          <w:iCs/>
          <w:sz w:val="20"/>
          <w:szCs w:val="20"/>
          <w:lang w:val="ro-RO"/>
        </w:rPr>
        <w:t>subdimensionarea numărului de angajați</w:t>
      </w:r>
      <w:r>
        <w:rPr>
          <w:rFonts w:asciiTheme="majorHAnsi" w:hAnsiTheme="majorHAnsi" w:cstheme="majorHAnsi"/>
          <w:sz w:val="20"/>
          <w:szCs w:val="20"/>
          <w:lang w:val="ro-RO"/>
        </w:rPr>
        <w:t xml:space="preserve">”, motiv pentru care a colectat mai puțin cu 21,13 milioane de lei dintr-un total de 414,83 milioane de lei datorați pentru redevențele petroliere și miniere, respectiv taxe miniere. Probabil acesta este și motivul pentru care Legea 222/2021 prevede că, în cazul redevențelor miniere și petroliere, inspecția </w:t>
      </w:r>
      <w:proofErr w:type="spellStart"/>
      <w:r>
        <w:rPr>
          <w:rFonts w:asciiTheme="majorHAnsi" w:hAnsiTheme="majorHAnsi" w:cstheme="majorHAnsi"/>
          <w:sz w:val="20"/>
          <w:szCs w:val="20"/>
          <w:lang w:val="ro-RO"/>
        </w:rPr>
        <w:t>economico</w:t>
      </w:r>
      <w:proofErr w:type="spellEnd"/>
      <w:r>
        <w:rPr>
          <w:rFonts w:asciiTheme="majorHAnsi" w:hAnsiTheme="majorHAnsi" w:cstheme="majorHAnsi"/>
          <w:sz w:val="20"/>
          <w:szCs w:val="20"/>
          <w:lang w:val="ro-RO"/>
        </w:rPr>
        <w:t>-financiară va verifica „</w:t>
      </w:r>
      <w:r w:rsidRPr="00B34A9A">
        <w:rPr>
          <w:rFonts w:asciiTheme="majorHAnsi" w:hAnsiTheme="majorHAnsi" w:cstheme="majorHAnsi"/>
          <w:iCs/>
          <w:sz w:val="20"/>
          <w:szCs w:val="20"/>
          <w:lang w:val="ro-RO"/>
        </w:rPr>
        <w:t xml:space="preserve">exactitatea datelor </w:t>
      </w:r>
      <w:r>
        <w:rPr>
          <w:rFonts w:asciiTheme="majorHAnsi" w:hAnsiTheme="majorHAnsi" w:cstheme="majorHAnsi"/>
          <w:iCs/>
          <w:sz w:val="20"/>
          <w:szCs w:val="20"/>
          <w:lang w:val="ro-RO"/>
        </w:rPr>
        <w:t>ș</w:t>
      </w:r>
      <w:r w:rsidRPr="00B34A9A">
        <w:rPr>
          <w:rFonts w:asciiTheme="majorHAnsi" w:hAnsiTheme="majorHAnsi" w:cstheme="majorHAnsi"/>
          <w:iCs/>
          <w:sz w:val="20"/>
          <w:szCs w:val="20"/>
          <w:lang w:val="ro-RO"/>
        </w:rPr>
        <w:t>i a informa</w:t>
      </w:r>
      <w:r>
        <w:rPr>
          <w:rFonts w:asciiTheme="majorHAnsi" w:hAnsiTheme="majorHAnsi" w:cstheme="majorHAnsi"/>
          <w:iCs/>
          <w:sz w:val="20"/>
          <w:szCs w:val="20"/>
          <w:lang w:val="ro-RO"/>
        </w:rPr>
        <w:t>ț</w:t>
      </w:r>
      <w:r w:rsidRPr="00B34A9A">
        <w:rPr>
          <w:rFonts w:asciiTheme="majorHAnsi" w:hAnsiTheme="majorHAnsi" w:cstheme="majorHAnsi"/>
          <w:iCs/>
          <w:sz w:val="20"/>
          <w:szCs w:val="20"/>
          <w:lang w:val="ro-RO"/>
        </w:rPr>
        <w:t>iilor pe baza cărora se calculează</w:t>
      </w:r>
      <w:r>
        <w:rPr>
          <w:rFonts w:asciiTheme="majorHAnsi" w:hAnsiTheme="majorHAnsi" w:cstheme="majorHAnsi"/>
          <w:sz w:val="20"/>
          <w:szCs w:val="20"/>
          <w:lang w:val="ro-RO"/>
        </w:rPr>
        <w:t xml:space="preserve">” aceste redevențe, spre deosebire de taxa </w:t>
      </w:r>
      <w:proofErr w:type="spellStart"/>
      <w:r w:rsidRPr="00B34A9A">
        <w:rPr>
          <w:rFonts w:asciiTheme="majorHAnsi" w:hAnsiTheme="majorHAnsi" w:cstheme="majorHAnsi"/>
          <w:i/>
          <w:sz w:val="20"/>
          <w:szCs w:val="20"/>
          <w:lang w:val="ro-RO"/>
        </w:rPr>
        <w:t>clawback</w:t>
      </w:r>
      <w:proofErr w:type="spellEnd"/>
      <w:r>
        <w:rPr>
          <w:rFonts w:asciiTheme="majorHAnsi" w:hAnsiTheme="majorHAnsi" w:cstheme="majorHAnsi"/>
          <w:iCs/>
          <w:sz w:val="20"/>
          <w:szCs w:val="20"/>
          <w:lang w:val="ro-RO"/>
        </w:rPr>
        <w:t>,</w:t>
      </w:r>
      <w:r>
        <w:rPr>
          <w:rFonts w:asciiTheme="majorHAnsi" w:hAnsiTheme="majorHAnsi" w:cstheme="majorHAnsi"/>
          <w:sz w:val="20"/>
          <w:szCs w:val="20"/>
          <w:lang w:val="ro-RO"/>
        </w:rPr>
        <w:t xml:space="preserve"> unde se poate verifica doar modul de declarare și achitare a acestei taxe.</w:t>
      </w:r>
    </w:p>
    <w:p w14:paraId="1C76F03F" w14:textId="77777777" w:rsidR="00A331E6" w:rsidRPr="002D3232" w:rsidRDefault="00A331E6" w:rsidP="00453898">
      <w:pPr>
        <w:spacing w:after="80" w:line="264" w:lineRule="auto"/>
        <w:jc w:val="both"/>
        <w:rPr>
          <w:rFonts w:asciiTheme="majorHAnsi" w:hAnsiTheme="majorHAnsi" w:cstheme="majorHAnsi"/>
          <w:sz w:val="20"/>
          <w:szCs w:val="20"/>
        </w:rPr>
      </w:pPr>
      <w:r>
        <w:rPr>
          <w:rFonts w:asciiTheme="majorHAnsi" w:hAnsiTheme="majorHAnsi" w:cstheme="majorHAnsi"/>
          <w:sz w:val="20"/>
          <w:szCs w:val="20"/>
          <w:lang w:val="ro-RO"/>
        </w:rPr>
        <w:t xml:space="preserve">Prin urmare, cel mai probabil CNAS și ANRM vor rămâne cu un rol preponderent de reglementare și supraveghere, iar </w:t>
      </w:r>
      <w:r w:rsidRPr="00B54B4B">
        <w:rPr>
          <w:rFonts w:asciiTheme="majorHAnsi" w:hAnsiTheme="majorHAnsi" w:cstheme="majorHAnsi"/>
          <w:sz w:val="20"/>
          <w:szCs w:val="20"/>
          <w:lang w:val="ro-RO"/>
        </w:rPr>
        <w:t xml:space="preserve">structurile specializate de inspecție </w:t>
      </w:r>
      <w:proofErr w:type="spellStart"/>
      <w:r w:rsidRPr="00B54B4B">
        <w:rPr>
          <w:rFonts w:asciiTheme="majorHAnsi" w:hAnsiTheme="majorHAnsi" w:cstheme="majorHAnsi"/>
          <w:sz w:val="20"/>
          <w:szCs w:val="20"/>
          <w:lang w:val="ro-RO"/>
        </w:rPr>
        <w:t>economico</w:t>
      </w:r>
      <w:proofErr w:type="spellEnd"/>
      <w:r w:rsidRPr="00B54B4B">
        <w:rPr>
          <w:rFonts w:asciiTheme="majorHAnsi" w:hAnsiTheme="majorHAnsi" w:cstheme="majorHAnsi"/>
          <w:sz w:val="20"/>
          <w:szCs w:val="20"/>
          <w:lang w:val="ro-RO"/>
        </w:rPr>
        <w:t xml:space="preserve">-financiară din </w:t>
      </w:r>
      <w:r>
        <w:rPr>
          <w:rFonts w:asciiTheme="majorHAnsi" w:hAnsiTheme="majorHAnsi" w:cstheme="majorHAnsi"/>
          <w:sz w:val="20"/>
          <w:szCs w:val="20"/>
          <w:lang w:val="ro-RO"/>
        </w:rPr>
        <w:t xml:space="preserve">ANAF și MFP vor avea doar un rol de recuperator de creanțe, folosind datele și informațiile puse la dispoziția lor de CNAS și de ANRM.  </w:t>
      </w:r>
    </w:p>
    <w:p w14:paraId="19EB691F" w14:textId="359B63AA" w:rsidR="007D6273" w:rsidRPr="00A331E6" w:rsidRDefault="00A331E6" w:rsidP="00453898">
      <w:pPr>
        <w:spacing w:after="80" w:line="264" w:lineRule="auto"/>
        <w:jc w:val="both"/>
        <w:rPr>
          <w:rFonts w:asciiTheme="majorHAnsi" w:hAnsiTheme="majorHAnsi" w:cstheme="majorHAnsi"/>
          <w:sz w:val="20"/>
          <w:szCs w:val="20"/>
          <w:lang w:val="ro-RO"/>
        </w:rPr>
      </w:pPr>
      <w:r w:rsidRPr="001618F6">
        <w:rPr>
          <w:rFonts w:asciiTheme="majorHAnsi" w:hAnsiTheme="majorHAnsi" w:cstheme="majorHAnsi"/>
          <w:sz w:val="20"/>
          <w:szCs w:val="20"/>
          <w:lang w:val="ro-RO"/>
        </w:rPr>
        <w:t xml:space="preserve">Pentru moment, intensificarea inspecțiilor </w:t>
      </w:r>
      <w:proofErr w:type="spellStart"/>
      <w:r w:rsidRPr="001618F6">
        <w:rPr>
          <w:rFonts w:asciiTheme="majorHAnsi" w:hAnsiTheme="majorHAnsi" w:cstheme="majorHAnsi"/>
          <w:sz w:val="20"/>
          <w:szCs w:val="20"/>
          <w:lang w:val="ro-RO"/>
        </w:rPr>
        <w:t>economico</w:t>
      </w:r>
      <w:proofErr w:type="spellEnd"/>
      <w:r w:rsidRPr="001618F6">
        <w:rPr>
          <w:rFonts w:asciiTheme="majorHAnsi" w:hAnsiTheme="majorHAnsi" w:cstheme="majorHAnsi"/>
          <w:sz w:val="20"/>
          <w:szCs w:val="20"/>
          <w:lang w:val="ro-RO"/>
        </w:rPr>
        <w:t>-financiare este doar o chestiune de timp și de organizare, fiind însă de așteptat</w:t>
      </w:r>
      <w:r w:rsidR="00461CA3">
        <w:rPr>
          <w:rFonts w:asciiTheme="majorHAnsi" w:hAnsiTheme="majorHAnsi" w:cstheme="majorHAnsi"/>
          <w:sz w:val="20"/>
          <w:szCs w:val="20"/>
          <w:lang w:val="ro-RO"/>
        </w:rPr>
        <w:t xml:space="preserve"> c</w:t>
      </w:r>
      <w:r w:rsidRPr="001618F6">
        <w:rPr>
          <w:rFonts w:asciiTheme="majorHAnsi" w:hAnsiTheme="majorHAnsi" w:cstheme="majorHAnsi"/>
          <w:sz w:val="20"/>
          <w:szCs w:val="20"/>
          <w:lang w:val="ro-RO"/>
        </w:rPr>
        <w:t>a perioada imediat următoare să aducă o creștere semnificativă a acestei activități de control.</w:t>
      </w:r>
      <w:r w:rsidRPr="00B54B4B">
        <w:rPr>
          <w:rFonts w:asciiTheme="majorHAnsi" w:hAnsiTheme="majorHAnsi" w:cstheme="majorHAnsi"/>
          <w:sz w:val="20"/>
          <w:szCs w:val="20"/>
          <w:lang w:val="ro-RO"/>
        </w:rPr>
        <w:t xml:space="preserve"> </w:t>
      </w:r>
      <w:r>
        <w:rPr>
          <w:rFonts w:asciiTheme="majorHAnsi" w:hAnsiTheme="majorHAnsi" w:cstheme="majorHAnsi"/>
          <w:sz w:val="20"/>
          <w:szCs w:val="20"/>
          <w:lang w:val="ro-RO"/>
        </w:rPr>
        <w:t xml:space="preserve">Rămâne de văzut dacă va exista o suprapunere de competențe între aceste structuri specializate și structurile de inspecție fiscală obișnuite din ANAF sau structurile de control din cadrul ANRM. Totodată, este de urmărit în ce măsură aceste inspecții </w:t>
      </w:r>
      <w:proofErr w:type="spellStart"/>
      <w:r>
        <w:rPr>
          <w:rFonts w:asciiTheme="majorHAnsi" w:hAnsiTheme="majorHAnsi" w:cstheme="majorHAnsi"/>
          <w:sz w:val="20"/>
          <w:szCs w:val="20"/>
          <w:lang w:val="ro-RO"/>
        </w:rPr>
        <w:t>economico</w:t>
      </w:r>
      <w:proofErr w:type="spellEnd"/>
      <w:r>
        <w:rPr>
          <w:rFonts w:asciiTheme="majorHAnsi" w:hAnsiTheme="majorHAnsi" w:cstheme="majorHAnsi"/>
          <w:sz w:val="20"/>
          <w:szCs w:val="20"/>
          <w:lang w:val="ro-RO"/>
        </w:rPr>
        <w:t xml:space="preserve">-financiare vor fi veritabile controale de fond sau dacă vor fi doar verificări sumare cu privire la declararea creanțelor și plata la scadență a taxelor </w:t>
      </w:r>
      <w:proofErr w:type="spellStart"/>
      <w:r w:rsidRPr="00B34A9A">
        <w:rPr>
          <w:rFonts w:asciiTheme="majorHAnsi" w:hAnsiTheme="majorHAnsi" w:cstheme="majorHAnsi"/>
          <w:i/>
          <w:sz w:val="20"/>
          <w:szCs w:val="20"/>
          <w:lang w:val="ro-RO"/>
        </w:rPr>
        <w:t>clawback</w:t>
      </w:r>
      <w:proofErr w:type="spellEnd"/>
      <w:r>
        <w:rPr>
          <w:rFonts w:asciiTheme="majorHAnsi" w:hAnsiTheme="majorHAnsi" w:cstheme="majorHAnsi"/>
          <w:sz w:val="20"/>
          <w:szCs w:val="20"/>
          <w:lang w:val="ro-RO"/>
        </w:rPr>
        <w:t>, respectiv a taxelor miniere și</w:t>
      </w:r>
      <w:r w:rsidR="00461CA3">
        <w:rPr>
          <w:rFonts w:asciiTheme="majorHAnsi" w:hAnsiTheme="majorHAnsi" w:cstheme="majorHAnsi"/>
          <w:sz w:val="20"/>
          <w:szCs w:val="20"/>
          <w:lang w:val="ro-RO"/>
        </w:rPr>
        <w:t xml:space="preserve"> a</w:t>
      </w:r>
      <w:r>
        <w:rPr>
          <w:rFonts w:asciiTheme="majorHAnsi" w:hAnsiTheme="majorHAnsi" w:cstheme="majorHAnsi"/>
          <w:sz w:val="20"/>
          <w:szCs w:val="20"/>
          <w:lang w:val="ro-RO"/>
        </w:rPr>
        <w:t xml:space="preserve"> redevențelor petroliere și miniere.</w:t>
      </w:r>
    </w:p>
    <w:sectPr w:rsidR="007D6273" w:rsidRPr="00A331E6" w:rsidSect="006D2D98">
      <w:headerReference w:type="default" r:id="rId6"/>
      <w:headerReference w:type="first" r:id="rId7"/>
      <w:footerReference w:type="first" r:id="rId8"/>
      <w:pgSz w:w="11901" w:h="16840" w:code="9"/>
      <w:pgMar w:top="1350" w:right="1134" w:bottom="720" w:left="1418" w:header="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40AD2" w14:textId="77777777" w:rsidR="008927B1" w:rsidRDefault="008927B1" w:rsidP="00A331E6">
      <w:pPr>
        <w:spacing w:after="0" w:line="240" w:lineRule="auto"/>
      </w:pPr>
      <w:r>
        <w:separator/>
      </w:r>
    </w:p>
  </w:endnote>
  <w:endnote w:type="continuationSeparator" w:id="0">
    <w:p w14:paraId="0429E3EE" w14:textId="77777777" w:rsidR="008927B1" w:rsidRDefault="008927B1" w:rsidP="00A3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4D"/>
    <w:family w:val="auto"/>
    <w:notTrueType/>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NextPro-Light">
    <w:altName w:val="Leelawadee UI Semi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26BF9" w14:textId="77777777" w:rsidR="001615F5" w:rsidRPr="001615F5" w:rsidRDefault="008927B1" w:rsidP="005D4A30">
    <w:pPr>
      <w:pStyle w:val="Footer"/>
      <w:ind w:right="-7"/>
      <w:rPr>
        <w:rFonts w:ascii="Verdana" w:hAnsi="Verdana"/>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31B58" w14:textId="77777777" w:rsidR="008927B1" w:rsidRDefault="008927B1" w:rsidP="00A331E6">
      <w:pPr>
        <w:spacing w:after="0" w:line="240" w:lineRule="auto"/>
      </w:pPr>
      <w:r>
        <w:separator/>
      </w:r>
    </w:p>
  </w:footnote>
  <w:footnote w:type="continuationSeparator" w:id="0">
    <w:p w14:paraId="264D3749" w14:textId="77777777" w:rsidR="008927B1" w:rsidRDefault="008927B1" w:rsidP="00A33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6C48" w14:textId="77777777" w:rsidR="003A0D61" w:rsidRDefault="00A331E6" w:rsidP="005443B3">
    <w:pPr>
      <w:pStyle w:val="Legalentity"/>
      <w:spacing w:after="140" w:line="240" w:lineRule="auto"/>
      <w:rPr>
        <w:sz w:val="18"/>
      </w:rPr>
    </w:pPr>
    <w:r>
      <w:rPr>
        <w:noProof/>
        <w:lang w:val="ro-RO" w:eastAsia="ro-RO"/>
      </w:rPr>
      <w:drawing>
        <wp:anchor distT="0" distB="0" distL="114300" distR="114300" simplePos="0" relativeHeight="251659264" behindDoc="0" locked="0" layoutInCell="1" allowOverlap="1" wp14:anchorId="73C7AC38" wp14:editId="4E26C7AB">
          <wp:simplePos x="0" y="0"/>
          <wp:positionH relativeFrom="column">
            <wp:posOffset>0</wp:posOffset>
          </wp:positionH>
          <wp:positionV relativeFrom="paragraph">
            <wp:posOffset>368300</wp:posOffset>
          </wp:positionV>
          <wp:extent cx="1630680" cy="304800"/>
          <wp:effectExtent l="0" t="0" r="7620" b="0"/>
          <wp:wrapNone/>
          <wp:docPr id="14" name="Picture 14" descr="DEL_PRI_GREY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_PRI_GREY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DF04C" w14:textId="77777777" w:rsidR="006A0423" w:rsidRDefault="00A331E6" w:rsidP="003023E6">
    <w:pPr>
      <w:pStyle w:val="Legalentity"/>
      <w:spacing w:after="140" w:line="240" w:lineRule="auto"/>
      <w:rPr>
        <w:rFonts w:ascii="FrutigerNextPro-Light" w:hAnsi="FrutigerNextPro-Light"/>
        <w:color w:val="002776"/>
      </w:rPr>
    </w:pPr>
    <w:r>
      <w:rPr>
        <w:noProof/>
        <w:lang w:val="ro-RO" w:eastAsia="ro-RO"/>
      </w:rPr>
      <w:drawing>
        <wp:anchor distT="0" distB="0" distL="114300" distR="114300" simplePos="0" relativeHeight="251661312" behindDoc="1" locked="0" layoutInCell="1" allowOverlap="1" wp14:anchorId="40C6D78B" wp14:editId="2747C2F8">
          <wp:simplePos x="0" y="0"/>
          <wp:positionH relativeFrom="column">
            <wp:posOffset>-312420</wp:posOffset>
          </wp:positionH>
          <wp:positionV relativeFrom="paragraph">
            <wp:posOffset>33020</wp:posOffset>
          </wp:positionV>
          <wp:extent cx="2216150" cy="901700"/>
          <wp:effectExtent l="0" t="0" r="0" b="0"/>
          <wp:wrapNone/>
          <wp:docPr id="15" name="Picture 1" descr="C:\Users\iciuca\AppData\Local\Microsoft\Windows\INetCache\Content.Word\DEL_PR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iuca\AppData\Local\Microsoft\Windows\INetCache\Content.Word\DEL_PRI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8625C" w14:textId="77777777" w:rsidR="006A0423" w:rsidRDefault="008927B1" w:rsidP="003023E6">
    <w:pPr>
      <w:pStyle w:val="Legalentity"/>
      <w:spacing w:after="140" w:line="240" w:lineRule="auto"/>
      <w:rPr>
        <w:rFonts w:ascii="FrutigerNextPro-Light" w:hAnsi="FrutigerNextPro-Light"/>
        <w:color w:val="002776"/>
      </w:rPr>
    </w:pPr>
  </w:p>
  <w:p w14:paraId="5A223997" w14:textId="77777777" w:rsidR="006A0423" w:rsidRDefault="008927B1" w:rsidP="003023E6">
    <w:pPr>
      <w:pStyle w:val="Legalentity"/>
      <w:spacing w:after="140" w:line="240" w:lineRule="auto"/>
      <w:rPr>
        <w:rFonts w:ascii="FrutigerNextPro-Light" w:hAnsi="FrutigerNextPro-Light"/>
        <w:color w:val="002776"/>
      </w:rPr>
    </w:pPr>
  </w:p>
  <w:p w14:paraId="6E082B59" w14:textId="77777777" w:rsidR="005443B3" w:rsidRPr="001615F5" w:rsidRDefault="00A331E6">
    <w:pPr>
      <w:pStyle w:val="Header"/>
      <w:rPr>
        <w:sz w:val="11"/>
        <w:szCs w:val="11"/>
      </w:rPr>
    </w:pPr>
    <w:r>
      <w:rPr>
        <w:noProof/>
        <w:lang w:val="ro-RO" w:eastAsia="ro-RO"/>
      </w:rPr>
      <mc:AlternateContent>
        <mc:Choice Requires="wps">
          <w:drawing>
            <wp:anchor distT="0" distB="0" distL="114300" distR="114300" simplePos="0" relativeHeight="251660288" behindDoc="1" locked="1" layoutInCell="0" allowOverlap="1" wp14:anchorId="070F64E9" wp14:editId="749EF6B0">
              <wp:simplePos x="0" y="0"/>
              <wp:positionH relativeFrom="page">
                <wp:posOffset>5507355</wp:posOffset>
              </wp:positionH>
              <wp:positionV relativeFrom="page">
                <wp:posOffset>549275</wp:posOffset>
              </wp:positionV>
              <wp:extent cx="1334135" cy="4508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AB90C" w14:textId="77777777" w:rsidR="006679A3" w:rsidRPr="00E57B68" w:rsidRDefault="008927B1" w:rsidP="006679A3">
                          <w:pPr>
                            <w:autoSpaceDE w:val="0"/>
                            <w:autoSpaceDN w:val="0"/>
                            <w:adjustRightInd w:val="0"/>
                            <w:spacing w:line="18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F64E9" id="_x0000_t202" coordsize="21600,21600" o:spt="202" path="m,l,21600r21600,l21600,xe">
              <v:stroke joinstyle="miter"/>
              <v:path gradientshapeok="t" o:connecttype="rect"/>
            </v:shapetype>
            <v:shape id="Text Box 9" o:spid="_x0000_s1026" type="#_x0000_t202" style="position:absolute;margin-left:433.65pt;margin-top:43.25pt;width:105.0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" o:allowincell="f" stroked="f">
              <v:textbox inset="0,0,0,0">
                <w:txbxContent>
                  <w:p w14:paraId="116AB90C" w14:textId="77777777" w:rsidR="006679A3" w:rsidRPr="00E57B68" w:rsidRDefault="008927B1" w:rsidP="006679A3">
                    <w:pPr>
                      <w:autoSpaceDE w:val="0"/>
                      <w:autoSpaceDN w:val="0"/>
                      <w:adjustRightInd w:val="0"/>
                      <w:spacing w:line="180" w:lineRule="atLeast"/>
                    </w:pP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E6"/>
    <w:rsid w:val="001835EE"/>
    <w:rsid w:val="00432EB8"/>
    <w:rsid w:val="00453898"/>
    <w:rsid w:val="00461CA3"/>
    <w:rsid w:val="00495735"/>
    <w:rsid w:val="006F439D"/>
    <w:rsid w:val="007D6273"/>
    <w:rsid w:val="008927B1"/>
    <w:rsid w:val="00A331E6"/>
    <w:rsid w:val="00A84475"/>
    <w:rsid w:val="00B61A6A"/>
    <w:rsid w:val="00F64DCE"/>
    <w:rsid w:val="00FD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D2133"/>
  <w15:chartTrackingRefBased/>
  <w15:docId w15:val="{A6BACFE2-755F-4A1C-949F-47A9F69E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31E6"/>
    <w:pPr>
      <w:tabs>
        <w:tab w:val="center" w:pos="4680"/>
        <w:tab w:val="right" w:pos="9360"/>
      </w:tabs>
      <w:spacing w:after="0" w:line="240" w:lineRule="auto"/>
    </w:pPr>
  </w:style>
  <w:style w:type="character" w:customStyle="1" w:styleId="HeaderChar">
    <w:name w:val="Header Char"/>
    <w:basedOn w:val="DefaultParagraphFont"/>
    <w:link w:val="Header"/>
    <w:rsid w:val="00A331E6"/>
  </w:style>
  <w:style w:type="paragraph" w:styleId="Footer">
    <w:name w:val="footer"/>
    <w:basedOn w:val="Normal"/>
    <w:link w:val="FooterChar"/>
    <w:unhideWhenUsed/>
    <w:rsid w:val="00A331E6"/>
    <w:pPr>
      <w:tabs>
        <w:tab w:val="center" w:pos="4680"/>
        <w:tab w:val="right" w:pos="9360"/>
      </w:tabs>
      <w:spacing w:after="0" w:line="240" w:lineRule="auto"/>
    </w:pPr>
  </w:style>
  <w:style w:type="character" w:customStyle="1" w:styleId="FooterChar">
    <w:name w:val="Footer Char"/>
    <w:basedOn w:val="DefaultParagraphFont"/>
    <w:link w:val="Footer"/>
    <w:rsid w:val="00A331E6"/>
  </w:style>
  <w:style w:type="paragraph" w:customStyle="1" w:styleId="Legalentity">
    <w:name w:val="Legal entity"/>
    <w:basedOn w:val="Normal"/>
    <w:rsid w:val="00A331E6"/>
    <w:pPr>
      <w:widowControl w:val="0"/>
      <w:suppressAutoHyphens/>
      <w:autoSpaceDE w:val="0"/>
      <w:autoSpaceDN w:val="0"/>
      <w:adjustRightInd w:val="0"/>
      <w:spacing w:after="90" w:line="180" w:lineRule="atLeast"/>
      <w:textAlignment w:val="center"/>
    </w:pPr>
    <w:rPr>
      <w:rFonts w:ascii="ArialMT" w:eastAsia="Times New Roman" w:hAnsi="ArialMT" w:cs="Times New Roman"/>
      <w:color w:val="000000"/>
      <w:sz w:val="15"/>
      <w:szCs w:val="20"/>
      <w:lang w:val="en-GB" w:eastAsia="en-GB"/>
    </w:rPr>
  </w:style>
  <w:style w:type="character" w:styleId="Emphasis">
    <w:name w:val="Emphasis"/>
    <w:basedOn w:val="DefaultParagraphFont"/>
    <w:uiPriority w:val="20"/>
    <w:qFormat/>
    <w:rsid w:val="00A331E6"/>
    <w:rPr>
      <w:i/>
      <w:iCs/>
    </w:rPr>
  </w:style>
  <w:style w:type="paragraph" w:styleId="BalloonText">
    <w:name w:val="Balloon Text"/>
    <w:basedOn w:val="Normal"/>
    <w:link w:val="BalloonTextChar"/>
    <w:uiPriority w:val="99"/>
    <w:semiHidden/>
    <w:unhideWhenUsed/>
    <w:rsid w:val="00495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1275</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Creanga, Ana</dc:creator>
  <cp:keywords/>
  <dc:description/>
  <cp:lastModifiedBy>Anghel, Oana</cp:lastModifiedBy>
  <cp:revision>3</cp:revision>
  <dcterms:created xsi:type="dcterms:W3CDTF">2021-08-05T07:09:00Z</dcterms:created>
  <dcterms:modified xsi:type="dcterms:W3CDTF">2021-08-05T07:14:00Z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2021-08-04T08:32:51Z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87b122af-da1a-45ac-9651-96ca379d84e2</vt:lpwstr>
  </property>
  <property fmtid="{D5CDD505-2E9C-101B-9397-08002B2CF9AE}" pid="8" name="MSIP_Label_ea60d57e-af5b-4752-ac57-3e4f28ca11dc_ContentBits">
    <vt:lpwstr>0</vt:lpwstr>
  </property>
</Properties>
</file>