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B9" w:rsidRPr="004124B9" w:rsidRDefault="004124B9" w:rsidP="004124B9">
      <w:pPr>
        <w:jc w:val="center"/>
        <w:rPr>
          <w:rFonts w:ascii="Cultura-RO" w:hAnsi="Cultura-RO" w:cs="Cultura-RO"/>
          <w:sz w:val="52"/>
          <w:szCs w:val="48"/>
        </w:rPr>
      </w:pPr>
      <w:r w:rsidRPr="004124B9">
        <w:rPr>
          <w:rFonts w:ascii="Cultura-RO" w:hAnsi="Cultura-RO" w:cs="Cultura-RO"/>
          <w:sz w:val="52"/>
          <w:szCs w:val="48"/>
        </w:rPr>
        <w:t>România</w:t>
      </w:r>
    </w:p>
    <w:p w:rsidR="00342FB2" w:rsidRPr="004124B9" w:rsidRDefault="009E758D" w:rsidP="007B43A9">
      <w:pPr>
        <w:jc w:val="center"/>
        <w:rPr>
          <w:rFonts w:ascii="Cultura-RO" w:hAnsi="Cultura-RO" w:cs="Cultura-RO"/>
          <w:sz w:val="56"/>
        </w:rPr>
      </w:pPr>
      <w:r w:rsidRPr="004124B9">
        <w:rPr>
          <w:rFonts w:ascii="Cultura-RO" w:hAnsi="Cultura-RO" w:cs="Cultura-RO"/>
          <w:sz w:val="56"/>
        </w:rPr>
        <w:t xml:space="preserve">Ministerul Culturii </w:t>
      </w:r>
    </w:p>
    <w:p w:rsidR="008455C0" w:rsidRPr="00342FB2" w:rsidRDefault="00E43FF0" w:rsidP="005D14B0">
      <w:pPr>
        <w:jc w:val="center"/>
        <w:rPr>
          <w:rFonts w:ascii="Trebuchet MS" w:hAnsi="Trebuchet MS" w:cs="Arial"/>
          <w:b/>
        </w:rPr>
      </w:pPr>
      <w:r w:rsidRPr="00342FB2">
        <w:rPr>
          <w:rFonts w:ascii="Trebuchet MS" w:hAnsi="Trebuchet MS" w:cs="Arial"/>
          <w:b/>
        </w:rPr>
        <w:t>Ordin</w:t>
      </w:r>
      <w:r w:rsidR="008455C0" w:rsidRPr="00342FB2">
        <w:rPr>
          <w:rFonts w:ascii="Trebuchet MS" w:hAnsi="Trebuchet MS" w:cs="Arial"/>
          <w:b/>
        </w:rPr>
        <w:t xml:space="preserve"> nr</w:t>
      </w:r>
      <w:r w:rsidR="009E758D" w:rsidRPr="00342FB2">
        <w:rPr>
          <w:rFonts w:ascii="Trebuchet MS" w:hAnsi="Trebuchet MS" w:cs="Arial"/>
          <w:b/>
        </w:rPr>
        <w:t xml:space="preserve">. </w:t>
      </w:r>
      <w:r w:rsidR="008455C0" w:rsidRPr="00342FB2">
        <w:rPr>
          <w:rFonts w:ascii="Trebuchet MS" w:hAnsi="Trebuchet MS" w:cs="Arial"/>
          <w:b/>
        </w:rPr>
        <w:t>..........</w:t>
      </w:r>
      <w:r w:rsidR="009E758D" w:rsidRPr="00342FB2">
        <w:rPr>
          <w:rFonts w:ascii="Trebuchet MS" w:hAnsi="Trebuchet MS" w:cs="Arial"/>
          <w:b/>
        </w:rPr>
        <w:t>..</w:t>
      </w:r>
      <w:r w:rsidR="008455C0" w:rsidRPr="00342FB2">
        <w:rPr>
          <w:rFonts w:ascii="Trebuchet MS" w:hAnsi="Trebuchet MS" w:cs="Arial"/>
          <w:b/>
        </w:rPr>
        <w:t>.......</w:t>
      </w:r>
      <w:r w:rsidR="009E758D" w:rsidRPr="00342FB2">
        <w:rPr>
          <w:rFonts w:ascii="Trebuchet MS" w:hAnsi="Trebuchet MS" w:cs="Arial"/>
          <w:b/>
        </w:rPr>
        <w:t xml:space="preserve"> din ...............................</w:t>
      </w:r>
      <w:r w:rsidRPr="00342FB2">
        <w:rPr>
          <w:rFonts w:ascii="Trebuchet MS" w:hAnsi="Trebuchet MS" w:cs="Arial"/>
          <w:b/>
        </w:rPr>
        <w:t xml:space="preserve"> </w:t>
      </w:r>
    </w:p>
    <w:p w:rsidR="00131102" w:rsidRPr="00342FB2" w:rsidRDefault="00E43FF0" w:rsidP="005D14B0">
      <w:pPr>
        <w:jc w:val="center"/>
        <w:rPr>
          <w:rFonts w:ascii="Trebuchet MS" w:hAnsi="Trebuchet MS" w:cs="Arial"/>
          <w:b/>
        </w:rPr>
      </w:pPr>
      <w:r w:rsidRPr="00342FB2">
        <w:rPr>
          <w:rFonts w:ascii="Trebuchet MS" w:hAnsi="Trebuchet MS" w:cs="Arial"/>
          <w:b/>
        </w:rPr>
        <w:t>pentru</w:t>
      </w:r>
      <w:r w:rsidR="005D14B0" w:rsidRPr="00342FB2">
        <w:rPr>
          <w:rFonts w:ascii="Trebuchet MS" w:hAnsi="Trebuchet MS" w:cs="Arial"/>
          <w:b/>
        </w:rPr>
        <w:t xml:space="preserve"> modificarea</w:t>
      </w:r>
      <w:r w:rsidR="003E1EDA">
        <w:rPr>
          <w:rFonts w:ascii="Trebuchet MS" w:hAnsi="Trebuchet MS" w:cs="Arial"/>
          <w:b/>
        </w:rPr>
        <w:t xml:space="preserve"> şi completarea</w:t>
      </w:r>
      <w:r w:rsidR="005D14B0" w:rsidRPr="00342FB2">
        <w:rPr>
          <w:rFonts w:ascii="Trebuchet MS" w:hAnsi="Trebuchet MS" w:cs="Arial"/>
          <w:b/>
        </w:rPr>
        <w:t xml:space="preserve"> Ordinului Ministrului Culturii şi Identităţii Naţionale nr. 2515/2018 privind stabilirea cuantumului tarifelor pentru emiterea avizelor de specialitate necesare pentru intervenţiile asupra imobilelor aflate în zonele de protecţie a monumentelor istorice şi în zonele construite protejate</w:t>
      </w:r>
    </w:p>
    <w:p w:rsidR="005D14B0" w:rsidRPr="00342FB2" w:rsidRDefault="005D14B0" w:rsidP="005D14B0">
      <w:pPr>
        <w:jc w:val="both"/>
        <w:rPr>
          <w:rFonts w:ascii="Trebuchet MS" w:hAnsi="Trebuchet MS" w:cs="Arial"/>
        </w:rPr>
      </w:pPr>
      <w:r w:rsidRPr="00342FB2">
        <w:rPr>
          <w:rFonts w:ascii="Trebuchet MS" w:hAnsi="Trebuchet MS" w:cs="Arial"/>
        </w:rPr>
        <w:t>În conformitate cu prevederile art. 26 alin. (1) pct. 11 şi art. 26 alin. (4) din Legea nr. 422/2001 privind protejarea monumentelor istorice, republicată, cu modificările şi completările ulterioare,</w:t>
      </w:r>
    </w:p>
    <w:p w:rsidR="005D14B0" w:rsidRDefault="005D14B0" w:rsidP="005D14B0">
      <w:pPr>
        <w:jc w:val="both"/>
        <w:rPr>
          <w:rFonts w:ascii="Trebuchet MS" w:hAnsi="Trebuchet MS" w:cs="Arial"/>
        </w:rPr>
      </w:pPr>
      <w:r w:rsidRPr="00342FB2">
        <w:rPr>
          <w:rFonts w:ascii="Trebuchet MS" w:hAnsi="Trebuchet MS" w:cs="Arial"/>
        </w:rPr>
        <w:t>În temeiul prevederilor art. 5 alin. (1) pct. 16 şi art. 11 alin. (1) şi (4) din Hotărârea Guvernului nr. 90/2010 privind organizarea şi funcţionarea Ministerului Culturii, cu modifică</w:t>
      </w:r>
      <w:r w:rsidR="007B43A9">
        <w:rPr>
          <w:rFonts w:ascii="Trebuchet MS" w:hAnsi="Trebuchet MS" w:cs="Arial"/>
        </w:rPr>
        <w:t>rile şi completările ulterioare,</w:t>
      </w:r>
    </w:p>
    <w:p w:rsidR="007B43A9" w:rsidRPr="00342FB2" w:rsidRDefault="007B43A9" w:rsidP="005D14B0">
      <w:pPr>
        <w:jc w:val="both"/>
        <w:rPr>
          <w:rFonts w:ascii="Trebuchet MS" w:hAnsi="Trebuchet MS" w:cs="Arial"/>
        </w:rPr>
      </w:pPr>
    </w:p>
    <w:p w:rsidR="005D14B0" w:rsidRPr="00342FB2" w:rsidRDefault="005D14B0" w:rsidP="005D14B0">
      <w:pPr>
        <w:jc w:val="both"/>
        <w:rPr>
          <w:rFonts w:ascii="Trebuchet MS" w:hAnsi="Trebuchet MS" w:cs="Arial"/>
        </w:rPr>
      </w:pPr>
      <w:r w:rsidRPr="00342FB2">
        <w:rPr>
          <w:rFonts w:ascii="Trebuchet MS" w:hAnsi="Trebuchet MS" w:cs="Arial"/>
          <w:b/>
        </w:rPr>
        <w:t xml:space="preserve">ministrul culturii </w:t>
      </w:r>
      <w:r w:rsidRPr="00342FB2">
        <w:rPr>
          <w:rFonts w:ascii="Trebuchet MS" w:hAnsi="Trebuchet MS" w:cs="Arial"/>
        </w:rPr>
        <w:t xml:space="preserve">emite următorul </w:t>
      </w:r>
    </w:p>
    <w:p w:rsidR="005D14B0" w:rsidRPr="00342FB2" w:rsidRDefault="005D14B0" w:rsidP="005D14B0">
      <w:pPr>
        <w:jc w:val="center"/>
        <w:rPr>
          <w:rFonts w:ascii="Trebuchet MS" w:hAnsi="Trebuchet MS" w:cs="Arial"/>
          <w:b/>
        </w:rPr>
      </w:pPr>
      <w:r w:rsidRPr="00342FB2">
        <w:rPr>
          <w:rFonts w:ascii="Trebuchet MS" w:hAnsi="Trebuchet MS" w:cs="Arial"/>
          <w:b/>
        </w:rPr>
        <w:t>ORDIN:</w:t>
      </w:r>
    </w:p>
    <w:p w:rsidR="005D14B0" w:rsidRPr="00342FB2" w:rsidRDefault="0067101B" w:rsidP="0052354C">
      <w:pPr>
        <w:ind w:firstLine="709"/>
        <w:jc w:val="both"/>
        <w:rPr>
          <w:rFonts w:ascii="Trebuchet MS" w:hAnsi="Trebuchet MS" w:cs="Arial"/>
          <w:b/>
        </w:rPr>
      </w:pPr>
      <w:r w:rsidRPr="00342FB2">
        <w:rPr>
          <w:rFonts w:ascii="Trebuchet MS" w:hAnsi="Trebuchet MS" w:cs="Arial"/>
          <w:b/>
        </w:rPr>
        <w:t>Art. I</w:t>
      </w:r>
    </w:p>
    <w:p w:rsidR="005D14B0" w:rsidRPr="00342FB2" w:rsidRDefault="0067101B" w:rsidP="0052354C">
      <w:pPr>
        <w:ind w:firstLine="709"/>
        <w:jc w:val="both"/>
        <w:rPr>
          <w:rStyle w:val="tpa1"/>
          <w:rFonts w:ascii="Trebuchet MS" w:hAnsi="Trebuchet MS" w:cs="Arial"/>
          <w:b/>
        </w:rPr>
      </w:pPr>
      <w:r w:rsidRPr="00342FB2">
        <w:rPr>
          <w:rFonts w:ascii="Trebuchet MS" w:hAnsi="Trebuchet MS" w:cs="Arial"/>
          <w:b/>
        </w:rPr>
        <w:t>Ordinul</w:t>
      </w:r>
      <w:r w:rsidR="005D14B0" w:rsidRPr="00342FB2">
        <w:rPr>
          <w:rFonts w:ascii="Trebuchet MS" w:hAnsi="Trebuchet MS" w:cs="Arial"/>
          <w:b/>
        </w:rPr>
        <w:t xml:space="preserve"> Ministrului Culturii şi Identităţii Naţionale nr. 2515/2018 privind stabilirea cuantumului tarifelor pentru emiterea avizelor de specialitate necesare pentru intervenţiile asupra imobilelor aflate în zonele de protecţie a monumentelor istorice şi în zonele construite protejate, publicat în Monitorul Oficial al României, Partea I, cu nr. </w:t>
      </w:r>
      <w:r w:rsidR="005D14B0" w:rsidRPr="00342FB2">
        <w:rPr>
          <w:rStyle w:val="tpa1"/>
          <w:rFonts w:ascii="Trebuchet MS" w:hAnsi="Trebuchet MS" w:cs="Arial"/>
          <w:b/>
        </w:rPr>
        <w:t>614 din 17 iulie 2018, se modifică</w:t>
      </w:r>
      <w:r w:rsidR="000F094E" w:rsidRPr="00342FB2">
        <w:rPr>
          <w:rStyle w:val="tpa1"/>
          <w:rFonts w:ascii="Trebuchet MS" w:hAnsi="Trebuchet MS" w:cs="Arial"/>
          <w:b/>
        </w:rPr>
        <w:t xml:space="preserve"> şi se completează</w:t>
      </w:r>
      <w:r w:rsidR="005D14B0" w:rsidRPr="00342FB2">
        <w:rPr>
          <w:rStyle w:val="tpa1"/>
          <w:rFonts w:ascii="Trebuchet MS" w:hAnsi="Trebuchet MS" w:cs="Arial"/>
          <w:b/>
        </w:rPr>
        <w:t xml:space="preserve"> după cum urmează:</w:t>
      </w:r>
    </w:p>
    <w:p w:rsidR="00042349" w:rsidRDefault="00042349" w:rsidP="0052354C">
      <w:pPr>
        <w:ind w:firstLine="709"/>
        <w:jc w:val="both"/>
        <w:rPr>
          <w:rStyle w:val="tpa1"/>
          <w:rFonts w:ascii="Trebuchet MS" w:hAnsi="Trebuchet MS" w:cs="Arial"/>
          <w:b/>
        </w:rPr>
      </w:pPr>
    </w:p>
    <w:p w:rsidR="005D14B0" w:rsidRPr="00342FB2" w:rsidRDefault="005D14B0" w:rsidP="0052354C">
      <w:pPr>
        <w:ind w:firstLine="709"/>
        <w:jc w:val="both"/>
        <w:rPr>
          <w:rStyle w:val="tpa1"/>
          <w:rFonts w:ascii="Trebuchet MS" w:hAnsi="Trebuchet MS" w:cs="Arial"/>
          <w:b/>
        </w:rPr>
      </w:pPr>
      <w:r w:rsidRPr="00342FB2">
        <w:rPr>
          <w:rStyle w:val="tpa1"/>
          <w:rFonts w:ascii="Trebuchet MS" w:hAnsi="Trebuchet MS" w:cs="Arial"/>
          <w:b/>
        </w:rPr>
        <w:t xml:space="preserve">1. </w:t>
      </w:r>
      <w:r w:rsidR="000F094E" w:rsidRPr="00342FB2">
        <w:rPr>
          <w:rStyle w:val="tpa1"/>
          <w:rFonts w:ascii="Trebuchet MS" w:hAnsi="Trebuchet MS" w:cs="Arial"/>
          <w:b/>
        </w:rPr>
        <w:t>După alineatul (1) al articolului 1, se introduce un nou alineat, alin. (2)</w:t>
      </w:r>
      <w:r w:rsidRPr="00342FB2">
        <w:rPr>
          <w:rStyle w:val="tpa1"/>
          <w:rFonts w:ascii="Trebuchet MS" w:hAnsi="Trebuchet MS" w:cs="Arial"/>
          <w:b/>
        </w:rPr>
        <w:t xml:space="preserve"> </w:t>
      </w:r>
      <w:r w:rsidR="000F094E" w:rsidRPr="00342FB2">
        <w:rPr>
          <w:rStyle w:val="tpa1"/>
          <w:rFonts w:ascii="Trebuchet MS" w:hAnsi="Trebuchet MS" w:cs="Arial"/>
          <w:b/>
        </w:rPr>
        <w:t xml:space="preserve">cu </w:t>
      </w:r>
      <w:r w:rsidRPr="00342FB2">
        <w:rPr>
          <w:rStyle w:val="tpa1"/>
          <w:rFonts w:ascii="Trebuchet MS" w:hAnsi="Trebuchet MS" w:cs="Arial"/>
          <w:b/>
        </w:rPr>
        <w:t>următorul cuprins:</w:t>
      </w:r>
    </w:p>
    <w:p w:rsidR="002A3909" w:rsidRPr="00342FB2" w:rsidRDefault="005D14B0" w:rsidP="000F094E">
      <w:pPr>
        <w:ind w:firstLine="709"/>
        <w:jc w:val="both"/>
        <w:rPr>
          <w:rStyle w:val="tpa1"/>
          <w:rFonts w:ascii="Trebuchet MS" w:hAnsi="Trebuchet MS" w:cs="Arial"/>
        </w:rPr>
      </w:pPr>
      <w:r w:rsidRPr="00342FB2">
        <w:rPr>
          <w:rStyle w:val="tpa1"/>
          <w:rFonts w:ascii="Trebuchet MS" w:hAnsi="Trebuchet MS" w:cs="Arial"/>
          <w:b/>
        </w:rPr>
        <w:t>„</w:t>
      </w:r>
      <w:r w:rsidR="000F094E" w:rsidRPr="00342FB2">
        <w:rPr>
          <w:rStyle w:val="tpa1"/>
          <w:rFonts w:ascii="Trebuchet MS" w:hAnsi="Trebuchet MS" w:cs="Arial"/>
          <w:b/>
        </w:rPr>
        <w:t xml:space="preserve">(2) </w:t>
      </w:r>
      <w:r w:rsidR="000F094E" w:rsidRPr="00342FB2">
        <w:rPr>
          <w:rFonts w:ascii="Trebuchet MS" w:hAnsi="Trebuchet MS" w:cs="Arial"/>
        </w:rPr>
        <w:t>Tarifele se percep doar pentru emiterea avizelor necesare autorizării executării lucrărilor de construcții, o singură dată, pentru o aceeași autorizație</w:t>
      </w:r>
      <w:r w:rsidR="001A1E9B">
        <w:rPr>
          <w:rFonts w:ascii="Trebuchet MS" w:hAnsi="Trebuchet MS" w:cs="Arial"/>
        </w:rPr>
        <w:t>, indiferent de numărul fazelor de execuţie</w:t>
      </w:r>
      <w:r w:rsidR="000F094E" w:rsidRPr="00342FB2">
        <w:rPr>
          <w:rFonts w:ascii="Trebuchet MS" w:hAnsi="Trebuchet MS" w:cs="Arial"/>
        </w:rPr>
        <w:t>.”</w:t>
      </w:r>
    </w:p>
    <w:p w:rsidR="000F094E" w:rsidRPr="00342FB2" w:rsidRDefault="000F094E" w:rsidP="0052354C">
      <w:pPr>
        <w:ind w:firstLine="709"/>
        <w:jc w:val="both"/>
        <w:rPr>
          <w:rStyle w:val="tpa1"/>
          <w:rFonts w:ascii="Trebuchet MS" w:hAnsi="Trebuchet MS" w:cs="Arial"/>
          <w:b/>
        </w:rPr>
      </w:pPr>
    </w:p>
    <w:p w:rsidR="006A69CB" w:rsidRPr="00342FB2" w:rsidRDefault="0052354C" w:rsidP="00E56DD7">
      <w:pPr>
        <w:spacing w:before="120" w:after="120"/>
        <w:ind w:firstLine="709"/>
        <w:jc w:val="both"/>
        <w:rPr>
          <w:rStyle w:val="tpa1"/>
          <w:rFonts w:ascii="Trebuchet MS" w:hAnsi="Trebuchet MS" w:cs="Arial"/>
          <w:b/>
        </w:rPr>
      </w:pPr>
      <w:r w:rsidRPr="00342FB2">
        <w:rPr>
          <w:rStyle w:val="tpa1"/>
          <w:rFonts w:ascii="Trebuchet MS" w:hAnsi="Trebuchet MS" w:cs="Arial"/>
          <w:b/>
        </w:rPr>
        <w:t xml:space="preserve">2. </w:t>
      </w:r>
      <w:r w:rsidR="000F094E" w:rsidRPr="00342FB2">
        <w:rPr>
          <w:rStyle w:val="tpa1"/>
          <w:rFonts w:ascii="Trebuchet MS" w:hAnsi="Trebuchet MS" w:cs="Arial"/>
          <w:b/>
        </w:rPr>
        <w:t>Articolul</w:t>
      </w:r>
      <w:r w:rsidR="006A69CB" w:rsidRPr="00342FB2">
        <w:rPr>
          <w:rStyle w:val="tpa1"/>
          <w:rFonts w:ascii="Trebuchet MS" w:hAnsi="Trebuchet MS" w:cs="Arial"/>
          <w:b/>
        </w:rPr>
        <w:t xml:space="preserve"> 2 va avea următorul cuprins:</w:t>
      </w:r>
    </w:p>
    <w:p w:rsidR="000F094E" w:rsidRPr="00342FB2" w:rsidRDefault="00E56DD7" w:rsidP="00E56DD7">
      <w:pPr>
        <w:spacing w:before="120" w:after="120"/>
        <w:ind w:firstLine="709"/>
        <w:jc w:val="both"/>
        <w:rPr>
          <w:rFonts w:ascii="Trebuchet MS" w:hAnsi="Trebuchet MS" w:cs="Arial"/>
        </w:rPr>
      </w:pPr>
      <w:r w:rsidRPr="00342FB2">
        <w:rPr>
          <w:rFonts w:ascii="Trebuchet MS" w:hAnsi="Trebuchet MS" w:cs="Arial"/>
        </w:rPr>
        <w:t>„</w:t>
      </w:r>
      <w:r w:rsidR="000F094E" w:rsidRPr="00342FB2">
        <w:rPr>
          <w:rFonts w:ascii="Trebuchet MS" w:hAnsi="Trebuchet MS" w:cs="Arial"/>
          <w:b/>
        </w:rPr>
        <w:t xml:space="preserve">(1) </w:t>
      </w:r>
      <w:r w:rsidR="000F094E" w:rsidRPr="00342FB2">
        <w:rPr>
          <w:rFonts w:ascii="Trebuchet MS" w:hAnsi="Trebuchet MS" w:cs="Arial"/>
        </w:rPr>
        <w:t>Suprafaţa care stă la baza calculului tarifelor prevăzute la art. 1 este cea precizată în documentaţia prezentată spre avizare, întocmită şi asumată conform prevederilor legale în vigoare, astfel:</w:t>
      </w:r>
    </w:p>
    <w:p w:rsidR="000F094E" w:rsidRPr="00342FB2" w:rsidRDefault="000F094E" w:rsidP="00E56DD7">
      <w:pPr>
        <w:spacing w:before="120" w:after="120"/>
        <w:ind w:firstLine="709"/>
        <w:jc w:val="both"/>
        <w:rPr>
          <w:rFonts w:ascii="Trebuchet MS" w:hAnsi="Trebuchet MS" w:cs="Arial"/>
        </w:rPr>
      </w:pPr>
      <w:r w:rsidRPr="00342FB2">
        <w:rPr>
          <w:rFonts w:ascii="Trebuchet MS" w:hAnsi="Trebuchet MS" w:cs="Arial"/>
          <w:b/>
        </w:rPr>
        <w:t>a)</w:t>
      </w:r>
      <w:r w:rsidRPr="00342FB2">
        <w:rPr>
          <w:rFonts w:ascii="Trebuchet MS" w:hAnsi="Trebuchet MS" w:cs="Arial"/>
        </w:rPr>
        <w:t xml:space="preserve"> aria desfășurată a construcției care urmează a fi edificată, respectiv desființată;</w:t>
      </w:r>
    </w:p>
    <w:p w:rsidR="000F094E" w:rsidRPr="00342FB2" w:rsidRDefault="000F094E" w:rsidP="00E56DD7">
      <w:pPr>
        <w:spacing w:before="120" w:after="120"/>
        <w:ind w:firstLine="709"/>
        <w:jc w:val="both"/>
        <w:rPr>
          <w:rFonts w:ascii="Trebuchet MS" w:hAnsi="Trebuchet MS" w:cs="Arial"/>
        </w:rPr>
      </w:pPr>
      <w:r w:rsidRPr="00342FB2">
        <w:rPr>
          <w:rFonts w:ascii="Trebuchet MS" w:hAnsi="Trebuchet MS" w:cs="Arial"/>
          <w:b/>
        </w:rPr>
        <w:t>b)</w:t>
      </w:r>
      <w:r w:rsidRPr="00342FB2">
        <w:rPr>
          <w:rFonts w:ascii="Trebuchet MS" w:hAnsi="Trebuchet MS" w:cs="Arial"/>
        </w:rPr>
        <w:t xml:space="preserve"> parte din aria nivelului afectat de intervenție, în cazul construcțiilor existente; </w:t>
      </w:r>
    </w:p>
    <w:p w:rsidR="000F094E" w:rsidRPr="00342FB2" w:rsidRDefault="000F094E" w:rsidP="00E56DD7">
      <w:pPr>
        <w:spacing w:before="120" w:after="120"/>
        <w:ind w:firstLine="709"/>
        <w:jc w:val="both"/>
        <w:rPr>
          <w:rFonts w:ascii="Trebuchet MS" w:hAnsi="Trebuchet MS" w:cs="Arial"/>
        </w:rPr>
      </w:pPr>
      <w:r w:rsidRPr="00342FB2">
        <w:rPr>
          <w:rFonts w:ascii="Trebuchet MS" w:hAnsi="Trebuchet MS" w:cs="Arial"/>
          <w:b/>
        </w:rPr>
        <w:lastRenderedPageBreak/>
        <w:t>c)</w:t>
      </w:r>
      <w:r w:rsidRPr="00342FB2">
        <w:rPr>
          <w:rFonts w:ascii="Trebuchet MS" w:hAnsi="Trebuchet MS" w:cs="Arial"/>
        </w:rPr>
        <w:t xml:space="preserve"> parte din suprafața parcelei afectată de intervenție, în cazul amenajărilor.</w:t>
      </w:r>
    </w:p>
    <w:p w:rsidR="000F094E" w:rsidRPr="00342FB2" w:rsidRDefault="00E56DD7" w:rsidP="00E56DD7">
      <w:pPr>
        <w:spacing w:before="120" w:after="120"/>
        <w:ind w:firstLine="709"/>
        <w:jc w:val="both"/>
        <w:rPr>
          <w:rFonts w:ascii="Trebuchet MS" w:hAnsi="Trebuchet MS" w:cs="Arial"/>
        </w:rPr>
      </w:pPr>
      <w:r w:rsidRPr="00342FB2">
        <w:rPr>
          <w:rFonts w:ascii="Trebuchet MS" w:hAnsi="Trebuchet MS" w:cs="Arial"/>
          <w:b/>
        </w:rPr>
        <w:t>(2</w:t>
      </w:r>
      <w:r w:rsidR="000F094E" w:rsidRPr="00342FB2">
        <w:rPr>
          <w:rFonts w:ascii="Trebuchet MS" w:hAnsi="Trebuchet MS" w:cs="Arial"/>
          <w:b/>
        </w:rPr>
        <w:t>)</w:t>
      </w:r>
      <w:r w:rsidR="000F094E" w:rsidRPr="00342FB2">
        <w:rPr>
          <w:rFonts w:ascii="Trebuchet MS" w:hAnsi="Trebuchet MS" w:cs="Arial"/>
        </w:rPr>
        <w:t xml:space="preserve"> Aria desfașurată este suma ariei tuturor nivelurilor. </w:t>
      </w:r>
    </w:p>
    <w:p w:rsidR="000F094E" w:rsidRPr="00342FB2" w:rsidRDefault="00E56DD7" w:rsidP="00E56DD7">
      <w:pPr>
        <w:spacing w:before="120" w:after="120"/>
        <w:ind w:firstLine="709"/>
        <w:jc w:val="both"/>
        <w:rPr>
          <w:rFonts w:ascii="Trebuchet MS" w:hAnsi="Trebuchet MS" w:cs="Arial"/>
        </w:rPr>
      </w:pPr>
      <w:r w:rsidRPr="00342FB2">
        <w:rPr>
          <w:rFonts w:ascii="Trebuchet MS" w:hAnsi="Trebuchet MS" w:cs="Arial"/>
          <w:b/>
        </w:rPr>
        <w:t>(3</w:t>
      </w:r>
      <w:r w:rsidR="000F094E" w:rsidRPr="00342FB2">
        <w:rPr>
          <w:rFonts w:ascii="Trebuchet MS" w:hAnsi="Trebuchet MS" w:cs="Arial"/>
          <w:b/>
        </w:rPr>
        <w:t>)</w:t>
      </w:r>
      <w:r w:rsidR="000F094E" w:rsidRPr="00342FB2">
        <w:rPr>
          <w:rFonts w:ascii="Trebuchet MS" w:hAnsi="Trebuchet MS" w:cs="Arial"/>
        </w:rPr>
        <w:t xml:space="preserve"> Aria n</w:t>
      </w:r>
      <w:r w:rsidRPr="00342FB2">
        <w:rPr>
          <w:rFonts w:ascii="Trebuchet MS" w:hAnsi="Trebuchet MS" w:cs="Arial"/>
        </w:rPr>
        <w:t xml:space="preserve">ivelului se calculează conform </w:t>
      </w:r>
      <w:r w:rsidR="000F094E" w:rsidRPr="00342FB2">
        <w:rPr>
          <w:rFonts w:ascii="Trebuchet MS" w:hAnsi="Trebuchet MS" w:cs="Arial"/>
        </w:rPr>
        <w:t xml:space="preserve">prevederilor în vigoare. </w:t>
      </w:r>
    </w:p>
    <w:p w:rsidR="000F094E" w:rsidRPr="00342FB2" w:rsidRDefault="00E56DD7" w:rsidP="00E56DD7">
      <w:pPr>
        <w:spacing w:before="120" w:after="120"/>
        <w:ind w:firstLine="709"/>
        <w:jc w:val="both"/>
        <w:rPr>
          <w:rFonts w:ascii="Trebuchet MS" w:hAnsi="Trebuchet MS" w:cs="Arial"/>
        </w:rPr>
      </w:pPr>
      <w:r w:rsidRPr="00342FB2">
        <w:rPr>
          <w:rFonts w:ascii="Trebuchet MS" w:hAnsi="Trebuchet MS" w:cs="Arial"/>
          <w:b/>
        </w:rPr>
        <w:t>(4</w:t>
      </w:r>
      <w:r w:rsidR="000F094E" w:rsidRPr="00342FB2">
        <w:rPr>
          <w:rFonts w:ascii="Trebuchet MS" w:hAnsi="Trebuchet MS" w:cs="Arial"/>
          <w:b/>
        </w:rPr>
        <w:t>)</w:t>
      </w:r>
      <w:r w:rsidR="000F094E" w:rsidRPr="00342FB2">
        <w:rPr>
          <w:rFonts w:ascii="Trebuchet MS" w:hAnsi="Trebuchet MS" w:cs="Arial"/>
        </w:rPr>
        <w:t xml:space="preserve"> Aria nivelului se măsoară la 1 m deasupra pardoselii finite. În aria nivelului se cuprind și ariile nivelurilor intermediare sau anexe interioare sau exterioare cum sunt:</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ariile teraselor circulabile pentru diferite funcțiuni;</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ariile balcoanelor interioare (în cazul teatrelor, cinematografelor, aulelor sau ale altor săli similare);</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ariile subpantelor;</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ariile balcoanelor şi logiilor;</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ariile porticelor de circulaţie şi gangurilor de trecere dacă acestea nu au înălţimea mai mare decât a unui etaj, se consideră aferente numai primului nivel deservit;</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aria coridoarelor exterioare;</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 xml:space="preserve">aria scărilor exterioare de acces între niveluri, intră în calculul ariei nivelului deservit; </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aria încăperilor cu înălţime liberă mai mare de 1,80 m (de exemplu subsol, încăperile motoarelor de ascensor, pompe etc. părţi ieşite şi închise pentru iluminatul subsolurilor, încăperi la mansarde etc.);</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 xml:space="preserve">aria rampelor exterioare şi a scărilor de acces de la magazii, depozite etc.; </w:t>
      </w:r>
    </w:p>
    <w:p w:rsidR="000F094E" w:rsidRPr="00342FB2" w:rsidRDefault="000F094E" w:rsidP="00E56DD7">
      <w:pPr>
        <w:pStyle w:val="ListParagraph"/>
        <w:numPr>
          <w:ilvl w:val="0"/>
          <w:numId w:val="1"/>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aria aferentă lucarnelor în cazul manasardelor dacă înălțimea este mai mică de 1,80 m.</w:t>
      </w:r>
    </w:p>
    <w:p w:rsidR="000F094E" w:rsidRPr="00342FB2" w:rsidRDefault="00E56DD7" w:rsidP="00342FB2">
      <w:pPr>
        <w:spacing w:before="120" w:after="120"/>
        <w:ind w:firstLine="709"/>
        <w:jc w:val="both"/>
        <w:rPr>
          <w:rFonts w:ascii="Trebuchet MS" w:hAnsi="Trebuchet MS" w:cs="Arial"/>
        </w:rPr>
      </w:pPr>
      <w:r w:rsidRPr="00342FB2">
        <w:rPr>
          <w:rFonts w:ascii="Trebuchet MS" w:hAnsi="Trebuchet MS" w:cs="Arial"/>
          <w:b/>
        </w:rPr>
        <w:t>(5</w:t>
      </w:r>
      <w:r w:rsidR="000F094E" w:rsidRPr="00342FB2">
        <w:rPr>
          <w:rFonts w:ascii="Trebuchet MS" w:hAnsi="Trebuchet MS" w:cs="Arial"/>
          <w:b/>
        </w:rPr>
        <w:t>)</w:t>
      </w:r>
      <w:r w:rsidR="000F094E" w:rsidRPr="00342FB2">
        <w:rPr>
          <w:rFonts w:ascii="Trebuchet MS" w:hAnsi="Trebuchet MS" w:cs="Arial"/>
        </w:rPr>
        <w:t xml:space="preserve"> În aria nivelului nu se cuprind:</w:t>
      </w:r>
    </w:p>
    <w:p w:rsidR="000F094E" w:rsidRPr="00342FB2" w:rsidRDefault="000F094E" w:rsidP="00E56DD7">
      <w:pPr>
        <w:pStyle w:val="ListParagraph"/>
        <w:numPr>
          <w:ilvl w:val="0"/>
          <w:numId w:val="2"/>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copertinele cu suprafeţe mai mici de 4 m</w:t>
      </w:r>
      <w:r w:rsidRPr="00342FB2">
        <w:rPr>
          <w:rFonts w:ascii="Trebuchet MS" w:hAnsi="Trebuchet MS" w:cs="Arial"/>
          <w:sz w:val="22"/>
          <w:szCs w:val="22"/>
          <w:vertAlign w:val="superscript"/>
          <w:lang w:val="ro-RO"/>
        </w:rPr>
        <w:t>2</w:t>
      </w:r>
      <w:r w:rsidR="00042349">
        <w:rPr>
          <w:rFonts w:ascii="Trebuchet MS" w:hAnsi="Trebuchet MS" w:cs="Arial"/>
          <w:sz w:val="22"/>
          <w:szCs w:val="22"/>
          <w:lang w:val="ro-RO"/>
        </w:rPr>
        <w:t xml:space="preserve"> și adâ</w:t>
      </w:r>
      <w:r w:rsidRPr="00342FB2">
        <w:rPr>
          <w:rFonts w:ascii="Trebuchet MS" w:hAnsi="Trebuchet MS" w:cs="Arial"/>
          <w:sz w:val="22"/>
          <w:szCs w:val="22"/>
          <w:lang w:val="ro-RO"/>
        </w:rPr>
        <w:t>ncimea mai mică de 2 m, profilele ornamentale și cornişele;</w:t>
      </w:r>
    </w:p>
    <w:p w:rsidR="000F094E" w:rsidRPr="00342FB2" w:rsidRDefault="000F094E" w:rsidP="00E56DD7">
      <w:pPr>
        <w:pStyle w:val="ListParagraph"/>
        <w:numPr>
          <w:ilvl w:val="0"/>
          <w:numId w:val="2"/>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învelitoarele, terasele necirculabile (rezultate din retragere) de peste nivelul imediat inferior;</w:t>
      </w:r>
    </w:p>
    <w:p w:rsidR="000F094E" w:rsidRPr="00342FB2" w:rsidRDefault="000F094E" w:rsidP="00E56DD7">
      <w:pPr>
        <w:pStyle w:val="ListParagraph"/>
        <w:numPr>
          <w:ilvl w:val="0"/>
          <w:numId w:val="2"/>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golurile mai mari de 4 m</w:t>
      </w:r>
      <w:r w:rsidRPr="00342FB2">
        <w:rPr>
          <w:rFonts w:ascii="Trebuchet MS" w:hAnsi="Trebuchet MS" w:cs="Arial"/>
          <w:sz w:val="22"/>
          <w:szCs w:val="22"/>
          <w:vertAlign w:val="superscript"/>
          <w:lang w:val="ro-RO"/>
        </w:rPr>
        <w:t>2</w:t>
      </w:r>
      <w:r w:rsidRPr="00342FB2">
        <w:rPr>
          <w:rFonts w:ascii="Trebuchet MS" w:hAnsi="Trebuchet MS" w:cs="Arial"/>
          <w:sz w:val="22"/>
          <w:szCs w:val="22"/>
          <w:lang w:val="ro-RO"/>
        </w:rPr>
        <w:t>, fiecare în parte numai la curţi de lumină și curți englezeşti;</w:t>
      </w:r>
    </w:p>
    <w:p w:rsidR="000F094E" w:rsidRPr="00342FB2" w:rsidRDefault="000F094E" w:rsidP="00E56DD7">
      <w:pPr>
        <w:pStyle w:val="ListParagraph"/>
        <w:numPr>
          <w:ilvl w:val="0"/>
          <w:numId w:val="2"/>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ariile care nu intră în aria construită:</w:t>
      </w:r>
    </w:p>
    <w:p w:rsidR="000F094E" w:rsidRPr="00342FB2" w:rsidRDefault="00342FB2" w:rsidP="00342FB2">
      <w:pPr>
        <w:spacing w:before="120" w:after="120"/>
        <w:ind w:left="1080"/>
        <w:jc w:val="both"/>
        <w:rPr>
          <w:rFonts w:ascii="Trebuchet MS" w:hAnsi="Trebuchet MS" w:cs="Arial"/>
        </w:rPr>
      </w:pPr>
      <w:r w:rsidRPr="00342FB2">
        <w:rPr>
          <w:rFonts w:ascii="Trebuchet MS" w:hAnsi="Trebuchet MS" w:cs="Arial"/>
          <w:b/>
        </w:rPr>
        <w:t xml:space="preserve">         i)</w:t>
      </w:r>
      <w:r w:rsidRPr="00342FB2">
        <w:rPr>
          <w:rFonts w:ascii="Trebuchet MS" w:hAnsi="Trebuchet MS" w:cs="Arial"/>
        </w:rPr>
        <w:t xml:space="preserve"> </w:t>
      </w:r>
      <w:r w:rsidR="00042349">
        <w:rPr>
          <w:rFonts w:ascii="Trebuchet MS" w:hAnsi="Trebuchet MS" w:cs="Arial"/>
        </w:rPr>
        <w:t>rezalid</w:t>
      </w:r>
      <w:r w:rsidR="000F094E" w:rsidRPr="00342FB2">
        <w:rPr>
          <w:rFonts w:ascii="Trebuchet MS" w:hAnsi="Trebuchet MS" w:cs="Arial"/>
        </w:rPr>
        <w:t>urile cu aria mai mică de 0,4 m</w:t>
      </w:r>
      <w:r w:rsidR="000F094E" w:rsidRPr="00342FB2">
        <w:rPr>
          <w:rFonts w:ascii="Trebuchet MS" w:hAnsi="Trebuchet MS" w:cs="Arial"/>
          <w:vertAlign w:val="superscript"/>
        </w:rPr>
        <w:t>2</w:t>
      </w:r>
      <w:r w:rsidR="000F094E" w:rsidRPr="00342FB2">
        <w:rPr>
          <w:rFonts w:ascii="Trebuchet MS" w:hAnsi="Trebuchet MS" w:cs="Arial"/>
        </w:rPr>
        <w:t xml:space="preserve"> și nişele cu aria mai mare de 0,4 m</w:t>
      </w:r>
      <w:r w:rsidR="000F094E" w:rsidRPr="00342FB2">
        <w:rPr>
          <w:rFonts w:ascii="Trebuchet MS" w:hAnsi="Trebuchet MS" w:cs="Arial"/>
          <w:vertAlign w:val="superscript"/>
        </w:rPr>
        <w:t>2</w:t>
      </w:r>
      <w:r w:rsidR="000F094E" w:rsidRPr="00342FB2">
        <w:rPr>
          <w:rFonts w:ascii="Trebuchet MS" w:hAnsi="Trebuchet MS" w:cs="Arial"/>
        </w:rPr>
        <w:t>;</w:t>
      </w:r>
    </w:p>
    <w:p w:rsidR="000F094E" w:rsidRPr="00342FB2" w:rsidRDefault="00342FB2" w:rsidP="00342FB2">
      <w:pPr>
        <w:spacing w:before="120" w:after="120"/>
        <w:ind w:left="1080"/>
        <w:jc w:val="both"/>
        <w:rPr>
          <w:rFonts w:ascii="Trebuchet MS" w:hAnsi="Trebuchet MS" w:cs="Arial"/>
        </w:rPr>
      </w:pPr>
      <w:r w:rsidRPr="00342FB2">
        <w:rPr>
          <w:rFonts w:ascii="Trebuchet MS" w:hAnsi="Trebuchet MS" w:cs="Arial"/>
          <w:b/>
        </w:rPr>
        <w:t xml:space="preserve">         ii)</w:t>
      </w:r>
      <w:r w:rsidRPr="00342FB2">
        <w:rPr>
          <w:rFonts w:ascii="Trebuchet MS" w:hAnsi="Trebuchet MS" w:cs="Arial"/>
        </w:rPr>
        <w:t xml:space="preserve"> </w:t>
      </w:r>
      <w:r w:rsidR="000F094E" w:rsidRPr="00342FB2">
        <w:rPr>
          <w:rFonts w:ascii="Trebuchet MS" w:hAnsi="Trebuchet MS" w:cs="Arial"/>
        </w:rPr>
        <w:t>treptele exterioare şi terasele neacoperite;</w:t>
      </w:r>
    </w:p>
    <w:p w:rsidR="000F094E" w:rsidRPr="00342FB2" w:rsidRDefault="00342FB2" w:rsidP="00342FB2">
      <w:pPr>
        <w:spacing w:before="120" w:after="120"/>
        <w:jc w:val="both"/>
        <w:rPr>
          <w:rFonts w:ascii="Trebuchet MS" w:hAnsi="Trebuchet MS" w:cs="Arial"/>
        </w:rPr>
      </w:pPr>
      <w:r w:rsidRPr="00342FB2">
        <w:rPr>
          <w:rFonts w:ascii="Trebuchet MS" w:hAnsi="Trebuchet MS" w:cs="Arial"/>
          <w:b/>
        </w:rPr>
        <w:t xml:space="preserve">                            iii)</w:t>
      </w:r>
      <w:r w:rsidRPr="00342FB2">
        <w:rPr>
          <w:rFonts w:ascii="Trebuchet MS" w:hAnsi="Trebuchet MS" w:cs="Arial"/>
        </w:rPr>
        <w:t xml:space="preserve"> </w:t>
      </w:r>
      <w:r w:rsidR="000F094E" w:rsidRPr="00342FB2">
        <w:rPr>
          <w:rFonts w:ascii="Trebuchet MS" w:hAnsi="Trebuchet MS" w:cs="Arial"/>
        </w:rPr>
        <w:t>ariile curților interioare, ale curților exterioare de lumină sau de acces (denumite în mod curent curţi englezești) mai mari de 4 m</w:t>
      </w:r>
      <w:r w:rsidR="000F094E" w:rsidRPr="00342FB2">
        <w:rPr>
          <w:rFonts w:ascii="Trebuchet MS" w:hAnsi="Trebuchet MS" w:cs="Arial"/>
          <w:vertAlign w:val="superscript"/>
        </w:rPr>
        <w:t>2</w:t>
      </w:r>
      <w:r w:rsidR="000F094E" w:rsidRPr="00342FB2">
        <w:rPr>
          <w:rFonts w:ascii="Trebuchet MS" w:hAnsi="Trebuchet MS" w:cs="Arial"/>
        </w:rPr>
        <w:t>.</w:t>
      </w:r>
    </w:p>
    <w:p w:rsidR="000F094E" w:rsidRPr="00342FB2" w:rsidRDefault="000F094E" w:rsidP="00E56DD7">
      <w:pPr>
        <w:pStyle w:val="ListParagraph"/>
        <w:numPr>
          <w:ilvl w:val="0"/>
          <w:numId w:val="2"/>
        </w:numPr>
        <w:spacing w:before="120" w:after="120"/>
        <w:ind w:firstLine="709"/>
        <w:jc w:val="both"/>
        <w:rPr>
          <w:rFonts w:ascii="Trebuchet MS" w:hAnsi="Trebuchet MS" w:cs="Arial"/>
          <w:sz w:val="22"/>
          <w:szCs w:val="22"/>
          <w:lang w:val="ro-RO"/>
        </w:rPr>
      </w:pPr>
      <w:r w:rsidRPr="00342FB2">
        <w:rPr>
          <w:rFonts w:ascii="Trebuchet MS" w:hAnsi="Trebuchet MS" w:cs="Arial"/>
          <w:sz w:val="22"/>
          <w:szCs w:val="22"/>
          <w:lang w:val="ro-RO"/>
        </w:rPr>
        <w:t>aria aferentă lucarnelor în cazul mansardelor, dacă înălțimea este mai mică de 1,80 m.</w:t>
      </w:r>
    </w:p>
    <w:p w:rsidR="000F094E" w:rsidRPr="00342FB2" w:rsidRDefault="00E56DD7" w:rsidP="00E56DD7">
      <w:pPr>
        <w:spacing w:before="120" w:after="120"/>
        <w:ind w:firstLine="709"/>
        <w:jc w:val="both"/>
        <w:rPr>
          <w:rFonts w:ascii="Trebuchet MS" w:hAnsi="Trebuchet MS" w:cs="Arial"/>
        </w:rPr>
      </w:pPr>
      <w:r w:rsidRPr="00342FB2">
        <w:rPr>
          <w:rFonts w:ascii="Trebuchet MS" w:hAnsi="Trebuchet MS" w:cs="Arial"/>
          <w:b/>
        </w:rPr>
        <w:t>(6</w:t>
      </w:r>
      <w:r w:rsidR="000F094E" w:rsidRPr="00342FB2">
        <w:rPr>
          <w:rFonts w:ascii="Trebuchet MS" w:hAnsi="Trebuchet MS" w:cs="Arial"/>
          <w:b/>
        </w:rPr>
        <w:t>)</w:t>
      </w:r>
      <w:r w:rsidR="000F094E" w:rsidRPr="00342FB2">
        <w:rPr>
          <w:rFonts w:ascii="Trebuchet MS" w:hAnsi="Trebuchet MS" w:cs="Arial"/>
        </w:rPr>
        <w:t xml:space="preserve"> Prin excepție de la prevederile alin. (1), în cazul construcțiilor existente care suferă intervenții exclusiv asupra anvelopantei clădirii, așa cum este </w:t>
      </w:r>
      <w:r w:rsidRPr="00342FB2">
        <w:rPr>
          <w:rFonts w:ascii="Trebuchet MS" w:hAnsi="Trebuchet MS" w:cs="Arial"/>
        </w:rPr>
        <w:t>aceasta definită la</w:t>
      </w:r>
      <w:r w:rsidR="000F094E" w:rsidRPr="00342FB2">
        <w:rPr>
          <w:rFonts w:ascii="Trebuchet MS" w:hAnsi="Trebuchet MS" w:cs="Arial"/>
        </w:rPr>
        <w:t xml:space="preserve"> art. 4 lit. d) din Legea nr. 153/2011</w:t>
      </w:r>
      <w:r w:rsidR="000F094E" w:rsidRPr="00342FB2">
        <w:rPr>
          <w:rFonts w:ascii="Trebuchet MS" w:hAnsi="Trebuchet MS"/>
        </w:rPr>
        <w:t xml:space="preserve"> </w:t>
      </w:r>
      <w:r w:rsidR="000F094E" w:rsidRPr="00342FB2">
        <w:rPr>
          <w:rFonts w:ascii="Trebuchet MS" w:hAnsi="Trebuchet MS" w:cs="Arial"/>
        </w:rPr>
        <w:t xml:space="preserve">privind măsuri de creştere a calităţii arhitectural-ambientale a clădirilor, cu modificările și completările ulterioare, suprafața care stă la baza calculului tarifelor prevăzute la </w:t>
      </w:r>
      <w:r w:rsidR="00042349">
        <w:rPr>
          <w:rFonts w:ascii="Trebuchet MS" w:hAnsi="Trebuchet MS" w:cs="Arial"/>
        </w:rPr>
        <w:t>art. 1 este aria elevațiilor și/</w:t>
      </w:r>
      <w:r w:rsidR="000F094E" w:rsidRPr="00342FB2">
        <w:rPr>
          <w:rFonts w:ascii="Trebuchet MS" w:hAnsi="Trebuchet MS" w:cs="Arial"/>
        </w:rPr>
        <w:t>sau învelitorii, după caz, afectată de intervenție, calculată fără luarea în calcul a</w:t>
      </w:r>
      <w:r w:rsidR="0040221E">
        <w:rPr>
          <w:rFonts w:ascii="Trebuchet MS" w:hAnsi="Trebuchet MS" w:cs="Arial"/>
        </w:rPr>
        <w:t xml:space="preserve"> ariilor prevăzute la alin. (5</w:t>
      </w:r>
      <w:r w:rsidR="000F094E" w:rsidRPr="00342FB2">
        <w:rPr>
          <w:rFonts w:ascii="Trebuchet MS" w:hAnsi="Trebuchet MS" w:cs="Arial"/>
        </w:rPr>
        <w:t xml:space="preserve">) lit. a), c) - e). </w:t>
      </w:r>
    </w:p>
    <w:p w:rsidR="00E56DD7" w:rsidRPr="00342FB2" w:rsidRDefault="00E56DD7" w:rsidP="00E56DD7">
      <w:pPr>
        <w:spacing w:before="120" w:after="120"/>
        <w:ind w:firstLine="709"/>
        <w:jc w:val="both"/>
        <w:rPr>
          <w:rFonts w:ascii="Trebuchet MS" w:hAnsi="Trebuchet MS" w:cs="Arial"/>
        </w:rPr>
      </w:pPr>
      <w:r w:rsidRPr="00342FB2">
        <w:rPr>
          <w:rFonts w:ascii="Trebuchet MS" w:hAnsi="Trebuchet MS" w:cs="Arial"/>
          <w:b/>
        </w:rPr>
        <w:t>(7)</w:t>
      </w:r>
      <w:r w:rsidRPr="00342FB2">
        <w:rPr>
          <w:rFonts w:ascii="Trebuchet MS" w:hAnsi="Trebuchet MS" w:cs="Arial"/>
        </w:rPr>
        <w:t xml:space="preserve">  Atunci când suprafețele intervențiilor supuse avizării nu sunt clar precizate în documentația prezentată spre avizare, la solicitarea emitentului avizului de specialitate se vor depune completările necesare, care să indice suprafețele care stau la baza calculului tarifului.</w:t>
      </w:r>
    </w:p>
    <w:p w:rsidR="000F094E" w:rsidRPr="00342FB2" w:rsidRDefault="000F094E" w:rsidP="000F094E">
      <w:pPr>
        <w:spacing w:after="120"/>
        <w:jc w:val="both"/>
        <w:rPr>
          <w:rFonts w:ascii="Trebuchet MS" w:hAnsi="Trebuchet MS" w:cs="Arial"/>
        </w:rPr>
      </w:pPr>
    </w:p>
    <w:p w:rsidR="007B43A9" w:rsidRDefault="007B43A9" w:rsidP="00DE4F18">
      <w:pPr>
        <w:jc w:val="both"/>
        <w:rPr>
          <w:rStyle w:val="tal1"/>
          <w:rFonts w:ascii="Trebuchet MS" w:hAnsi="Trebuchet MS" w:cs="Arial"/>
          <w:b/>
        </w:rPr>
      </w:pPr>
    </w:p>
    <w:p w:rsidR="00DD3757" w:rsidRPr="00342FB2" w:rsidRDefault="0067101B" w:rsidP="0052354C">
      <w:pPr>
        <w:ind w:firstLine="709"/>
        <w:jc w:val="both"/>
        <w:rPr>
          <w:rStyle w:val="tal1"/>
          <w:rFonts w:ascii="Trebuchet MS" w:hAnsi="Trebuchet MS" w:cs="Arial"/>
          <w:b/>
        </w:rPr>
      </w:pPr>
      <w:r w:rsidRPr="00342FB2">
        <w:rPr>
          <w:rStyle w:val="tal1"/>
          <w:rFonts w:ascii="Trebuchet MS" w:hAnsi="Trebuchet MS" w:cs="Arial"/>
          <w:b/>
        </w:rPr>
        <w:lastRenderedPageBreak/>
        <w:t>Art. II</w:t>
      </w:r>
    </w:p>
    <w:p w:rsidR="0052354C" w:rsidRPr="00342FB2" w:rsidRDefault="0052354C" w:rsidP="0052354C">
      <w:pPr>
        <w:spacing w:before="120" w:after="120" w:line="312" w:lineRule="auto"/>
        <w:ind w:firstLine="709"/>
        <w:jc w:val="both"/>
        <w:rPr>
          <w:rFonts w:ascii="Trebuchet MS" w:hAnsi="Trebuchet MS" w:cs="Arial"/>
        </w:rPr>
      </w:pPr>
      <w:r w:rsidRPr="00342FB2">
        <w:rPr>
          <w:rFonts w:ascii="Trebuchet MS" w:hAnsi="Trebuchet MS" w:cs="Arial"/>
        </w:rPr>
        <w:t>Prezentul ordin nu se aplică procedurilor de eliberarea a avizelor de specialitate în curs de soluţionare şi intră în vigoare în termen de 30 de zile de la data publicării în Monitorul Oficial al României, Partea I.</w:t>
      </w:r>
    </w:p>
    <w:p w:rsidR="0052354C" w:rsidRPr="00342FB2" w:rsidRDefault="0052354C" w:rsidP="0052354C">
      <w:pPr>
        <w:spacing w:before="120" w:after="120" w:line="312" w:lineRule="auto"/>
        <w:ind w:firstLine="709"/>
        <w:jc w:val="center"/>
        <w:rPr>
          <w:rFonts w:ascii="Trebuchet MS" w:hAnsi="Trebuchet MS" w:cs="Arial"/>
          <w:b/>
        </w:rPr>
      </w:pPr>
    </w:p>
    <w:p w:rsidR="0052354C" w:rsidRPr="00342FB2" w:rsidRDefault="00342FB2" w:rsidP="0052354C">
      <w:pPr>
        <w:spacing w:before="120" w:after="120" w:line="312" w:lineRule="auto"/>
        <w:ind w:firstLine="709"/>
        <w:jc w:val="center"/>
        <w:rPr>
          <w:rFonts w:ascii="Trebuchet MS" w:hAnsi="Trebuchet MS" w:cs="Arial"/>
          <w:b/>
        </w:rPr>
      </w:pPr>
      <w:r>
        <w:rPr>
          <w:rFonts w:ascii="Trebuchet MS" w:hAnsi="Trebuchet MS" w:cs="Arial"/>
          <w:b/>
        </w:rPr>
        <w:t>BOGDAN GHEORGHIU</w:t>
      </w:r>
    </w:p>
    <w:p w:rsidR="0052354C" w:rsidRPr="00342FB2" w:rsidRDefault="0052354C" w:rsidP="0052354C">
      <w:pPr>
        <w:spacing w:before="120" w:after="120" w:line="312" w:lineRule="auto"/>
        <w:ind w:firstLine="709"/>
        <w:jc w:val="center"/>
        <w:rPr>
          <w:rFonts w:ascii="Trebuchet MS" w:hAnsi="Trebuchet MS" w:cs="Arial"/>
          <w:b/>
        </w:rPr>
      </w:pPr>
      <w:r w:rsidRPr="00342FB2">
        <w:rPr>
          <w:rFonts w:ascii="Trebuchet MS" w:hAnsi="Trebuchet MS" w:cs="Arial"/>
          <w:b/>
        </w:rPr>
        <w:t xml:space="preserve">MINISTRUL CULTURII </w:t>
      </w:r>
    </w:p>
    <w:p w:rsidR="00342FB2" w:rsidRPr="00342FB2" w:rsidRDefault="00342FB2">
      <w:pPr>
        <w:tabs>
          <w:tab w:val="left" w:pos="567"/>
        </w:tabs>
        <w:spacing w:before="120" w:after="120" w:line="360" w:lineRule="auto"/>
        <w:ind w:firstLine="567"/>
        <w:jc w:val="both"/>
        <w:rPr>
          <w:rFonts w:ascii="Trebuchet MS" w:hAnsi="Trebuchet MS" w:cs="Arial"/>
        </w:rPr>
      </w:pPr>
      <w:bookmarkStart w:id="0" w:name="_GoBack"/>
      <w:bookmarkEnd w:id="0"/>
    </w:p>
    <w:sectPr w:rsidR="00342FB2" w:rsidRPr="00342FB2" w:rsidSect="004124B9">
      <w:pgSz w:w="11906" w:h="16838"/>
      <w:pgMar w:top="709"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ultura-RO">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76A5A"/>
    <w:multiLevelType w:val="hybridMultilevel"/>
    <w:tmpl w:val="AD2CE09A"/>
    <w:lvl w:ilvl="0" w:tplc="EF96D1EA">
      <w:start w:val="1"/>
      <w:numFmt w:val="lowerLetter"/>
      <w:lvlText w:val="%1)"/>
      <w:lvlJc w:val="left"/>
      <w:pPr>
        <w:ind w:left="720" w:hanging="360"/>
      </w:pPr>
      <w:rPr>
        <w:b/>
      </w:rPr>
    </w:lvl>
    <w:lvl w:ilvl="1" w:tplc="F3CC5CBE">
      <w:start w:val="1"/>
      <w:numFmt w:val="decimal"/>
      <w:lvlText w:val="d%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7E99127B"/>
    <w:multiLevelType w:val="hybridMultilevel"/>
    <w:tmpl w:val="78640AC4"/>
    <w:lvl w:ilvl="0" w:tplc="7A360BFC">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B0"/>
    <w:rsid w:val="00042349"/>
    <w:rsid w:val="000F094E"/>
    <w:rsid w:val="00131102"/>
    <w:rsid w:val="00195044"/>
    <w:rsid w:val="001A1E9B"/>
    <w:rsid w:val="00290136"/>
    <w:rsid w:val="002A3909"/>
    <w:rsid w:val="00334F09"/>
    <w:rsid w:val="00342FB2"/>
    <w:rsid w:val="003D0724"/>
    <w:rsid w:val="003E1EDA"/>
    <w:rsid w:val="0040221E"/>
    <w:rsid w:val="004124B9"/>
    <w:rsid w:val="0052354C"/>
    <w:rsid w:val="00545BA3"/>
    <w:rsid w:val="005D14B0"/>
    <w:rsid w:val="0067101B"/>
    <w:rsid w:val="006A69CB"/>
    <w:rsid w:val="00736A70"/>
    <w:rsid w:val="00764485"/>
    <w:rsid w:val="007A3598"/>
    <w:rsid w:val="007B43A9"/>
    <w:rsid w:val="007B5597"/>
    <w:rsid w:val="00827DDC"/>
    <w:rsid w:val="0083128C"/>
    <w:rsid w:val="008455C0"/>
    <w:rsid w:val="008C4079"/>
    <w:rsid w:val="009E758D"/>
    <w:rsid w:val="00A02389"/>
    <w:rsid w:val="00A57AAD"/>
    <w:rsid w:val="00CA1C2B"/>
    <w:rsid w:val="00D11BAA"/>
    <w:rsid w:val="00DD3757"/>
    <w:rsid w:val="00DE4F18"/>
    <w:rsid w:val="00E43FF0"/>
    <w:rsid w:val="00E56DD7"/>
    <w:rsid w:val="00EB34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5D14B0"/>
  </w:style>
  <w:style w:type="character" w:customStyle="1" w:styleId="tal1">
    <w:name w:val="tal1"/>
    <w:basedOn w:val="DefaultParagraphFont"/>
    <w:rsid w:val="006A69CB"/>
  </w:style>
  <w:style w:type="paragraph" w:styleId="BalloonText">
    <w:name w:val="Balloon Text"/>
    <w:basedOn w:val="Normal"/>
    <w:link w:val="BalloonTextChar"/>
    <w:uiPriority w:val="99"/>
    <w:semiHidden/>
    <w:unhideWhenUsed/>
    <w:rsid w:val="009E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8D"/>
    <w:rPr>
      <w:rFonts w:ascii="Tahoma" w:hAnsi="Tahoma" w:cs="Tahoma"/>
      <w:sz w:val="16"/>
      <w:szCs w:val="16"/>
    </w:rPr>
  </w:style>
  <w:style w:type="paragraph" w:styleId="ListParagraph">
    <w:name w:val="List Paragraph"/>
    <w:basedOn w:val="Normal"/>
    <w:uiPriority w:val="34"/>
    <w:qFormat/>
    <w:rsid w:val="000F094E"/>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5D14B0"/>
  </w:style>
  <w:style w:type="character" w:customStyle="1" w:styleId="tal1">
    <w:name w:val="tal1"/>
    <w:basedOn w:val="DefaultParagraphFont"/>
    <w:rsid w:val="006A69CB"/>
  </w:style>
  <w:style w:type="paragraph" w:styleId="BalloonText">
    <w:name w:val="Balloon Text"/>
    <w:basedOn w:val="Normal"/>
    <w:link w:val="BalloonTextChar"/>
    <w:uiPriority w:val="99"/>
    <w:semiHidden/>
    <w:unhideWhenUsed/>
    <w:rsid w:val="009E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58D"/>
    <w:rPr>
      <w:rFonts w:ascii="Tahoma" w:hAnsi="Tahoma" w:cs="Tahoma"/>
      <w:sz w:val="16"/>
      <w:szCs w:val="16"/>
    </w:rPr>
  </w:style>
  <w:style w:type="paragraph" w:styleId="ListParagraph">
    <w:name w:val="List Paragraph"/>
    <w:basedOn w:val="Normal"/>
    <w:uiPriority w:val="34"/>
    <w:qFormat/>
    <w:rsid w:val="000F094E"/>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8113">
      <w:bodyDiv w:val="1"/>
      <w:marLeft w:val="0"/>
      <w:marRight w:val="0"/>
      <w:marTop w:val="0"/>
      <w:marBottom w:val="0"/>
      <w:divBdr>
        <w:top w:val="none" w:sz="0" w:space="0" w:color="auto"/>
        <w:left w:val="none" w:sz="0" w:space="0" w:color="auto"/>
        <w:bottom w:val="none" w:sz="0" w:space="0" w:color="auto"/>
        <w:right w:val="none" w:sz="0" w:space="0" w:color="auto"/>
      </w:divBdr>
    </w:div>
    <w:div w:id="1586265149">
      <w:bodyDiv w:val="1"/>
      <w:marLeft w:val="0"/>
      <w:marRight w:val="0"/>
      <w:marTop w:val="0"/>
      <w:marBottom w:val="0"/>
      <w:divBdr>
        <w:top w:val="none" w:sz="0" w:space="0" w:color="auto"/>
        <w:left w:val="none" w:sz="0" w:space="0" w:color="auto"/>
        <w:bottom w:val="none" w:sz="0" w:space="0" w:color="auto"/>
        <w:right w:val="none" w:sz="0" w:space="0" w:color="auto"/>
      </w:divBdr>
    </w:div>
    <w:div w:id="2017145844">
      <w:bodyDiv w:val="1"/>
      <w:marLeft w:val="0"/>
      <w:marRight w:val="0"/>
      <w:marTop w:val="0"/>
      <w:marBottom w:val="0"/>
      <w:divBdr>
        <w:top w:val="none" w:sz="0" w:space="0" w:color="auto"/>
        <w:left w:val="none" w:sz="0" w:space="0" w:color="auto"/>
        <w:bottom w:val="none" w:sz="0" w:space="0" w:color="auto"/>
        <w:right w:val="none" w:sz="0" w:space="0" w:color="auto"/>
      </w:divBdr>
      <w:divsChild>
        <w:div w:id="708841910">
          <w:marLeft w:val="0"/>
          <w:marRight w:val="0"/>
          <w:marTop w:val="0"/>
          <w:marBottom w:val="0"/>
          <w:divBdr>
            <w:top w:val="none" w:sz="0" w:space="0" w:color="auto"/>
            <w:left w:val="none" w:sz="0" w:space="0" w:color="auto"/>
            <w:bottom w:val="none" w:sz="0" w:space="0" w:color="auto"/>
            <w:right w:val="none" w:sz="0" w:space="0" w:color="auto"/>
          </w:divBdr>
          <w:divsChild>
            <w:div w:id="779371252">
              <w:marLeft w:val="0"/>
              <w:marRight w:val="0"/>
              <w:marTop w:val="0"/>
              <w:marBottom w:val="0"/>
              <w:divBdr>
                <w:top w:val="dashed" w:sz="2" w:space="0" w:color="FFFFFF"/>
                <w:left w:val="dashed" w:sz="2" w:space="0" w:color="FFFFFF"/>
                <w:bottom w:val="dashed" w:sz="2" w:space="0" w:color="FFFFFF"/>
                <w:right w:val="dashed" w:sz="2" w:space="0" w:color="FFFFFF"/>
              </w:divBdr>
              <w:divsChild>
                <w:div w:id="953560571">
                  <w:marLeft w:val="0"/>
                  <w:marRight w:val="0"/>
                  <w:marTop w:val="0"/>
                  <w:marBottom w:val="0"/>
                  <w:divBdr>
                    <w:top w:val="dashed" w:sz="2" w:space="0" w:color="FFFFFF"/>
                    <w:left w:val="dashed" w:sz="2" w:space="0" w:color="FFFFFF"/>
                    <w:bottom w:val="dashed" w:sz="2" w:space="0" w:color="FFFFFF"/>
                    <w:right w:val="dashed" w:sz="2" w:space="0" w:color="FFFFFF"/>
                  </w:divBdr>
                </w:div>
                <w:div w:id="2139952268">
                  <w:marLeft w:val="0"/>
                  <w:marRight w:val="0"/>
                  <w:marTop w:val="0"/>
                  <w:marBottom w:val="0"/>
                  <w:divBdr>
                    <w:top w:val="dashed" w:sz="2" w:space="0" w:color="FFFFFF"/>
                    <w:left w:val="dashed" w:sz="2" w:space="0" w:color="FFFFFF"/>
                    <w:bottom w:val="dashed" w:sz="2" w:space="0" w:color="FFFFFF"/>
                    <w:right w:val="dashed" w:sz="2" w:space="0" w:color="FFFFFF"/>
                  </w:divBdr>
                </w:div>
                <w:div w:id="1377662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FE17-545C-4E1F-B1C2-9B0C83B9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761</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ComputerMC</dc:creator>
  <cp:lastModifiedBy>ComputerMC</cp:lastModifiedBy>
  <cp:revision>16</cp:revision>
  <cp:lastPrinted>2021-07-29T11:38:00Z</cp:lastPrinted>
  <dcterms:created xsi:type="dcterms:W3CDTF">2019-03-14T13:32:00Z</dcterms:created>
  <dcterms:modified xsi:type="dcterms:W3CDTF">2021-08-09T09:26:00Z</dcterms:modified>
</cp:coreProperties>
</file>