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FD48B" w14:textId="2D3FCD4F" w:rsidR="00B53735" w:rsidRDefault="00D5592A" w:rsidP="00B53735">
      <w:pPr>
        <w:jc w:val="center"/>
        <w:rPr>
          <w:b/>
          <w:bCs/>
          <w:color w:val="0070C0"/>
          <w:sz w:val="32"/>
          <w:szCs w:val="32"/>
          <w:u w:val="single"/>
          <w:lang w:val="ro-RO"/>
        </w:rPr>
      </w:pPr>
      <w:r>
        <w:rPr>
          <w:b/>
          <w:bCs/>
          <w:color w:val="0070C0"/>
          <w:sz w:val="32"/>
          <w:szCs w:val="32"/>
          <w:u w:val="single"/>
          <w:lang w:val="ro-RO"/>
        </w:rPr>
        <w:t xml:space="preserve">CSALB: </w:t>
      </w:r>
      <w:r w:rsidR="00B53735" w:rsidRPr="00B53735">
        <w:rPr>
          <w:b/>
          <w:bCs/>
          <w:color w:val="0070C0"/>
          <w:sz w:val="32"/>
          <w:szCs w:val="32"/>
          <w:u w:val="single"/>
          <w:lang w:val="ro-RO"/>
        </w:rPr>
        <w:t>Negociere</w:t>
      </w:r>
      <w:r>
        <w:rPr>
          <w:b/>
          <w:bCs/>
          <w:color w:val="0070C0"/>
          <w:sz w:val="32"/>
          <w:szCs w:val="32"/>
          <w:u w:val="single"/>
          <w:lang w:val="ro-RO"/>
        </w:rPr>
        <w:t>a este mai eficientă decât</w:t>
      </w:r>
      <w:r w:rsidR="00B53735" w:rsidRPr="00B53735">
        <w:rPr>
          <w:b/>
          <w:bCs/>
          <w:color w:val="0070C0"/>
          <w:sz w:val="32"/>
          <w:szCs w:val="32"/>
          <w:u w:val="single"/>
          <w:lang w:val="ro-RO"/>
        </w:rPr>
        <w:t xml:space="preserve"> procesel</w:t>
      </w:r>
      <w:r>
        <w:rPr>
          <w:b/>
          <w:bCs/>
          <w:color w:val="0070C0"/>
          <w:sz w:val="32"/>
          <w:szCs w:val="32"/>
          <w:u w:val="single"/>
          <w:lang w:val="ro-RO"/>
        </w:rPr>
        <w:t>e</w:t>
      </w:r>
      <w:r w:rsidR="00B53735" w:rsidRPr="00B53735">
        <w:rPr>
          <w:b/>
          <w:bCs/>
          <w:color w:val="0070C0"/>
          <w:sz w:val="32"/>
          <w:szCs w:val="32"/>
          <w:u w:val="single"/>
          <w:lang w:val="ro-RO"/>
        </w:rPr>
        <w:t xml:space="preserve"> și </w:t>
      </w:r>
      <w:r>
        <w:rPr>
          <w:b/>
          <w:bCs/>
          <w:color w:val="0070C0"/>
          <w:sz w:val="32"/>
          <w:szCs w:val="32"/>
          <w:u w:val="single"/>
          <w:lang w:val="ro-RO"/>
        </w:rPr>
        <w:t xml:space="preserve">darea </w:t>
      </w:r>
      <w:r w:rsidR="00B53735" w:rsidRPr="00B53735">
        <w:rPr>
          <w:b/>
          <w:bCs/>
          <w:color w:val="0070C0"/>
          <w:sz w:val="32"/>
          <w:szCs w:val="32"/>
          <w:u w:val="single"/>
          <w:lang w:val="ro-RO"/>
        </w:rPr>
        <w:t xml:space="preserve">în </w:t>
      </w:r>
      <w:r w:rsidR="00B53735">
        <w:rPr>
          <w:b/>
          <w:bCs/>
          <w:color w:val="0070C0"/>
          <w:sz w:val="32"/>
          <w:szCs w:val="32"/>
          <w:u w:val="single"/>
          <w:lang w:val="ro-RO"/>
        </w:rPr>
        <w:t>p</w:t>
      </w:r>
      <w:r w:rsidR="00B53735" w:rsidRPr="00B53735">
        <w:rPr>
          <w:b/>
          <w:bCs/>
          <w:color w:val="0070C0"/>
          <w:sz w:val="32"/>
          <w:szCs w:val="32"/>
          <w:u w:val="single"/>
          <w:lang w:val="ro-RO"/>
        </w:rPr>
        <w:t>lată</w:t>
      </w:r>
    </w:p>
    <w:p w14:paraId="135BFB8F" w14:textId="77777777" w:rsidR="00E96C27" w:rsidRDefault="00E96C27" w:rsidP="00123213">
      <w:pPr>
        <w:jc w:val="both"/>
        <w:rPr>
          <w:b/>
          <w:bCs/>
          <w:lang w:val="ro-RO"/>
        </w:rPr>
      </w:pPr>
    </w:p>
    <w:p w14:paraId="7C109C1F" w14:textId="5C35B48A" w:rsidR="00232A61" w:rsidRDefault="00D158A6" w:rsidP="00123213">
      <w:pPr>
        <w:jc w:val="both"/>
        <w:rPr>
          <w:lang w:val="ro-RO"/>
        </w:rPr>
      </w:pPr>
      <w:r w:rsidRPr="00F65476">
        <w:rPr>
          <w:b/>
          <w:bCs/>
          <w:lang w:val="ro-RO"/>
        </w:rPr>
        <w:t>31 august, București</w:t>
      </w:r>
      <w:r w:rsidRPr="00D158A6">
        <w:rPr>
          <w:lang w:val="ro-RO"/>
        </w:rPr>
        <w:t>. Peste 20 de</w:t>
      </w:r>
      <w:r w:rsidR="00D7779F">
        <w:rPr>
          <w:lang w:val="ro-RO"/>
        </w:rPr>
        <w:t xml:space="preserve"> procese au încetat anul acesta deoarece băncile și consumatorii</w:t>
      </w:r>
      <w:r w:rsidRPr="00D158A6">
        <w:rPr>
          <w:lang w:val="ro-RO"/>
        </w:rPr>
        <w:t xml:space="preserve"> </w:t>
      </w:r>
      <w:r w:rsidR="00D7779F">
        <w:rPr>
          <w:lang w:val="ro-RO"/>
        </w:rPr>
        <w:t xml:space="preserve">au decis să-și rezolve problemele prin negociere, în cadrul </w:t>
      </w:r>
      <w:r>
        <w:rPr>
          <w:b/>
          <w:bCs/>
          <w:lang w:val="ro-RO"/>
        </w:rPr>
        <w:t>Centrul</w:t>
      </w:r>
      <w:r w:rsidR="00D7779F">
        <w:rPr>
          <w:b/>
          <w:bCs/>
          <w:lang w:val="ro-RO"/>
        </w:rPr>
        <w:t>ui</w:t>
      </w:r>
      <w:r>
        <w:rPr>
          <w:b/>
          <w:bCs/>
          <w:lang w:val="ro-RO"/>
        </w:rPr>
        <w:t xml:space="preserve"> de Soluționare Alternativă a Litigiilor în domeniul Bancar (CSALB). </w:t>
      </w:r>
      <w:r w:rsidRPr="00157FC3">
        <w:rPr>
          <w:lang w:val="ro-RO"/>
        </w:rPr>
        <w:t xml:space="preserve">În timp ce majoritatea cererilor de conciliere </w:t>
      </w:r>
      <w:r w:rsidR="004D6559">
        <w:rPr>
          <w:lang w:val="ro-RO"/>
        </w:rPr>
        <w:t>au ca obiectiv</w:t>
      </w:r>
      <w:r w:rsidR="004A1C48">
        <w:rPr>
          <w:lang w:val="ro-RO"/>
        </w:rPr>
        <w:t xml:space="preserve"> soluționarea unui diferend prin</w:t>
      </w:r>
      <w:r w:rsidR="004D6559">
        <w:rPr>
          <w:lang w:val="ro-RO"/>
        </w:rPr>
        <w:t xml:space="preserve"> </w:t>
      </w:r>
      <w:r w:rsidRPr="00157FC3">
        <w:rPr>
          <w:lang w:val="ro-RO"/>
        </w:rPr>
        <w:t>evitarea proces</w:t>
      </w:r>
      <w:r w:rsidR="004D6559">
        <w:rPr>
          <w:lang w:val="ro-RO"/>
        </w:rPr>
        <w:t>elor</w:t>
      </w:r>
      <w:r w:rsidRPr="00157FC3">
        <w:rPr>
          <w:lang w:val="ro-RO"/>
        </w:rPr>
        <w:t xml:space="preserve">, </w:t>
      </w:r>
      <w:r w:rsidR="00F812A3">
        <w:rPr>
          <w:lang w:val="ro-RO"/>
        </w:rPr>
        <w:t xml:space="preserve">mai multe cazuri și-au </w:t>
      </w:r>
      <w:r w:rsidRPr="00157FC3">
        <w:rPr>
          <w:lang w:val="ro-RO"/>
        </w:rPr>
        <w:t>găs</w:t>
      </w:r>
      <w:r w:rsidR="00F812A3">
        <w:rPr>
          <w:lang w:val="ro-RO"/>
        </w:rPr>
        <w:t>it</w:t>
      </w:r>
      <w:r w:rsidRPr="00157FC3">
        <w:rPr>
          <w:lang w:val="ro-RO"/>
        </w:rPr>
        <w:t xml:space="preserve"> rezolvarea </w:t>
      </w:r>
      <w:r w:rsidR="00D7779F">
        <w:rPr>
          <w:lang w:val="ro-RO"/>
        </w:rPr>
        <w:t>anul acesta</w:t>
      </w:r>
      <w:r w:rsidR="00232A61">
        <w:rPr>
          <w:lang w:val="ro-RO"/>
        </w:rPr>
        <w:t xml:space="preserve"> </w:t>
      </w:r>
      <w:r w:rsidRPr="00157FC3">
        <w:rPr>
          <w:lang w:val="ro-RO"/>
        </w:rPr>
        <w:t>după începerea procedurilor judiciare</w:t>
      </w:r>
      <w:r w:rsidR="004D6559">
        <w:rPr>
          <w:lang w:val="ro-RO"/>
        </w:rPr>
        <w:t xml:space="preserve">. </w:t>
      </w:r>
      <w:r w:rsidR="00CA2187">
        <w:rPr>
          <w:lang w:val="ro-RO"/>
        </w:rPr>
        <w:t>Un</w:t>
      </w:r>
      <w:r w:rsidR="00B33D12">
        <w:rPr>
          <w:lang w:val="ro-RO"/>
        </w:rPr>
        <w:t xml:space="preserve"> astfel de exemplu </w:t>
      </w:r>
      <w:r w:rsidR="00CA2187">
        <w:rPr>
          <w:lang w:val="ro-RO"/>
        </w:rPr>
        <w:t xml:space="preserve">este un dosar de dare în plată pentru trei credite diferite care, după aproape 5 ani petrecuți în instanță, și-a găsit rezolvarea prin negociere, în doar câteva luni. </w:t>
      </w:r>
    </w:p>
    <w:p w14:paraId="24425510" w14:textId="77777777" w:rsidR="00181916" w:rsidRPr="00F65476" w:rsidRDefault="00F65476" w:rsidP="00181916">
      <w:pPr>
        <w:spacing w:line="240" w:lineRule="auto"/>
        <w:jc w:val="both"/>
        <w:rPr>
          <w:b/>
          <w:bCs/>
          <w:lang w:val="ro-RO"/>
        </w:rPr>
      </w:pPr>
      <w:r w:rsidRPr="00F65476">
        <w:rPr>
          <w:b/>
          <w:bCs/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 wp14:anchorId="1DB1ED76" wp14:editId="4DEF93FE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1158240" cy="1158240"/>
            <wp:effectExtent l="0" t="0" r="3810" b="3810"/>
            <wp:wrapSquare wrapText="bothSides"/>
            <wp:docPr id="3" name="Picture 3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long hair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916" w:rsidRPr="00F65476">
        <w:rPr>
          <w:b/>
          <w:bCs/>
          <w:lang w:val="ro-RO"/>
        </w:rPr>
        <w:t xml:space="preserve">Dan Cristina Mihaela, </w:t>
      </w:r>
      <w:r>
        <w:rPr>
          <w:b/>
          <w:bCs/>
          <w:lang w:val="ro-RO"/>
        </w:rPr>
        <w:t>consumator</w:t>
      </w:r>
      <w:r w:rsidR="009F59B6">
        <w:rPr>
          <w:b/>
          <w:bCs/>
          <w:lang w:val="ro-RO"/>
        </w:rPr>
        <w:t xml:space="preserve"> din </w:t>
      </w:r>
      <w:r w:rsidR="00181916" w:rsidRPr="00F65476">
        <w:rPr>
          <w:b/>
          <w:bCs/>
          <w:lang w:val="ro-RO"/>
        </w:rPr>
        <w:t>București</w:t>
      </w:r>
    </w:p>
    <w:p w14:paraId="1FC60DC6" w14:textId="388ACBA1" w:rsidR="00181916" w:rsidRPr="00361019" w:rsidRDefault="00462DD6" w:rsidP="00181916">
      <w:pPr>
        <w:spacing w:line="240" w:lineRule="auto"/>
        <w:jc w:val="both"/>
        <w:rPr>
          <w:i/>
          <w:iCs/>
          <w:lang w:val="ro-RO"/>
        </w:rPr>
      </w:pPr>
      <w:r>
        <w:rPr>
          <w:i/>
          <w:iCs/>
        </w:rPr>
        <w:t>„</w:t>
      </w:r>
      <w:r w:rsidR="00181916" w:rsidRPr="00361019">
        <w:rPr>
          <w:i/>
          <w:iCs/>
          <w:lang w:val="ro-RO"/>
        </w:rPr>
        <w:t xml:space="preserve">Povestea, pe scurt, este că am avut dosar de dare </w:t>
      </w:r>
      <w:r w:rsidR="002A2F23" w:rsidRPr="00361019">
        <w:rPr>
          <w:i/>
          <w:iCs/>
          <w:lang w:val="ro-RO"/>
        </w:rPr>
        <w:t>î</w:t>
      </w:r>
      <w:r w:rsidR="00181916" w:rsidRPr="00361019">
        <w:rPr>
          <w:i/>
          <w:iCs/>
          <w:lang w:val="ro-RO"/>
        </w:rPr>
        <w:t>n plat</w:t>
      </w:r>
      <w:r w:rsidR="002A2F23" w:rsidRPr="00361019">
        <w:rPr>
          <w:i/>
          <w:iCs/>
          <w:lang w:val="ro-RO"/>
        </w:rPr>
        <w:t>ă</w:t>
      </w:r>
      <w:r w:rsidR="00181916" w:rsidRPr="00361019">
        <w:rPr>
          <w:i/>
          <w:iCs/>
          <w:lang w:val="ro-RO"/>
        </w:rPr>
        <w:t xml:space="preserve"> pentru trei credite diferite, la aceeași bancă. După ce am făcut not</w:t>
      </w:r>
      <w:r w:rsidR="006A3483">
        <w:rPr>
          <w:i/>
          <w:iCs/>
          <w:lang w:val="ro-RO"/>
        </w:rPr>
        <w:t>i</w:t>
      </w:r>
      <w:r w:rsidR="00181916" w:rsidRPr="00361019">
        <w:rPr>
          <w:i/>
          <w:iCs/>
          <w:lang w:val="ro-RO"/>
        </w:rPr>
        <w:t>ficarea de dare în plată, banca a intentat acțiune în instanță. Din fericire, sfârșitul a fost foarte bun. Nu m-am adresat b</w:t>
      </w:r>
      <w:r w:rsidR="002A2F23" w:rsidRPr="00361019">
        <w:rPr>
          <w:i/>
          <w:iCs/>
          <w:lang w:val="ro-RO"/>
        </w:rPr>
        <w:t>ă</w:t>
      </w:r>
      <w:r w:rsidR="00181916" w:rsidRPr="00361019">
        <w:rPr>
          <w:i/>
          <w:iCs/>
          <w:lang w:val="ro-RO"/>
        </w:rPr>
        <w:t xml:space="preserve">ncii pentru negociere, nici nu </w:t>
      </w:r>
      <w:r w:rsidR="002A2F23" w:rsidRPr="00361019">
        <w:rPr>
          <w:i/>
          <w:iCs/>
          <w:lang w:val="ro-RO"/>
        </w:rPr>
        <w:t>credeam</w:t>
      </w:r>
      <w:r w:rsidR="00181916" w:rsidRPr="00361019">
        <w:rPr>
          <w:i/>
          <w:iCs/>
          <w:lang w:val="ro-RO"/>
        </w:rPr>
        <w:t xml:space="preserve"> că un consumator </w:t>
      </w:r>
      <w:r w:rsidR="002A2F23" w:rsidRPr="00361019">
        <w:rPr>
          <w:i/>
          <w:iCs/>
          <w:lang w:val="ro-RO"/>
        </w:rPr>
        <w:t xml:space="preserve">chiar poate rezolva astfel. </w:t>
      </w:r>
      <w:r w:rsidR="00181916" w:rsidRPr="00361019">
        <w:rPr>
          <w:i/>
          <w:iCs/>
          <w:lang w:val="ro-RO"/>
        </w:rPr>
        <w:t>În schimb, am aflat de CSALB, pentru că începusem să mă documentez despre soluțiile pe care le aveam. După ce am citit în media și mi-am întrebat cunoștințele, am dat de acest Centru. La momentul acela, avocații care mă reprezentau în instanță m-au descurajat. Spuneau că niciodată nu va accepta banca o negociere într-un astfel de caz. Însă, creditor</w:t>
      </w:r>
      <w:r w:rsidR="004A1C48">
        <w:rPr>
          <w:i/>
          <w:iCs/>
          <w:lang w:val="ro-RO"/>
        </w:rPr>
        <w:t>ul</w:t>
      </w:r>
      <w:r w:rsidR="00181916" w:rsidRPr="00361019">
        <w:rPr>
          <w:i/>
          <w:iCs/>
          <w:lang w:val="ro-RO"/>
        </w:rPr>
        <w:t xml:space="preserve"> s-a dovedit a fi foarte </w:t>
      </w:r>
      <w:r w:rsidR="004A1C48" w:rsidRPr="00361019">
        <w:rPr>
          <w:i/>
          <w:iCs/>
          <w:lang w:val="ro-RO"/>
        </w:rPr>
        <w:t>dispu</w:t>
      </w:r>
      <w:r w:rsidR="004A1C48">
        <w:rPr>
          <w:i/>
          <w:iCs/>
          <w:lang w:val="ro-RO"/>
        </w:rPr>
        <w:t>s</w:t>
      </w:r>
      <w:r w:rsidR="004A1C48" w:rsidRPr="00361019">
        <w:rPr>
          <w:i/>
          <w:iCs/>
          <w:lang w:val="ro-RO"/>
        </w:rPr>
        <w:t xml:space="preserve"> </w:t>
      </w:r>
      <w:r w:rsidR="00181916" w:rsidRPr="00361019">
        <w:rPr>
          <w:i/>
          <w:iCs/>
          <w:lang w:val="ro-RO"/>
        </w:rPr>
        <w:t>să terminăm litigiile.</w:t>
      </w:r>
    </w:p>
    <w:p w14:paraId="0C0B18EF" w14:textId="77777777" w:rsidR="00181916" w:rsidRPr="00361019" w:rsidRDefault="00181916" w:rsidP="00181916">
      <w:pPr>
        <w:spacing w:line="240" w:lineRule="auto"/>
        <w:jc w:val="both"/>
        <w:rPr>
          <w:i/>
          <w:iCs/>
          <w:lang w:val="ro-RO"/>
        </w:rPr>
      </w:pPr>
      <w:r w:rsidRPr="00361019">
        <w:rPr>
          <w:i/>
          <w:iCs/>
          <w:lang w:val="ro-RO"/>
        </w:rPr>
        <w:t>Când am mers la bancă</w:t>
      </w:r>
      <w:r w:rsidR="004A1C48">
        <w:rPr>
          <w:i/>
          <w:iCs/>
          <w:lang w:val="ro-RO"/>
        </w:rPr>
        <w:t>,</w:t>
      </w:r>
      <w:r w:rsidRPr="00361019">
        <w:rPr>
          <w:i/>
          <w:iCs/>
          <w:lang w:val="ro-RO"/>
        </w:rPr>
        <w:t xml:space="preserve"> oamenii de acolo </w:t>
      </w:r>
      <w:r w:rsidR="00235CF6" w:rsidRPr="00361019">
        <w:rPr>
          <w:i/>
          <w:iCs/>
          <w:lang w:val="ro-RO"/>
        </w:rPr>
        <w:t>mi</w:t>
      </w:r>
      <w:r w:rsidRPr="00361019">
        <w:rPr>
          <w:i/>
          <w:iCs/>
          <w:lang w:val="ro-RO"/>
        </w:rPr>
        <w:t>-au recomandat și ei CSALB din prima clipă. Mi-a</w:t>
      </w:r>
      <w:r w:rsidR="00235CF6" w:rsidRPr="00361019">
        <w:rPr>
          <w:i/>
          <w:iCs/>
          <w:lang w:val="ro-RO"/>
        </w:rPr>
        <w:t>u</w:t>
      </w:r>
      <w:r w:rsidRPr="00361019">
        <w:rPr>
          <w:i/>
          <w:iCs/>
          <w:lang w:val="ro-RO"/>
        </w:rPr>
        <w:t xml:space="preserve"> spus că putem rezolva repede și gratuit pentru mine. Am terminat trei dosare diferite în mai puț</w:t>
      </w:r>
      <w:bookmarkStart w:id="0" w:name="_GoBack"/>
      <w:bookmarkEnd w:id="0"/>
      <w:r w:rsidRPr="00361019">
        <w:rPr>
          <w:i/>
          <w:iCs/>
          <w:lang w:val="ro-RO"/>
        </w:rPr>
        <w:t>in de șase luni. Drept vorbind, nici nu știu care ar fi fost soarta lor</w:t>
      </w:r>
      <w:r w:rsidR="004A1C48">
        <w:rPr>
          <w:i/>
          <w:iCs/>
          <w:lang w:val="ro-RO"/>
        </w:rPr>
        <w:t xml:space="preserve"> dacă ar fi fost soluționate în instanță</w:t>
      </w:r>
      <w:r w:rsidRPr="00361019">
        <w:rPr>
          <w:i/>
          <w:iCs/>
          <w:lang w:val="ro-RO"/>
        </w:rPr>
        <w:t>.</w:t>
      </w:r>
    </w:p>
    <w:p w14:paraId="20C83E8D" w14:textId="201FB598" w:rsidR="00181916" w:rsidRPr="00361019" w:rsidRDefault="00181916" w:rsidP="00181916">
      <w:pPr>
        <w:spacing w:line="240" w:lineRule="auto"/>
        <w:jc w:val="both"/>
        <w:rPr>
          <w:i/>
          <w:iCs/>
          <w:lang w:val="ro-RO"/>
        </w:rPr>
      </w:pPr>
      <w:r w:rsidRPr="00361019">
        <w:rPr>
          <w:i/>
          <w:iCs/>
          <w:lang w:val="ro-RO"/>
        </w:rPr>
        <w:t xml:space="preserve">Într-un final </w:t>
      </w:r>
      <w:r w:rsidRPr="001C228D">
        <w:rPr>
          <w:b/>
          <w:bCs/>
          <w:i/>
          <w:iCs/>
          <w:lang w:val="ro-RO"/>
        </w:rPr>
        <w:t>am obținut restructurarea creditelor, comasarea lor, eliminarea unor comisioane, o rată mai mică, nu am mai fost supusă penalităților de neplată a ratelor din ultimii cinci ani, am scăpat de procese. Plus o reducere de aproximativ 10.000 de euro a datoriei</w:t>
      </w:r>
      <w:r w:rsidRPr="00361019">
        <w:rPr>
          <w:i/>
          <w:iCs/>
          <w:lang w:val="ro-RO"/>
        </w:rPr>
        <w:t>. M-a bucurat și disponibilitatea oamenilor din bancă  de a rezolva problema. Faptul că mi-au acceptat cerințe pe care, foarte ușor mi le-ar fi putut respinge. E interesant că nu am reușit cu case mari de avocatură ce am reușit prin CSALB. Am citit apoi și despre alte cazuri de oameni care și-au rezolvat problema. Mai sunt speranțe ca lucrurile să m</w:t>
      </w:r>
      <w:r w:rsidR="00462DD6">
        <w:rPr>
          <w:i/>
          <w:iCs/>
          <w:lang w:val="ro-RO"/>
        </w:rPr>
        <w:t>eargă foarte bine și în România</w:t>
      </w:r>
      <w:r w:rsidR="00361019">
        <w:rPr>
          <w:i/>
          <w:iCs/>
          <w:lang w:val="ro-RO"/>
        </w:rPr>
        <w:t>”</w:t>
      </w:r>
      <w:r w:rsidR="00462DD6">
        <w:rPr>
          <w:i/>
          <w:iCs/>
          <w:lang w:val="ro-RO"/>
        </w:rPr>
        <w:t>.</w:t>
      </w:r>
    </w:p>
    <w:p w14:paraId="3D1463C4" w14:textId="77777777" w:rsidR="003D6C93" w:rsidRPr="003D6C93" w:rsidRDefault="003A0949" w:rsidP="00123213">
      <w:pPr>
        <w:jc w:val="both"/>
        <w:rPr>
          <w:b/>
          <w:bCs/>
        </w:rPr>
      </w:pPr>
      <w:r w:rsidRPr="003D6C93">
        <w:rPr>
          <w:b/>
          <w:bCs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7B0D6617" wp14:editId="4C1272FF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059180" cy="1588770"/>
            <wp:effectExtent l="0" t="0" r="7620" b="0"/>
            <wp:wrapTight wrapText="bothSides">
              <wp:wrapPolygon edited="0">
                <wp:start x="0" y="0"/>
                <wp:lineTo x="0" y="21237"/>
                <wp:lineTo x="21367" y="21237"/>
                <wp:lineTo x="21367" y="0"/>
                <wp:lineTo x="0" y="0"/>
              </wp:wrapPolygon>
            </wp:wrapTight>
            <wp:docPr id="6" name="Picture 6" descr="A person in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sui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D6C93" w:rsidRPr="003D6C93">
        <w:rPr>
          <w:b/>
          <w:bCs/>
        </w:rPr>
        <w:t>Alexandru</w:t>
      </w:r>
      <w:proofErr w:type="spellEnd"/>
      <w:r w:rsidR="003D6C93" w:rsidRPr="003D6C93">
        <w:rPr>
          <w:b/>
          <w:bCs/>
        </w:rPr>
        <w:t xml:space="preserve"> </w:t>
      </w:r>
      <w:r w:rsidR="003D6C93" w:rsidRPr="003D6C93">
        <w:rPr>
          <w:b/>
          <w:bCs/>
          <w:lang w:val="ro-RO"/>
        </w:rPr>
        <w:t>Păunescu, Președintele Colegiului de Coordonare al CSALB</w:t>
      </w:r>
      <w:r w:rsidR="003D6C93" w:rsidRPr="003D6C93">
        <w:rPr>
          <w:b/>
          <w:bCs/>
        </w:rPr>
        <w:t xml:space="preserve"> </w:t>
      </w:r>
    </w:p>
    <w:p w14:paraId="5244270D" w14:textId="30BE167C" w:rsidR="00D158A6" w:rsidRPr="00F6231F" w:rsidRDefault="00462DD6" w:rsidP="00123213">
      <w:pPr>
        <w:jc w:val="both"/>
        <w:rPr>
          <w:b/>
          <w:bCs/>
          <w:lang w:val="ro-RO"/>
        </w:rPr>
      </w:pPr>
      <w:r>
        <w:rPr>
          <w:i/>
          <w:iCs/>
        </w:rPr>
        <w:t>„</w:t>
      </w:r>
      <w:r w:rsidR="00232A61" w:rsidRPr="00F6231F">
        <w:rPr>
          <w:i/>
          <w:iCs/>
          <w:lang w:val="ro-RO"/>
        </w:rPr>
        <w:t>Asistăm la un trend care</w:t>
      </w:r>
      <w:r w:rsidR="004A65D6">
        <w:rPr>
          <w:i/>
          <w:iCs/>
          <w:lang w:val="ro-RO"/>
        </w:rPr>
        <w:t xml:space="preserve">, putem spune, </w:t>
      </w:r>
      <w:r w:rsidR="00232A61" w:rsidRPr="00F6231F">
        <w:rPr>
          <w:i/>
          <w:iCs/>
          <w:lang w:val="ro-RO"/>
        </w:rPr>
        <w:t xml:space="preserve">este benefic și instanțelor, nu doar părților aflate în proces. Este vorba de cazurile în care litigiile </w:t>
      </w:r>
      <w:r w:rsidR="00316200">
        <w:rPr>
          <w:i/>
          <w:iCs/>
          <w:lang w:val="ro-RO"/>
        </w:rPr>
        <w:t>di</w:t>
      </w:r>
      <w:r w:rsidR="00232A61" w:rsidRPr="00F6231F">
        <w:rPr>
          <w:i/>
          <w:iCs/>
          <w:lang w:val="ro-RO"/>
        </w:rPr>
        <w:t xml:space="preserve">ntre consumatori și bănci, unele vechi de câțiva ani, </w:t>
      </w:r>
      <w:r w:rsidR="002E16FF">
        <w:rPr>
          <w:i/>
          <w:iCs/>
          <w:lang w:val="ro-RO"/>
        </w:rPr>
        <w:t xml:space="preserve">iar altele abia începute, </w:t>
      </w:r>
      <w:r w:rsidR="00232A61" w:rsidRPr="00F6231F">
        <w:rPr>
          <w:i/>
          <w:iCs/>
          <w:lang w:val="ro-RO"/>
        </w:rPr>
        <w:t>se rezolvă amiabil în cadrul negocierilor derulate la CSALB. Încep să apară și cazuri de soluționare amiabilă a cererilor de dare în plată. Este evident că oamenii nu vor să își piardă locuințele</w:t>
      </w:r>
      <w:r w:rsidR="004A65D6">
        <w:rPr>
          <w:i/>
          <w:iCs/>
          <w:lang w:val="ro-RO"/>
        </w:rPr>
        <w:t>, mul</w:t>
      </w:r>
      <w:r w:rsidR="00354277">
        <w:rPr>
          <w:i/>
          <w:iCs/>
          <w:lang w:val="ro-RO"/>
        </w:rPr>
        <w:t>ți</w:t>
      </w:r>
      <w:r w:rsidR="004A65D6">
        <w:rPr>
          <w:i/>
          <w:iCs/>
          <w:lang w:val="ro-RO"/>
        </w:rPr>
        <w:t xml:space="preserve"> dintre ei </w:t>
      </w:r>
      <w:r w:rsidR="007A596C">
        <w:rPr>
          <w:i/>
          <w:iCs/>
          <w:lang w:val="ro-RO"/>
        </w:rPr>
        <w:t>ș</w:t>
      </w:r>
      <w:r w:rsidR="004A65D6">
        <w:rPr>
          <w:i/>
          <w:iCs/>
          <w:lang w:val="ro-RO"/>
        </w:rPr>
        <w:t xml:space="preserve">i-au rezolvat problemele financiare din trecut </w:t>
      </w:r>
      <w:r w:rsidR="007A596C">
        <w:rPr>
          <w:i/>
          <w:iCs/>
          <w:lang w:val="ro-RO"/>
        </w:rPr>
        <w:t>ș</w:t>
      </w:r>
      <w:r w:rsidR="004A65D6">
        <w:rPr>
          <w:i/>
          <w:iCs/>
          <w:lang w:val="ro-RO"/>
        </w:rPr>
        <w:t>i vor s</w:t>
      </w:r>
      <w:r w:rsidR="007A596C">
        <w:rPr>
          <w:i/>
          <w:iCs/>
          <w:lang w:val="ro-RO"/>
        </w:rPr>
        <w:t>ă</w:t>
      </w:r>
      <w:r w:rsidR="004A65D6">
        <w:rPr>
          <w:i/>
          <w:iCs/>
          <w:lang w:val="ro-RO"/>
        </w:rPr>
        <w:t xml:space="preserve"> reintre într-o relație echitabilă cu banca. Din fericire, compromisurile făcute în</w:t>
      </w:r>
      <w:r w:rsidR="003F6E9E">
        <w:rPr>
          <w:i/>
          <w:iCs/>
          <w:lang w:val="ro-RO"/>
        </w:rPr>
        <w:t xml:space="preserve"> urma</w:t>
      </w:r>
      <w:r w:rsidR="004A65D6">
        <w:rPr>
          <w:i/>
          <w:iCs/>
          <w:lang w:val="ro-RO"/>
        </w:rPr>
        <w:t xml:space="preserve"> negocieril</w:t>
      </w:r>
      <w:r w:rsidR="003F6E9E">
        <w:rPr>
          <w:i/>
          <w:iCs/>
          <w:lang w:val="ro-RO"/>
        </w:rPr>
        <w:t>or</w:t>
      </w:r>
      <w:r w:rsidR="004A65D6">
        <w:rPr>
          <w:i/>
          <w:iCs/>
          <w:lang w:val="ro-RO"/>
        </w:rPr>
        <w:t xml:space="preserve"> </w:t>
      </w:r>
      <w:r w:rsidR="00CD01B1">
        <w:rPr>
          <w:i/>
          <w:iCs/>
          <w:lang w:val="ro-RO"/>
        </w:rPr>
        <w:t xml:space="preserve">purtate la CSALB </w:t>
      </w:r>
      <w:r w:rsidR="001D4C7D">
        <w:rPr>
          <w:i/>
          <w:iCs/>
          <w:lang w:val="ro-RO"/>
        </w:rPr>
        <w:t>sunt</w:t>
      </w:r>
      <w:r w:rsidR="004A65D6">
        <w:rPr>
          <w:i/>
          <w:iCs/>
          <w:lang w:val="ro-RO"/>
        </w:rPr>
        <w:t xml:space="preserve"> avantajoase financiar.</w:t>
      </w:r>
      <w:r w:rsidR="00354277">
        <w:rPr>
          <w:i/>
          <w:iCs/>
          <w:lang w:val="ro-RO"/>
        </w:rPr>
        <w:t xml:space="preserve"> </w:t>
      </w:r>
      <w:r w:rsidR="00CD01B1" w:rsidRPr="00C50F34">
        <w:rPr>
          <w:i/>
          <w:iCs/>
          <w:lang w:val="ro-RO"/>
        </w:rPr>
        <w:t xml:space="preserve">Ținând cont de clarificările termenului de impreviziune </w:t>
      </w:r>
      <w:r w:rsidR="00CD01B1">
        <w:rPr>
          <w:i/>
          <w:iCs/>
          <w:lang w:val="ro-RO"/>
        </w:rPr>
        <w:t>acceptate</w:t>
      </w:r>
      <w:r w:rsidR="00CD01B1" w:rsidRPr="00C50F34">
        <w:rPr>
          <w:i/>
          <w:iCs/>
          <w:lang w:val="ro-RO"/>
        </w:rPr>
        <w:t xml:space="preserve"> de CCR </w:t>
      </w:r>
      <w:r w:rsidR="00CD01B1">
        <w:rPr>
          <w:i/>
          <w:iCs/>
          <w:lang w:val="ro-RO"/>
        </w:rPr>
        <w:t>ca fiind constituționale</w:t>
      </w:r>
      <w:r w:rsidR="00CD01B1" w:rsidRPr="00C50F34">
        <w:rPr>
          <w:i/>
          <w:iCs/>
          <w:lang w:val="ro-RO"/>
        </w:rPr>
        <w:t xml:space="preserve">, </w:t>
      </w:r>
      <w:r w:rsidR="001D4C7D">
        <w:rPr>
          <w:i/>
          <w:iCs/>
          <w:lang w:val="ro-RO"/>
        </w:rPr>
        <w:t>recomandăm</w:t>
      </w:r>
      <w:r w:rsidR="00CD01B1" w:rsidRPr="00C50F34">
        <w:rPr>
          <w:i/>
          <w:iCs/>
          <w:lang w:val="ro-RO"/>
        </w:rPr>
        <w:t xml:space="preserve"> băncil</w:t>
      </w:r>
      <w:r w:rsidR="001D4C7D">
        <w:rPr>
          <w:i/>
          <w:iCs/>
          <w:lang w:val="ro-RO"/>
        </w:rPr>
        <w:t>or</w:t>
      </w:r>
      <w:r w:rsidR="00CD01B1" w:rsidRPr="00C50F34">
        <w:rPr>
          <w:i/>
          <w:iCs/>
          <w:lang w:val="ro-RO"/>
        </w:rPr>
        <w:t xml:space="preserve"> să fie mai deschise față de solicitările de reechilibrare a contractelor formulate de către consumatori</w:t>
      </w:r>
      <w:r w:rsidR="00CD01B1">
        <w:rPr>
          <w:i/>
          <w:iCs/>
          <w:lang w:val="ro-RO"/>
        </w:rPr>
        <w:t>, atunci când sunt întrunite condițiile prevăzute de lege</w:t>
      </w:r>
      <w:r w:rsidR="00CD01B1" w:rsidRPr="00C50F34">
        <w:rPr>
          <w:i/>
          <w:iCs/>
          <w:lang w:val="ro-RO"/>
        </w:rPr>
        <w:t>.</w:t>
      </w:r>
      <w:r w:rsidR="003F6E9E">
        <w:rPr>
          <w:i/>
          <w:iCs/>
          <w:lang w:val="ro-RO"/>
        </w:rPr>
        <w:t xml:space="preserve"> Vorbim de</w:t>
      </w:r>
      <w:r w:rsidR="003F6E9E" w:rsidRPr="00F6231F">
        <w:rPr>
          <w:i/>
          <w:iCs/>
          <w:lang w:val="ro-RO"/>
        </w:rPr>
        <w:t xml:space="preserve"> cei </w:t>
      </w:r>
      <w:r w:rsidR="003F6E9E">
        <w:rPr>
          <w:i/>
          <w:iCs/>
          <w:lang w:val="ro-RO"/>
        </w:rPr>
        <w:t xml:space="preserve">care vor să recurgă la instanță </w:t>
      </w:r>
      <w:r w:rsidR="003F6E9E" w:rsidRPr="00F6231F">
        <w:rPr>
          <w:i/>
          <w:iCs/>
          <w:lang w:val="ro-RO"/>
        </w:rPr>
        <w:t xml:space="preserve">pentru rezolvarea unor situații </w:t>
      </w:r>
      <w:r w:rsidR="003F6E9E" w:rsidRPr="00F6231F">
        <w:rPr>
          <w:i/>
          <w:iCs/>
          <w:lang w:val="ro-RO"/>
        </w:rPr>
        <w:lastRenderedPageBreak/>
        <w:t>punctuale</w:t>
      </w:r>
      <w:r w:rsidR="003F6E9E">
        <w:rPr>
          <w:i/>
          <w:iCs/>
          <w:lang w:val="ro-RO"/>
        </w:rPr>
        <w:t>,</w:t>
      </w:r>
      <w:r w:rsidR="003F6E9E" w:rsidRPr="00F6231F">
        <w:rPr>
          <w:i/>
          <w:iCs/>
          <w:lang w:val="ro-RO"/>
        </w:rPr>
        <w:t xml:space="preserve"> cum ar fi dobânzi, comisioane, eliminarea sau modificarea unor clauze contractuale. </w:t>
      </w:r>
      <w:r w:rsidR="00CD01B1" w:rsidRPr="00C50F34">
        <w:rPr>
          <w:i/>
          <w:iCs/>
          <w:lang w:val="ro-RO"/>
        </w:rPr>
        <w:t>Iar invitația pe care o adresăm este ca aceste reechilibrări să se facă</w:t>
      </w:r>
      <w:r w:rsidR="00CD01B1">
        <w:rPr>
          <w:i/>
          <w:iCs/>
          <w:lang w:val="ro-RO"/>
        </w:rPr>
        <w:t xml:space="preserve"> </w:t>
      </w:r>
      <w:r w:rsidR="003F6E9E">
        <w:rPr>
          <w:i/>
          <w:iCs/>
          <w:lang w:val="ro-RO"/>
        </w:rPr>
        <w:t>direct, între consumatori și bănci sau instituții financiare nebancare, iar dacă rezolvarea directă nu are finalitatea dorită, să se apeleze la procedurile derulate</w:t>
      </w:r>
      <w:r w:rsidR="00CD01B1" w:rsidRPr="00C50F34">
        <w:rPr>
          <w:i/>
          <w:iCs/>
          <w:lang w:val="ro-RO"/>
        </w:rPr>
        <w:t xml:space="preserve"> în cadrul CSALB, prin negociere și cu implicarea </w:t>
      </w:r>
      <w:r w:rsidR="001D4C7D">
        <w:rPr>
          <w:i/>
          <w:iCs/>
          <w:lang w:val="ro-RO"/>
        </w:rPr>
        <w:t>unui specialist neutru</w:t>
      </w:r>
      <w:r w:rsidR="00CD01B1" w:rsidRPr="00C50F34">
        <w:rPr>
          <w:i/>
          <w:iCs/>
          <w:lang w:val="ro-RO"/>
        </w:rPr>
        <w:t>, conciliatorul.</w:t>
      </w:r>
      <w:r w:rsidR="0085727C">
        <w:rPr>
          <w:i/>
          <w:iCs/>
          <w:lang w:val="ro-RO"/>
        </w:rPr>
        <w:t xml:space="preserve"> De altfel, </w:t>
      </w:r>
      <w:r w:rsidR="00A73919">
        <w:rPr>
          <w:i/>
          <w:iCs/>
          <w:lang w:val="ro-RO"/>
        </w:rPr>
        <w:t>vedem că inclusiv Curtea Europeană de Justiție recomandă negocierea individuală</w:t>
      </w:r>
      <w:r w:rsidR="0099564A">
        <w:rPr>
          <w:i/>
          <w:iCs/>
          <w:lang w:val="ro-RO"/>
        </w:rPr>
        <w:t>. Relevant este un ca</w:t>
      </w:r>
      <w:r w:rsidR="003D6C93">
        <w:rPr>
          <w:i/>
          <w:iCs/>
          <w:lang w:val="ro-RO"/>
        </w:rPr>
        <w:t>z finalizat î</w:t>
      </w:r>
      <w:r w:rsidR="00A73919">
        <w:rPr>
          <w:i/>
          <w:iCs/>
          <w:lang w:val="ro-RO"/>
        </w:rPr>
        <w:t>n 2020, în care un consumator din Spania a reclamat existența unor clauze abuzive în contractul cu banca. Decizia CJUE în ace</w:t>
      </w:r>
      <w:r w:rsidR="0099564A">
        <w:rPr>
          <w:i/>
          <w:iCs/>
          <w:lang w:val="ro-RO"/>
        </w:rPr>
        <w:t>astă speță</w:t>
      </w:r>
      <w:r w:rsidR="003A0949">
        <w:rPr>
          <w:i/>
          <w:iCs/>
          <w:lang w:val="ro-RO"/>
        </w:rPr>
        <w:t xml:space="preserve"> </w:t>
      </w:r>
      <w:r>
        <w:rPr>
          <w:i/>
          <w:iCs/>
          <w:lang w:val="ro-RO"/>
        </w:rPr>
        <w:t xml:space="preserve">(din </w:t>
      </w:r>
      <w:r w:rsidR="003A0949" w:rsidRPr="003A0949">
        <w:rPr>
          <w:i/>
          <w:iCs/>
          <w:lang w:val="ro-RO"/>
        </w:rPr>
        <w:t>9.07.2020</w:t>
      </w:r>
      <w:r w:rsidR="003A0949">
        <w:rPr>
          <w:i/>
          <w:iCs/>
          <w:lang w:val="ro-RO"/>
        </w:rPr>
        <w:t xml:space="preserve">, </w:t>
      </w:r>
      <w:r w:rsidR="003A0949" w:rsidRPr="003A0949">
        <w:rPr>
          <w:i/>
          <w:iCs/>
          <w:lang w:val="ro-RO"/>
        </w:rPr>
        <w:t>cauza C-452/18)</w:t>
      </w:r>
      <w:r w:rsidR="003A0949">
        <w:rPr>
          <w:i/>
          <w:iCs/>
          <w:lang w:val="ro-RO"/>
        </w:rPr>
        <w:t xml:space="preserve"> </w:t>
      </w:r>
      <w:r w:rsidR="00A73919">
        <w:rPr>
          <w:i/>
          <w:iCs/>
          <w:lang w:val="ro-RO"/>
        </w:rPr>
        <w:t>este</w:t>
      </w:r>
      <w:r w:rsidR="003F6E9E">
        <w:rPr>
          <w:i/>
          <w:iCs/>
          <w:lang w:val="ro-RO"/>
        </w:rPr>
        <w:t xml:space="preserve"> interpretată în sensul</w:t>
      </w:r>
      <w:r w:rsidR="00A73919">
        <w:rPr>
          <w:i/>
          <w:iCs/>
          <w:lang w:val="ro-RO"/>
        </w:rPr>
        <w:t xml:space="preserve"> c</w:t>
      </w:r>
      <w:r w:rsidR="003F6E9E">
        <w:rPr>
          <w:i/>
          <w:iCs/>
          <w:lang w:val="ro-RO"/>
        </w:rPr>
        <w:t>ă</w:t>
      </w:r>
      <w:r w:rsidR="00A73919">
        <w:rPr>
          <w:i/>
          <w:iCs/>
          <w:lang w:val="ro-RO"/>
        </w:rPr>
        <w:t xml:space="preserve"> părțile</w:t>
      </w:r>
      <w:r w:rsidR="003F6E9E">
        <w:rPr>
          <w:i/>
          <w:iCs/>
          <w:lang w:val="ro-RO"/>
        </w:rPr>
        <w:t xml:space="preserve"> pot</w:t>
      </w:r>
      <w:r w:rsidR="00A73919">
        <w:rPr>
          <w:i/>
          <w:iCs/>
          <w:lang w:val="ro-RO"/>
        </w:rPr>
        <w:t xml:space="preserve"> să negocieze</w:t>
      </w:r>
      <w:r w:rsidR="0099564A">
        <w:rPr>
          <w:i/>
          <w:iCs/>
          <w:lang w:val="ro-RO"/>
        </w:rPr>
        <w:t xml:space="preserve"> înainte de</w:t>
      </w:r>
      <w:r w:rsidR="00A73919">
        <w:rPr>
          <w:i/>
          <w:iCs/>
          <w:lang w:val="ro-RO"/>
        </w:rPr>
        <w:t xml:space="preserve"> schimbarea unor clauze considerate</w:t>
      </w:r>
      <w:r w:rsidR="00075CC1">
        <w:rPr>
          <w:i/>
          <w:iCs/>
          <w:lang w:val="ro-RO"/>
        </w:rPr>
        <w:t xml:space="preserve"> ori calificate ca</w:t>
      </w:r>
      <w:r w:rsidR="00A73919">
        <w:rPr>
          <w:i/>
          <w:iCs/>
          <w:lang w:val="ro-RO"/>
        </w:rPr>
        <w:t xml:space="preserve"> abuzive</w:t>
      </w:r>
      <w:r w:rsidR="003D095D">
        <w:rPr>
          <w:i/>
          <w:iCs/>
          <w:lang w:val="ro-RO"/>
        </w:rPr>
        <w:t>,</w:t>
      </w:r>
      <w:r w:rsidR="00A73919">
        <w:rPr>
          <w:i/>
          <w:iCs/>
          <w:lang w:val="ro-RO"/>
        </w:rPr>
        <w:t xml:space="preserve"> cu altele noi. </w:t>
      </w:r>
      <w:r w:rsidR="003F6E9E">
        <w:rPr>
          <w:i/>
          <w:iCs/>
          <w:lang w:val="ro-RO"/>
        </w:rPr>
        <w:t xml:space="preserve">Intenția </w:t>
      </w:r>
      <w:r w:rsidR="00A73919">
        <w:rPr>
          <w:i/>
          <w:iCs/>
          <w:lang w:val="ro-RO"/>
        </w:rPr>
        <w:t>este ca noile condiții să nu mai fie impuse prin</w:t>
      </w:r>
      <w:r w:rsidR="003F6E9E">
        <w:rPr>
          <w:i/>
          <w:iCs/>
          <w:lang w:val="ro-RO"/>
        </w:rPr>
        <w:t>tr-un alt</w:t>
      </w:r>
      <w:r w:rsidR="00A73919">
        <w:rPr>
          <w:i/>
          <w:iCs/>
          <w:lang w:val="ro-RO"/>
        </w:rPr>
        <w:t xml:space="preserve"> contract</w:t>
      </w:r>
      <w:r w:rsidR="003F6E9E">
        <w:rPr>
          <w:i/>
          <w:iCs/>
          <w:lang w:val="ro-RO"/>
        </w:rPr>
        <w:t xml:space="preserve"> sau act adițional</w:t>
      </w:r>
      <w:r w:rsidR="00A73919">
        <w:rPr>
          <w:i/>
          <w:iCs/>
          <w:lang w:val="ro-RO"/>
        </w:rPr>
        <w:t>, ci</w:t>
      </w:r>
      <w:r w:rsidR="003F6E9E">
        <w:rPr>
          <w:i/>
          <w:iCs/>
          <w:lang w:val="ro-RO"/>
        </w:rPr>
        <w:t xml:space="preserve"> să fie</w:t>
      </w:r>
      <w:r w:rsidR="00A73919">
        <w:rPr>
          <w:i/>
          <w:iCs/>
          <w:lang w:val="ro-RO"/>
        </w:rPr>
        <w:t xml:space="preserve"> agreate de părți</w:t>
      </w:r>
      <w:r w:rsidR="0045340F">
        <w:rPr>
          <w:i/>
          <w:iCs/>
          <w:lang w:val="ro-RO"/>
        </w:rPr>
        <w:t>. În concluzie, concilierea, compromisul și soluțiile echitabile pot înlocui cu succes litigiile din instanțele clasice, indiferent de stadiul în care acestea se află</w:t>
      </w:r>
      <w:r w:rsidR="00F6231F" w:rsidRPr="00F6231F">
        <w:rPr>
          <w:i/>
          <w:iCs/>
          <w:lang w:val="ro-RO"/>
        </w:rPr>
        <w:t>”</w:t>
      </w:r>
      <w:r w:rsidR="00F6231F">
        <w:rPr>
          <w:lang w:val="ro-RO"/>
        </w:rPr>
        <w:t xml:space="preserve">, spune </w:t>
      </w:r>
      <w:r w:rsidR="00F6231F" w:rsidRPr="00F6231F">
        <w:rPr>
          <w:b/>
          <w:bCs/>
          <w:lang w:val="ro-RO"/>
        </w:rPr>
        <w:t xml:space="preserve">Alexandru Păunescu, Președintele Colegiului de Coordonare al CSALB. </w:t>
      </w:r>
    </w:p>
    <w:p w14:paraId="1B9AF731" w14:textId="77777777" w:rsidR="00384E43" w:rsidRPr="00E96C27" w:rsidRDefault="00384E43" w:rsidP="00042C34">
      <w:pPr>
        <w:pStyle w:val="c34dispositifmarge1avectiretlong"/>
        <w:spacing w:before="0" w:beforeAutospacing="0"/>
        <w:jc w:val="both"/>
        <w:rPr>
          <w:rFonts w:asciiTheme="minorHAnsi" w:hAnsiTheme="minorHAnsi" w:cstheme="minorHAnsi"/>
          <w:b/>
          <w:bCs/>
          <w:color w:val="ED7D31" w:themeColor="accent2"/>
        </w:rPr>
      </w:pPr>
      <w:bookmarkStart w:id="1" w:name="_Hlk80699105"/>
      <w:r w:rsidRPr="00E96C27">
        <w:rPr>
          <w:rFonts w:asciiTheme="minorHAnsi" w:hAnsiTheme="minorHAnsi" w:cstheme="minorHAnsi"/>
          <w:b/>
          <w:bCs/>
          <w:color w:val="ED7D31" w:themeColor="accent2"/>
          <w:lang w:val="ro-RO"/>
        </w:rPr>
        <w:t>CAZURI</w:t>
      </w:r>
      <w:r w:rsidR="00EF1EDB" w:rsidRPr="00E96C27">
        <w:rPr>
          <w:rFonts w:asciiTheme="minorHAnsi" w:hAnsiTheme="minorHAnsi" w:cstheme="minorHAnsi"/>
          <w:b/>
          <w:bCs/>
          <w:color w:val="ED7D31" w:themeColor="accent2"/>
          <w:lang w:val="ro-RO"/>
        </w:rPr>
        <w:t xml:space="preserve"> </w:t>
      </w:r>
      <w:r w:rsidR="004B121D" w:rsidRPr="00E96C27">
        <w:rPr>
          <w:rFonts w:asciiTheme="minorHAnsi" w:hAnsiTheme="minorHAnsi" w:cstheme="minorHAnsi"/>
          <w:b/>
          <w:bCs/>
          <w:color w:val="ED7D31" w:themeColor="accent2"/>
          <w:lang w:val="ro-RO"/>
        </w:rPr>
        <w:t xml:space="preserve">ÎN CARE PROCESELE AU FOST ÎNLOCUITE </w:t>
      </w:r>
      <w:r w:rsidR="004A1C48" w:rsidRPr="00E96C27">
        <w:rPr>
          <w:rFonts w:asciiTheme="minorHAnsi" w:hAnsiTheme="minorHAnsi" w:cstheme="minorHAnsi"/>
          <w:b/>
          <w:bCs/>
          <w:color w:val="ED7D31" w:themeColor="accent2"/>
          <w:lang w:val="ro-RO"/>
        </w:rPr>
        <w:t xml:space="preserve">CU </w:t>
      </w:r>
      <w:r w:rsidR="00274B67" w:rsidRPr="00E96C27">
        <w:rPr>
          <w:rFonts w:asciiTheme="minorHAnsi" w:hAnsiTheme="minorHAnsi" w:cstheme="minorHAnsi"/>
          <w:b/>
          <w:bCs/>
          <w:color w:val="ED7D31" w:themeColor="accent2"/>
          <w:lang w:val="ro-RO"/>
        </w:rPr>
        <w:t xml:space="preserve">PROCEDURI DE SOLUȚIONARE </w:t>
      </w:r>
      <w:r w:rsidR="004B121D" w:rsidRPr="00E96C27">
        <w:rPr>
          <w:rFonts w:asciiTheme="minorHAnsi" w:hAnsiTheme="minorHAnsi" w:cstheme="minorHAnsi"/>
          <w:b/>
          <w:bCs/>
          <w:color w:val="ED7D31" w:themeColor="accent2"/>
          <w:lang w:val="ro-RO"/>
        </w:rPr>
        <w:t>AMIABIL</w:t>
      </w:r>
      <w:r w:rsidR="00274B67" w:rsidRPr="00E96C27">
        <w:rPr>
          <w:rFonts w:asciiTheme="minorHAnsi" w:hAnsiTheme="minorHAnsi" w:cstheme="minorHAnsi"/>
          <w:b/>
          <w:bCs/>
          <w:color w:val="ED7D31" w:themeColor="accent2"/>
          <w:lang w:val="ro-RO"/>
        </w:rPr>
        <w:t>Ă</w:t>
      </w:r>
    </w:p>
    <w:p w14:paraId="2309C1A2" w14:textId="77777777" w:rsidR="0000001E" w:rsidRPr="00042C34" w:rsidRDefault="004B121D" w:rsidP="00042C34">
      <w:pPr>
        <w:spacing w:after="0" w:line="240" w:lineRule="auto"/>
        <w:jc w:val="both"/>
        <w:rPr>
          <w:b/>
          <w:bCs/>
          <w:lang w:val="ro-RO"/>
        </w:rPr>
      </w:pPr>
      <w:r w:rsidRPr="00042C34">
        <w:rPr>
          <w:b/>
          <w:bCs/>
          <w:lang w:val="ro-RO"/>
        </w:rPr>
        <w:t>Aurora Z., București</w:t>
      </w:r>
    </w:p>
    <w:p w14:paraId="48562B7C" w14:textId="077157C3" w:rsidR="00A97E55" w:rsidRPr="00042C34" w:rsidRDefault="00EF1EDB" w:rsidP="00042C34">
      <w:pPr>
        <w:spacing w:after="0" w:line="240" w:lineRule="auto"/>
        <w:jc w:val="both"/>
        <w:rPr>
          <w:lang w:val="ro-RO"/>
        </w:rPr>
      </w:pPr>
      <w:r w:rsidRPr="00042C34">
        <w:rPr>
          <w:lang w:val="ro-RO"/>
        </w:rPr>
        <w:t>Banca a acordat familiei Z</w:t>
      </w:r>
      <w:r w:rsidR="00415028" w:rsidRPr="00042C34">
        <w:rPr>
          <w:lang w:val="ro-RO"/>
        </w:rPr>
        <w:t>.</w:t>
      </w:r>
      <w:r w:rsidRPr="00042C34">
        <w:rPr>
          <w:lang w:val="ro-RO"/>
        </w:rPr>
        <w:t xml:space="preserve"> un credit de nevoie personale cu ipotecă în valoare de 35.000 EUR în aprilie 2008</w:t>
      </w:r>
      <w:r w:rsidR="00263464" w:rsidRPr="00042C34">
        <w:rPr>
          <w:lang w:val="ro-RO"/>
        </w:rPr>
        <w:t>.</w:t>
      </w:r>
      <w:r w:rsidRPr="00042C34">
        <w:rPr>
          <w:lang w:val="ro-RO"/>
        </w:rPr>
        <w:t xml:space="preserve"> În septembrie 2016 a</w:t>
      </w:r>
      <w:r w:rsidR="00263464" w:rsidRPr="00042C34">
        <w:rPr>
          <w:lang w:val="ro-RO"/>
        </w:rPr>
        <w:t>u</w:t>
      </w:r>
      <w:r w:rsidRPr="00042C34">
        <w:rPr>
          <w:lang w:val="ro-RO"/>
        </w:rPr>
        <w:t xml:space="preserve"> fost stopat</w:t>
      </w:r>
      <w:r w:rsidR="00415028" w:rsidRPr="00042C34">
        <w:rPr>
          <w:lang w:val="ro-RO"/>
        </w:rPr>
        <w:t>e</w:t>
      </w:r>
      <w:r w:rsidRPr="00042C34">
        <w:rPr>
          <w:lang w:val="ro-RO"/>
        </w:rPr>
        <w:t xml:space="preserve"> contractul de credit </w:t>
      </w:r>
      <w:r w:rsidR="00263464" w:rsidRPr="00042C34">
        <w:rPr>
          <w:lang w:val="ro-RO"/>
        </w:rPr>
        <w:t>ș</w:t>
      </w:r>
      <w:r w:rsidRPr="00042C34">
        <w:rPr>
          <w:lang w:val="ro-RO"/>
        </w:rPr>
        <w:t xml:space="preserve">i graficul de rambursare ca urmare a depunerii notificării de </w:t>
      </w:r>
      <w:r w:rsidR="00263464" w:rsidRPr="00042C34">
        <w:rPr>
          <w:lang w:val="ro-RO"/>
        </w:rPr>
        <w:t>d</w:t>
      </w:r>
      <w:r w:rsidRPr="00042C34">
        <w:rPr>
          <w:lang w:val="ro-RO"/>
        </w:rPr>
        <w:t xml:space="preserve">are în </w:t>
      </w:r>
      <w:r w:rsidR="00263464" w:rsidRPr="00042C34">
        <w:rPr>
          <w:lang w:val="ro-RO"/>
        </w:rPr>
        <w:t>p</w:t>
      </w:r>
      <w:r w:rsidRPr="00042C34">
        <w:rPr>
          <w:lang w:val="ro-RO"/>
        </w:rPr>
        <w:t xml:space="preserve">lată. </w:t>
      </w:r>
      <w:r w:rsidR="00263464" w:rsidRPr="00042C34">
        <w:rPr>
          <w:lang w:val="ro-RO"/>
        </w:rPr>
        <w:t>Pentru a stinge litigiul și a găsi o soluție la restanțele de peste 10.000 de euro, banca a propus</w:t>
      </w:r>
      <w:r w:rsidR="007148A5" w:rsidRPr="00042C34">
        <w:rPr>
          <w:lang w:val="ro-RO"/>
        </w:rPr>
        <w:t xml:space="preserve"> stingerea amiabilă a litigiului, în cadrul C</w:t>
      </w:r>
      <w:r w:rsidR="00042C34">
        <w:rPr>
          <w:lang w:val="ro-RO"/>
        </w:rPr>
        <w:t>SALB</w:t>
      </w:r>
      <w:r w:rsidR="007148A5" w:rsidRPr="00042C34">
        <w:rPr>
          <w:lang w:val="ro-RO"/>
        </w:rPr>
        <w:t>.</w:t>
      </w:r>
      <w:r w:rsidR="007148A5" w:rsidRPr="00042C34">
        <w:rPr>
          <w:rFonts w:cs="Times New Roman"/>
          <w:lang w:val="ro-RO"/>
        </w:rPr>
        <w:t xml:space="preserve"> Creditorul a </w:t>
      </w:r>
      <w:r w:rsidR="00A97E55" w:rsidRPr="00042C34">
        <w:rPr>
          <w:lang w:val="ro-RO"/>
        </w:rPr>
        <w:t>elimin</w:t>
      </w:r>
      <w:r w:rsidR="007148A5" w:rsidRPr="00042C34">
        <w:rPr>
          <w:lang w:val="ro-RO"/>
        </w:rPr>
        <w:t>at</w:t>
      </w:r>
      <w:r w:rsidR="00A97E55" w:rsidRPr="00042C34">
        <w:rPr>
          <w:lang w:val="ro-RO"/>
        </w:rPr>
        <w:t xml:space="preserve"> pe viitor comisionul de admin</w:t>
      </w:r>
      <w:r w:rsidR="00462DD6">
        <w:rPr>
          <w:lang w:val="ro-RO"/>
        </w:rPr>
        <w:t>i</w:t>
      </w:r>
      <w:r w:rsidR="00A97E55" w:rsidRPr="00042C34">
        <w:rPr>
          <w:lang w:val="ro-RO"/>
        </w:rPr>
        <w:t>strare credit</w:t>
      </w:r>
      <w:r w:rsidR="007148A5" w:rsidRPr="00042C34">
        <w:rPr>
          <w:lang w:val="ro-RO"/>
        </w:rPr>
        <w:t xml:space="preserve">, a returnat același comision încasat de la acordarea împrumutului până la notificarea de dare în plată și a renunțat la o treime din dobânzile restante. </w:t>
      </w:r>
      <w:r w:rsidR="00A97E55" w:rsidRPr="00042C34">
        <w:rPr>
          <w:lang w:val="ro-RO"/>
        </w:rPr>
        <w:t xml:space="preserve"> </w:t>
      </w:r>
      <w:r w:rsidR="007148A5" w:rsidRPr="00042C34">
        <w:rPr>
          <w:lang w:val="ro-RO"/>
        </w:rPr>
        <w:t>În total, beneficiile directe obținute de consumator depășesc 7.500 de euro.</w:t>
      </w:r>
      <w:r w:rsidR="00A97E55" w:rsidRPr="00042C34">
        <w:rPr>
          <w:lang w:val="ro-RO"/>
        </w:rPr>
        <w:t xml:space="preserve"> </w:t>
      </w:r>
    </w:p>
    <w:p w14:paraId="2CCF0066" w14:textId="77777777" w:rsidR="002F0EAB" w:rsidRPr="00042C34" w:rsidRDefault="002F0EAB" w:rsidP="00042C34">
      <w:pPr>
        <w:spacing w:after="0" w:line="240" w:lineRule="auto"/>
        <w:jc w:val="both"/>
        <w:rPr>
          <w:lang w:val="ro-RO"/>
        </w:rPr>
      </w:pPr>
    </w:p>
    <w:p w14:paraId="1C4F266B" w14:textId="77777777" w:rsidR="00DB76C5" w:rsidRPr="00042C34" w:rsidRDefault="00DB76C5" w:rsidP="00042C34">
      <w:pPr>
        <w:pStyle w:val="c34dispositifmarge1avectiretlong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>Leonard G., Brașov</w:t>
      </w:r>
    </w:p>
    <w:p w14:paraId="238196C9" w14:textId="77777777" w:rsidR="00DB76C5" w:rsidRPr="00042C34" w:rsidRDefault="00DB76C5" w:rsidP="00042C34">
      <w:pPr>
        <w:pStyle w:val="c34dispositifmarge1avectiretlong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Banca oferă consumatorului suma de 7.000 EUR cu care se va rambursa parțial creditul, </w:t>
      </w:r>
      <w:r w:rsidR="00042C34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n vederea închiderii amiabile a litigiului aflat pe rolul Judecătoriei Brașov din </w:t>
      </w:r>
      <w:r w:rsidR="00042C34">
        <w:rPr>
          <w:rFonts w:asciiTheme="minorHAnsi" w:hAnsiTheme="minorHAnsi" w:cstheme="minorHAnsi"/>
          <w:sz w:val="22"/>
          <w:szCs w:val="22"/>
          <w:lang w:val="ro-RO"/>
        </w:rPr>
        <w:t>2021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. Părțile sunt de acord s</w:t>
      </w:r>
      <w:r w:rsidR="00042C3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 renunțe la orice alte pretenții </w:t>
      </w:r>
      <w:r w:rsidR="00042C34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n legătur</w:t>
      </w:r>
      <w:r w:rsidR="00042C3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 cu actele de executare silit</w:t>
      </w:r>
      <w:r w:rsidR="00042C3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, cheltuielile de judecat</w:t>
      </w:r>
      <w:r w:rsidR="00042C3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, onorariile </w:t>
      </w:r>
      <w:r w:rsidR="00042C3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i cu alte sume datorate</w:t>
      </w:r>
      <w:r w:rsidR="00042C34">
        <w:rPr>
          <w:rFonts w:asciiTheme="minorHAnsi" w:hAnsiTheme="minorHAnsi" w:cstheme="minorHAnsi"/>
          <w:sz w:val="22"/>
          <w:szCs w:val="22"/>
          <w:lang w:val="ro-RO"/>
        </w:rPr>
        <w:t>.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3D827489" w14:textId="77777777" w:rsidR="00042C34" w:rsidRDefault="00042C34" w:rsidP="00042C34">
      <w:pPr>
        <w:pStyle w:val="c34dispositifmarge1avectiretlong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50BD8B9A" w14:textId="77777777" w:rsidR="00042C34" w:rsidRDefault="00042C34" w:rsidP="00042C34">
      <w:pPr>
        <w:pStyle w:val="c34dispositifmarge1avectiretlong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>M</w:t>
      </w:r>
      <w:r w:rsidR="00384E43"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>anuela</w:t>
      </w:r>
      <w:r w:rsidR="008307C6"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F.</w:t>
      </w:r>
      <w:r w:rsidR="00384E43"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, </w:t>
      </w:r>
      <w:r w:rsidR="002A7C44"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>Vrancea</w:t>
      </w:r>
    </w:p>
    <w:p w14:paraId="12A17900" w14:textId="38624699" w:rsidR="002A7C44" w:rsidRDefault="002A7C44" w:rsidP="00042C34">
      <w:pPr>
        <w:pStyle w:val="c34dispositifmarge1avectiretlong"/>
        <w:spacing w:before="0" w:beforeAutospacing="0" w:after="0" w:afterAutospacing="0"/>
        <w:jc w:val="both"/>
        <w:rPr>
          <w:rStyle w:val="scxw204409121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</w:pPr>
      <w:r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Î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n vederea stingerii pe cale amiabil</w:t>
      </w:r>
      <w:r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ă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 a litigiului aflat pe rolul Tribunalul</w:t>
      </w:r>
      <w:r w:rsidR="003D095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ui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 Vrancea</w:t>
      </w:r>
      <w:r w:rsidR="00BA31C7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 din anul 2017</w:t>
      </w:r>
      <w:r w:rsidR="004A6DFA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, b</w:t>
      </w:r>
      <w:r w:rsidR="00BA31C7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anca 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ofer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ă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 consumato</w:t>
      </w:r>
      <w:r w:rsidR="00BA31C7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arei 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suma de 2</w:t>
      </w:r>
      <w:r w:rsidR="004A6DFA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.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76</w:t>
      </w:r>
      <w:r w:rsidR="004A6DFA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4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 Eur</w:t>
      </w:r>
      <w:r w:rsidR="004A6DFA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o. Suma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 reprez</w:t>
      </w:r>
      <w:r w:rsidR="004A6DFA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int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ă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 diferen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ț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a </w:t>
      </w:r>
      <w:r w:rsidR="004A6DFA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d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intre dob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â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nda 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î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ncasat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ă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 conform  contractului de credit 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ș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i dob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â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nda fix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ă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 </w:t>
      </w:r>
      <w:r w:rsidR="003D095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de 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5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,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8 % pe an, </w:t>
      </w:r>
      <w:r w:rsidR="000C0F3E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p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â</w:t>
      </w:r>
      <w:r w:rsidR="000C0F3E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n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ă</w:t>
      </w:r>
      <w:r w:rsidR="000C0F3E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 la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 scaden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ț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a final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ă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. </w:t>
      </w:r>
      <w:r w:rsidR="008958B2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F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iecare parte se oblig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ă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 s</w:t>
      </w:r>
      <w:r w:rsid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ă</w:t>
      </w:r>
      <w:r w:rsidR="00384E43" w:rsidRPr="00042C3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 xml:space="preserve"> suporte propriile cheltuieli ocazionate de promovarea demersurilor judiciare.</w:t>
      </w:r>
      <w:r w:rsidR="00384E43" w:rsidRPr="00042C34">
        <w:rPr>
          <w:rStyle w:val="scxw204409121"/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 </w:t>
      </w:r>
    </w:p>
    <w:p w14:paraId="57ABB79C" w14:textId="77777777" w:rsidR="00042C34" w:rsidRDefault="00042C34" w:rsidP="00042C34">
      <w:pPr>
        <w:pStyle w:val="c34dispositifmarge1avectiretlong"/>
        <w:spacing w:before="0" w:beforeAutospacing="0" w:after="0" w:afterAutospacing="0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71AFC7DE" w14:textId="77777777" w:rsidR="004702F8" w:rsidRPr="00042C34" w:rsidRDefault="004702F8" w:rsidP="004702F8">
      <w:pPr>
        <w:pStyle w:val="c34dispositifmarge1avectiretlong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</w:pPr>
      <w:r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>Ileana V. Iași</w:t>
      </w:r>
    </w:p>
    <w:p w14:paraId="7F937493" w14:textId="66D8B58E" w:rsidR="004702F8" w:rsidRDefault="004702F8" w:rsidP="004702F8">
      <w:pPr>
        <w:pStyle w:val="c34dispositifmarge1avectiretlong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042C34">
        <w:rPr>
          <w:rFonts w:asciiTheme="minorHAnsi" w:hAnsiTheme="minorHAnsi" w:cstheme="minorHAnsi"/>
          <w:sz w:val="22"/>
          <w:szCs w:val="22"/>
          <w:lang w:val="ro-RO"/>
        </w:rPr>
        <w:t>Banca va restitui consumatoarei sumele de 5</w:t>
      </w:r>
      <w:r>
        <w:rPr>
          <w:rFonts w:asciiTheme="minorHAnsi" w:hAnsiTheme="minorHAnsi" w:cstheme="minorHAnsi"/>
          <w:sz w:val="22"/>
          <w:szCs w:val="22"/>
          <w:lang w:val="ro-RO"/>
        </w:rPr>
        <w:t>.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000 RON </w:t>
      </w:r>
      <w:r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i 1</w:t>
      </w:r>
      <w:r>
        <w:rPr>
          <w:rFonts w:asciiTheme="minorHAnsi" w:hAnsiTheme="minorHAnsi" w:cstheme="minorHAnsi"/>
          <w:sz w:val="22"/>
          <w:szCs w:val="22"/>
          <w:lang w:val="ro-RO"/>
        </w:rPr>
        <w:t>.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200 E</w:t>
      </w:r>
      <w:r>
        <w:rPr>
          <w:rFonts w:asciiTheme="minorHAnsi" w:hAnsiTheme="minorHAnsi" w:cstheme="minorHAnsi"/>
          <w:sz w:val="22"/>
          <w:szCs w:val="22"/>
          <w:lang w:val="ro-RO"/>
        </w:rPr>
        <w:t>UR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n vederea stingerii pe cale amiabil</w:t>
      </w:r>
      <w:r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 a litigiului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care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 face obiectul unui proces intentat în anul 2018</w:t>
      </w:r>
      <w:r w:rsidR="00E075EB">
        <w:rPr>
          <w:rFonts w:asciiTheme="minorHAnsi" w:hAnsiTheme="minorHAnsi" w:cstheme="minorHAnsi"/>
          <w:sz w:val="22"/>
          <w:szCs w:val="22"/>
          <w:lang w:val="ro-RO"/>
        </w:rPr>
        <w:t>, care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se află pe rolul Cur</w:t>
      </w:r>
      <w:r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ii de Apel Ia</w:t>
      </w:r>
      <w:r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i. </w:t>
      </w:r>
    </w:p>
    <w:p w14:paraId="56EC1F04" w14:textId="77777777" w:rsidR="004702F8" w:rsidRPr="00042C34" w:rsidRDefault="004702F8" w:rsidP="004702F8">
      <w:pPr>
        <w:pStyle w:val="c34dispositifmarge1avectiretlong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B6EC0C8" w14:textId="77777777" w:rsidR="00477E3A" w:rsidRPr="00042C34" w:rsidRDefault="008307C6" w:rsidP="00042C34">
      <w:pPr>
        <w:pStyle w:val="c34dispositifmarge1avectiretlong"/>
        <w:spacing w:before="0" w:beforeAutospacing="0" w:after="0" w:afterAutospacing="0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>Cristian. I. Z.</w:t>
      </w:r>
      <w:r w:rsidR="00224FAC"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, </w:t>
      </w:r>
      <w:r w:rsidR="00477E3A"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>Iași</w:t>
      </w:r>
    </w:p>
    <w:p w14:paraId="22E69AD0" w14:textId="77777777" w:rsidR="00224FAC" w:rsidRPr="00042C34" w:rsidRDefault="003D0063" w:rsidP="00042C34">
      <w:pPr>
        <w:pStyle w:val="c34dispositifmarge1avectiretlong"/>
        <w:spacing w:before="0" w:beforeAutospacing="0" w:after="0" w:afterAutospacing="0"/>
        <w:ind w:right="-27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Banca achită consumatorului suma de 7.100 de lei, iar părțile convin să </w:t>
      </w:r>
      <w:r w:rsidR="00224FAC" w:rsidRPr="00042C34">
        <w:rPr>
          <w:rFonts w:asciiTheme="minorHAnsi" w:hAnsiTheme="minorHAnsi" w:cstheme="minorHAnsi"/>
          <w:sz w:val="22"/>
          <w:szCs w:val="22"/>
          <w:lang w:val="ro-RO"/>
        </w:rPr>
        <w:t>sting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="00224FAC"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 pe cale amiabila litigiul </w:t>
      </w:r>
      <w:r w:rsidR="00BB152D"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deschis anul acesta </w:t>
      </w:r>
      <w:r w:rsidR="004702F8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="00BB152D"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i </w:t>
      </w:r>
      <w:r w:rsidR="00224FAC" w:rsidRPr="00042C34">
        <w:rPr>
          <w:rFonts w:asciiTheme="minorHAnsi" w:hAnsiTheme="minorHAnsi" w:cstheme="minorHAnsi"/>
          <w:sz w:val="22"/>
          <w:szCs w:val="22"/>
          <w:lang w:val="ro-RO"/>
        </w:rPr>
        <w:t>aflat pe rolul Judec</w:t>
      </w:r>
      <w:r w:rsidR="004702F8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="00224FAC" w:rsidRPr="00042C34">
        <w:rPr>
          <w:rFonts w:asciiTheme="minorHAnsi" w:hAnsiTheme="minorHAnsi" w:cstheme="minorHAnsi"/>
          <w:sz w:val="22"/>
          <w:szCs w:val="22"/>
          <w:lang w:val="ro-RO"/>
        </w:rPr>
        <w:t>toriei Ia</w:t>
      </w:r>
      <w:r w:rsidR="004702F8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="00224FAC" w:rsidRPr="00042C34">
        <w:rPr>
          <w:rFonts w:asciiTheme="minorHAnsi" w:hAnsiTheme="minorHAnsi" w:cstheme="minorHAnsi"/>
          <w:sz w:val="22"/>
          <w:szCs w:val="22"/>
          <w:lang w:val="ro-RO"/>
        </w:rPr>
        <w:t>i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</w:p>
    <w:p w14:paraId="03CDF575" w14:textId="77777777" w:rsidR="00042C34" w:rsidRPr="00042C34" w:rsidRDefault="00042C34" w:rsidP="00042C34">
      <w:pPr>
        <w:pStyle w:val="c34dispositifmarge1avectiretlong"/>
        <w:spacing w:before="0" w:beforeAutospacing="0" w:after="0" w:afterAutospacing="0"/>
        <w:ind w:right="-2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F4E3F75" w14:textId="77777777" w:rsidR="00042C34" w:rsidRPr="00042C34" w:rsidRDefault="00906BB2" w:rsidP="00042C34">
      <w:pPr>
        <w:pStyle w:val="c34dispositifmarge1avectiretlong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>Gheorghe</w:t>
      </w:r>
      <w:r w:rsidR="00DB76C5"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C.</w:t>
      </w:r>
      <w:r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>,</w:t>
      </w:r>
      <w:r w:rsidR="00DB76C5" w:rsidRPr="00042C3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Huși</w:t>
      </w:r>
    </w:p>
    <w:p w14:paraId="47E51696" w14:textId="77777777" w:rsidR="00906BB2" w:rsidRDefault="00906BB2" w:rsidP="00042C34">
      <w:pPr>
        <w:pStyle w:val="c34dispositifmarge1avectiretlong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042C34">
        <w:rPr>
          <w:rFonts w:asciiTheme="minorHAnsi" w:hAnsiTheme="minorHAnsi" w:cstheme="minorHAnsi"/>
          <w:sz w:val="22"/>
          <w:szCs w:val="22"/>
          <w:lang w:val="ro-RO"/>
        </w:rPr>
        <w:t>Banca va pl</w:t>
      </w:r>
      <w:r w:rsidR="006F0BF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ti consumatorului suma de 12.432 RON </w:t>
      </w:r>
      <w:r w:rsidR="006F0BF4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n vederea stingerii pe cale amiabil</w:t>
      </w:r>
      <w:r w:rsidR="006F0BF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 a litigiului dintre p</w:t>
      </w:r>
      <w:r w:rsidR="006F0BF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r</w:t>
      </w:r>
      <w:r w:rsidR="006F0BF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i, obiect al </w:t>
      </w:r>
      <w:r w:rsidR="00043B8D"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unui 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dosar</w:t>
      </w:r>
      <w:r w:rsidR="00043B8D"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 din anul 2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021 aflat pe rolul Judec</w:t>
      </w:r>
      <w:r w:rsidR="00963BAA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>toriei Hu</w:t>
      </w:r>
      <w:r w:rsidR="00963BAA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042C34">
        <w:rPr>
          <w:rFonts w:asciiTheme="minorHAnsi" w:hAnsiTheme="minorHAnsi" w:cstheme="minorHAnsi"/>
          <w:sz w:val="22"/>
          <w:szCs w:val="22"/>
          <w:lang w:val="ro-RO"/>
        </w:rPr>
        <w:t xml:space="preserve">i. </w:t>
      </w:r>
    </w:p>
    <w:p w14:paraId="3AA06357" w14:textId="77777777" w:rsidR="008F1639" w:rsidRDefault="008F1639" w:rsidP="00042C34">
      <w:pPr>
        <w:pStyle w:val="c34dispositifmarge1avectiretlong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958D7CC" w14:textId="77777777" w:rsidR="00B468ED" w:rsidRDefault="00B468ED" w:rsidP="00B468ED">
      <w:pPr>
        <w:jc w:val="both"/>
        <w:rPr>
          <w:rFonts w:asciiTheme="minorHAnsi" w:hAnsiTheme="minorHAnsi" w:cstheme="minorHAnsi"/>
          <w:sz w:val="24"/>
          <w:szCs w:val="24"/>
        </w:rPr>
      </w:pPr>
      <w:r w:rsidRPr="00E53B67">
        <w:rPr>
          <w:rFonts w:cstheme="minorHAnsi"/>
          <w:b/>
          <w:color w:val="0070C0"/>
          <w:sz w:val="20"/>
          <w:szCs w:val="20"/>
          <w:lang w:val="ro-RO"/>
        </w:rPr>
        <w:t xml:space="preserve">Despre CSALB: </w:t>
      </w:r>
      <w:proofErr w:type="spellStart"/>
      <w:r w:rsidRPr="00E53B67">
        <w:rPr>
          <w:rFonts w:cstheme="minorHAnsi"/>
          <w:bCs/>
          <w:sz w:val="20"/>
          <w:szCs w:val="20"/>
          <w:lang w:val="ro-RO"/>
        </w:rPr>
        <w:t>CSALB</w:t>
      </w:r>
      <w:proofErr w:type="spellEnd"/>
      <w:r w:rsidRPr="00E53B67">
        <w:rPr>
          <w:rFonts w:cstheme="minorHAnsi"/>
          <w:bCs/>
          <w:sz w:val="20"/>
          <w:szCs w:val="20"/>
          <w:lang w:val="ro-RO"/>
        </w:rPr>
        <w:t xml:space="preserve"> este o entitate înființată ca urmare a unei Directive europene și intermediază gratuit și în mai puțin de trei luni negocierea dintre consumatori și bănci sau </w:t>
      </w:r>
      <w:proofErr w:type="spellStart"/>
      <w:r w:rsidRPr="00E53B67">
        <w:rPr>
          <w:rFonts w:cstheme="minorHAnsi"/>
          <w:bCs/>
          <w:sz w:val="20"/>
          <w:szCs w:val="20"/>
          <w:lang w:val="ro-RO"/>
        </w:rPr>
        <w:t>IFN-uri</w:t>
      </w:r>
      <w:proofErr w:type="spellEnd"/>
      <w:r w:rsidRPr="00E53B67">
        <w:rPr>
          <w:rFonts w:cstheme="minorHAnsi"/>
          <w:bCs/>
          <w:sz w:val="20"/>
          <w:szCs w:val="20"/>
          <w:lang w:val="ro-RO"/>
        </w:rPr>
        <w:t xml:space="preserve"> pentru contractele aflate în derulare. Consumatorii din orice județ al țării pot trimite cereri către Centrul de Soluționare Alternativă a Litigiilor în domeniul Bancar (CSALB)</w:t>
      </w:r>
      <w:r>
        <w:rPr>
          <w:rFonts w:cstheme="minorHAnsi"/>
          <w:bCs/>
          <w:sz w:val="20"/>
          <w:szCs w:val="20"/>
          <w:lang w:val="ro-RO"/>
        </w:rPr>
        <w:t>,</w:t>
      </w:r>
      <w:r w:rsidRPr="00E53B67">
        <w:rPr>
          <w:rFonts w:cstheme="minorHAnsi"/>
          <w:bCs/>
          <w:sz w:val="20"/>
          <w:szCs w:val="20"/>
          <w:lang w:val="ro-RO"/>
        </w:rPr>
        <w:t xml:space="preserve"> completând un formular online direct pe site-ul </w:t>
      </w:r>
      <w:hyperlink r:id="rId11" w:history="1">
        <w:r w:rsidRPr="00E53B67">
          <w:rPr>
            <w:rStyle w:val="Hyperlink"/>
            <w:rFonts w:cstheme="minorHAnsi"/>
            <w:bCs/>
            <w:sz w:val="20"/>
            <w:szCs w:val="20"/>
            <w:lang w:val="ro-RO"/>
          </w:rPr>
          <w:t>www.csalb.ro</w:t>
        </w:r>
      </w:hyperlink>
      <w:r w:rsidRPr="00E53B67">
        <w:rPr>
          <w:rFonts w:cstheme="minorHAnsi"/>
          <w:bCs/>
          <w:sz w:val="20"/>
          <w:szCs w:val="20"/>
          <w:lang w:val="ro-RO"/>
        </w:rPr>
        <w:t>. Dacă banca acceptă intrarea în procedură de conciliere/negociere este desemnat un conciliator. CSALB colaborează cu 19 conciliatori, dintre cei mai buni specialiști în Drept, cu expertiză în domeniul financiar-bancar. Totul se rezolvă amiabil, iar înțelegerea părților are puterea unei hotărâri în instanță. Mai multe informații despre activitatea Centrului puteți obține și la telefon 021 9414 (apel cu tarif normal).</w:t>
      </w:r>
    </w:p>
    <w:p w14:paraId="005B5D4B" w14:textId="77777777" w:rsidR="00B468ED" w:rsidRPr="008E3D6B" w:rsidRDefault="00B468ED" w:rsidP="00B468ED">
      <w:pPr>
        <w:spacing w:before="240"/>
        <w:rPr>
          <w:rFonts w:asciiTheme="minorHAnsi" w:hAnsiTheme="minorHAnsi" w:cstheme="minorHAnsi"/>
          <w:lang w:val="ro-RO"/>
        </w:rPr>
      </w:pPr>
    </w:p>
    <w:bookmarkEnd w:id="1"/>
    <w:p w14:paraId="4C16B1DB" w14:textId="77777777" w:rsidR="00B468ED" w:rsidRPr="004E6D52" w:rsidRDefault="00B468ED" w:rsidP="004E6D52">
      <w:pPr>
        <w:pStyle w:val="c34dispositifmarge1avectiretlong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sectPr w:rsidR="00B468ED" w:rsidRPr="004E6D52" w:rsidSect="007027F4">
      <w:headerReference w:type="default" r:id="rId12"/>
      <w:footerReference w:type="defaul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BEA59" w14:textId="77777777" w:rsidR="00B24E0F" w:rsidRDefault="00B24E0F" w:rsidP="007B2C2B">
      <w:pPr>
        <w:spacing w:after="0" w:line="240" w:lineRule="auto"/>
      </w:pPr>
      <w:r>
        <w:separator/>
      </w:r>
    </w:p>
  </w:endnote>
  <w:endnote w:type="continuationSeparator" w:id="0">
    <w:p w14:paraId="30AF7AB7" w14:textId="77777777" w:rsidR="00B24E0F" w:rsidRDefault="00B24E0F" w:rsidP="007B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0FF55" w14:textId="77777777" w:rsidR="00EA3601" w:rsidRPr="00334AEC" w:rsidRDefault="00B24E0F" w:rsidP="00114526">
    <w:pPr>
      <w:rPr>
        <w:sz w:val="18"/>
        <w:szCs w:val="18"/>
        <w:lang w:val="ro-RO"/>
      </w:rPr>
    </w:pPr>
    <w:hyperlink r:id="rId1" w:history="1">
      <w:r w:rsidR="006F084A" w:rsidRPr="00334AEC">
        <w:rPr>
          <w:rStyle w:val="Hyperlink"/>
          <w:sz w:val="18"/>
          <w:szCs w:val="18"/>
          <w:lang w:val="ro-RO"/>
        </w:rPr>
        <w:t>www.csalb.ro</w:t>
      </w:r>
    </w:hyperlink>
    <w:r w:rsidR="00114526" w:rsidRPr="00334AEC">
      <w:rPr>
        <w:rFonts w:cs="Times New Roman"/>
        <w:sz w:val="18"/>
        <w:szCs w:val="18"/>
        <w:lang w:val="ro-RO"/>
      </w:rPr>
      <w:t>;</w:t>
    </w:r>
    <w:r w:rsidR="00114526" w:rsidRPr="00334AEC">
      <w:rPr>
        <w:rStyle w:val="Hyperlink"/>
        <w:sz w:val="18"/>
        <w:szCs w:val="18"/>
        <w:u w:val="none"/>
        <w:lang w:val="ro-RO"/>
      </w:rPr>
      <w:t xml:space="preserve"> </w:t>
    </w:r>
    <w:r w:rsidR="00114526" w:rsidRPr="00334AEC">
      <w:rPr>
        <w:sz w:val="18"/>
        <w:szCs w:val="18"/>
        <w:lang w:val="ro-RO"/>
      </w:rPr>
      <w:t xml:space="preserve">021.9414 (tarif normal); </w:t>
    </w:r>
    <w:hyperlink r:id="rId2" w:history="1">
      <w:r w:rsidR="006F084A" w:rsidRPr="00334AEC">
        <w:rPr>
          <w:rStyle w:val="Hyperlink"/>
          <w:rFonts w:cstheme="minorBidi"/>
          <w:sz w:val="18"/>
          <w:szCs w:val="18"/>
          <w:lang w:val="ro-RO"/>
        </w:rPr>
        <w:t>secretariat@csalb.ro</w:t>
      </w:r>
    </w:hyperlink>
    <w:r w:rsidR="006F084A" w:rsidRPr="00334AEC">
      <w:rPr>
        <w:sz w:val="18"/>
        <w:szCs w:val="18"/>
        <w:lang w:val="ro-RO"/>
      </w:rPr>
      <w:t xml:space="preserve">; </w:t>
    </w:r>
    <w:r w:rsidR="00114526" w:rsidRPr="00334AEC">
      <w:rPr>
        <w:sz w:val="18"/>
        <w:szCs w:val="18"/>
        <w:lang w:val="ro-RO"/>
      </w:rPr>
      <w:t xml:space="preserve">Adresa: </w:t>
    </w:r>
    <w:r w:rsidR="006F084A" w:rsidRPr="00334AEC">
      <w:rPr>
        <w:sz w:val="18"/>
        <w:szCs w:val="18"/>
        <w:lang w:val="ro-RO"/>
      </w:rPr>
      <w:t>Strada Sevastopol nr 24, etaj 2, sector 1, București</w:t>
    </w:r>
    <w:r w:rsidR="00114526" w:rsidRPr="00334AEC">
      <w:rPr>
        <w:sz w:val="18"/>
        <w:szCs w:val="18"/>
        <w:lang w:val="ro-RO"/>
      </w:rPr>
      <w:t>.</w:t>
    </w:r>
  </w:p>
  <w:p w14:paraId="3F80300D" w14:textId="77777777" w:rsidR="006F084A" w:rsidRPr="00114526" w:rsidRDefault="00EA3601" w:rsidP="00496A3E">
    <w:pPr>
      <w:spacing w:line="276" w:lineRule="auto"/>
      <w:jc w:val="center"/>
    </w:pPr>
    <w:r>
      <w:rPr>
        <w:noProof/>
        <w:lang w:val="ro-RO" w:eastAsia="ro-RO"/>
      </w:rPr>
      <w:drawing>
        <wp:inline distT="0" distB="0" distL="0" distR="0" wp14:anchorId="13A7C12F" wp14:editId="25AADEA0">
          <wp:extent cx="463550" cy="306068"/>
          <wp:effectExtent l="0" t="0" r="0" b="0"/>
          <wp:docPr id="2" name="Picture 2" descr="A picture containing drawing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33" cy="36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o-RO" w:eastAsia="ro-RO"/>
      </w:rPr>
      <w:drawing>
        <wp:inline distT="0" distB="0" distL="0" distR="0" wp14:anchorId="272B5C98" wp14:editId="458BFD19">
          <wp:extent cx="346075" cy="346075"/>
          <wp:effectExtent l="0" t="0" r="0" b="0"/>
          <wp:docPr id="4" name="Picture 4" descr="A picture containing drawing&#10;&#10;Description automatically generated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46075" cy="34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7F4">
      <w:rPr>
        <w:noProof/>
        <w:lang w:val="ro-RO" w:eastAsia="ro-RO"/>
      </w:rPr>
      <w:drawing>
        <wp:inline distT="0" distB="0" distL="0" distR="0" wp14:anchorId="267985AB" wp14:editId="1F09C5F1">
          <wp:extent cx="349250" cy="349250"/>
          <wp:effectExtent l="0" t="0" r="0" b="0"/>
          <wp:docPr id="5" name="Picture 5" descr="A picture containing drawing&#10;&#10;Description automatically generated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&#10;&#10;Description automatically generated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7F4">
      <w:rPr>
        <w:noProof/>
        <w:lang w:val="ro-RO" w:eastAsia="ro-RO"/>
      </w:rPr>
      <w:drawing>
        <wp:inline distT="0" distB="0" distL="0" distR="0" wp14:anchorId="54FB79B4" wp14:editId="4E78CF59">
          <wp:extent cx="393700" cy="342900"/>
          <wp:effectExtent l="0" t="0" r="6350" b="0"/>
          <wp:docPr id="7" name="Picture 7" descr="A picture containing food, drawing&#10;&#10;Description automatically generated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food, drawing&#10;&#10;Description automatically generated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04A33" w14:textId="77777777" w:rsidR="006F084A" w:rsidRDefault="006F084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C85BB" w14:textId="77777777" w:rsidR="00B24E0F" w:rsidRDefault="00B24E0F" w:rsidP="007B2C2B">
      <w:pPr>
        <w:spacing w:after="0" w:line="240" w:lineRule="auto"/>
      </w:pPr>
      <w:r>
        <w:separator/>
      </w:r>
    </w:p>
  </w:footnote>
  <w:footnote w:type="continuationSeparator" w:id="0">
    <w:p w14:paraId="01B767F9" w14:textId="77777777" w:rsidR="00B24E0F" w:rsidRDefault="00B24E0F" w:rsidP="007B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07170" w14:textId="77777777" w:rsidR="007B2C2B" w:rsidRDefault="007B2C2B">
    <w:pPr>
      <w:pStyle w:val="Antet"/>
    </w:pPr>
    <w:r>
      <w:rPr>
        <w:noProof/>
      </w:rPr>
      <w:ptab w:relativeTo="margin" w:alignment="center" w:leader="none"/>
    </w:r>
    <w:r>
      <w:rPr>
        <w:noProof/>
        <w:lang w:val="ro-RO" w:eastAsia="ro-RO"/>
      </w:rPr>
      <w:drawing>
        <wp:inline distT="0" distB="0" distL="0" distR="0" wp14:anchorId="0B2FEF65" wp14:editId="48FFAD4A">
          <wp:extent cx="2254025" cy="961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45" cy="101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524"/>
    <w:multiLevelType w:val="hybridMultilevel"/>
    <w:tmpl w:val="0E703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A302720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2D97"/>
    <w:multiLevelType w:val="hybridMultilevel"/>
    <w:tmpl w:val="5B7C3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72AB2"/>
    <w:multiLevelType w:val="hybridMultilevel"/>
    <w:tmpl w:val="A9908034"/>
    <w:lvl w:ilvl="0" w:tplc="67826D12">
      <w:numFmt w:val="bullet"/>
      <w:lvlText w:val="–"/>
      <w:lvlJc w:val="left"/>
      <w:pPr>
        <w:ind w:left="492" w:hanging="492"/>
      </w:pPr>
      <w:rPr>
        <w:rFonts w:ascii="Calibri" w:eastAsia="Times New Roman" w:hAnsi="Calibri" w:cs="Calibri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08254F"/>
    <w:multiLevelType w:val="hybridMultilevel"/>
    <w:tmpl w:val="DF3489CC"/>
    <w:lvl w:ilvl="0" w:tplc="C3285A7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86A9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EA22C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A064C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AF9C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30CDC6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BA309E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C679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D20E8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27F652D"/>
    <w:multiLevelType w:val="hybridMultilevel"/>
    <w:tmpl w:val="52085B22"/>
    <w:lvl w:ilvl="0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5">
    <w:nsid w:val="4128518E"/>
    <w:multiLevelType w:val="hybridMultilevel"/>
    <w:tmpl w:val="10BA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912D5"/>
    <w:multiLevelType w:val="hybridMultilevel"/>
    <w:tmpl w:val="0AD865BA"/>
    <w:lvl w:ilvl="0" w:tplc="9A7CFA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53492"/>
    <w:multiLevelType w:val="hybridMultilevel"/>
    <w:tmpl w:val="7FB01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EC64C6"/>
    <w:multiLevelType w:val="hybridMultilevel"/>
    <w:tmpl w:val="2182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80CD2"/>
    <w:multiLevelType w:val="hybridMultilevel"/>
    <w:tmpl w:val="12EE7CB6"/>
    <w:lvl w:ilvl="0" w:tplc="DE5ADA4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EF048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EA3B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E8266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083A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057D2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21350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E150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0A028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87C4B70"/>
    <w:multiLevelType w:val="hybridMultilevel"/>
    <w:tmpl w:val="6B82C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373538"/>
    <w:multiLevelType w:val="hybridMultilevel"/>
    <w:tmpl w:val="61B28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75971"/>
    <w:multiLevelType w:val="hybridMultilevel"/>
    <w:tmpl w:val="889651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571A64"/>
    <w:multiLevelType w:val="hybridMultilevel"/>
    <w:tmpl w:val="29389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96315"/>
    <w:multiLevelType w:val="hybridMultilevel"/>
    <w:tmpl w:val="ECE0F214"/>
    <w:lvl w:ilvl="0" w:tplc="81DEACA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E48A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05E3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AAF7B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6C544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0646BA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02E3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AA42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2E88C4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E9"/>
    <w:rsid w:val="0000001E"/>
    <w:rsid w:val="00001DAE"/>
    <w:rsid w:val="00010A0A"/>
    <w:rsid w:val="00037B11"/>
    <w:rsid w:val="00042C34"/>
    <w:rsid w:val="00043B8D"/>
    <w:rsid w:val="00052A9F"/>
    <w:rsid w:val="00056560"/>
    <w:rsid w:val="00075CC1"/>
    <w:rsid w:val="00082FE9"/>
    <w:rsid w:val="000C0F3E"/>
    <w:rsid w:val="000F23BF"/>
    <w:rsid w:val="00105708"/>
    <w:rsid w:val="001101C8"/>
    <w:rsid w:val="00114526"/>
    <w:rsid w:val="00123213"/>
    <w:rsid w:val="00157FC3"/>
    <w:rsid w:val="001615B8"/>
    <w:rsid w:val="00181916"/>
    <w:rsid w:val="001955FF"/>
    <w:rsid w:val="001B6BAD"/>
    <w:rsid w:val="001C1408"/>
    <w:rsid w:val="001C228D"/>
    <w:rsid w:val="001D3DF6"/>
    <w:rsid w:val="001D4C7D"/>
    <w:rsid w:val="001E7174"/>
    <w:rsid w:val="001F1F1C"/>
    <w:rsid w:val="001F6E2B"/>
    <w:rsid w:val="00204F5C"/>
    <w:rsid w:val="002056D4"/>
    <w:rsid w:val="00210731"/>
    <w:rsid w:val="0021170C"/>
    <w:rsid w:val="00223301"/>
    <w:rsid w:val="00224FAC"/>
    <w:rsid w:val="00232A61"/>
    <w:rsid w:val="00235CF6"/>
    <w:rsid w:val="00245C88"/>
    <w:rsid w:val="00246BDD"/>
    <w:rsid w:val="00263464"/>
    <w:rsid w:val="002737ED"/>
    <w:rsid w:val="00274B67"/>
    <w:rsid w:val="002A2F23"/>
    <w:rsid w:val="002A7C44"/>
    <w:rsid w:val="002C683E"/>
    <w:rsid w:val="002C779C"/>
    <w:rsid w:val="002D7572"/>
    <w:rsid w:val="002E16FF"/>
    <w:rsid w:val="002F0EAB"/>
    <w:rsid w:val="002F44DF"/>
    <w:rsid w:val="003058B3"/>
    <w:rsid w:val="00316200"/>
    <w:rsid w:val="00326C41"/>
    <w:rsid w:val="00334AEC"/>
    <w:rsid w:val="0034289B"/>
    <w:rsid w:val="00353652"/>
    <w:rsid w:val="00354277"/>
    <w:rsid w:val="00361019"/>
    <w:rsid w:val="003618A8"/>
    <w:rsid w:val="0037074E"/>
    <w:rsid w:val="00384E43"/>
    <w:rsid w:val="003A0949"/>
    <w:rsid w:val="003D0063"/>
    <w:rsid w:val="003D095D"/>
    <w:rsid w:val="003D256C"/>
    <w:rsid w:val="003D62B0"/>
    <w:rsid w:val="003D6C93"/>
    <w:rsid w:val="003F4A41"/>
    <w:rsid w:val="003F6E9E"/>
    <w:rsid w:val="00414E97"/>
    <w:rsid w:val="00415028"/>
    <w:rsid w:val="00423213"/>
    <w:rsid w:val="004238FC"/>
    <w:rsid w:val="00425247"/>
    <w:rsid w:val="004259F4"/>
    <w:rsid w:val="00432061"/>
    <w:rsid w:val="004414B3"/>
    <w:rsid w:val="00441AF0"/>
    <w:rsid w:val="00444100"/>
    <w:rsid w:val="0045340F"/>
    <w:rsid w:val="00456192"/>
    <w:rsid w:val="00462DD6"/>
    <w:rsid w:val="004702F8"/>
    <w:rsid w:val="00477E3A"/>
    <w:rsid w:val="00496A3E"/>
    <w:rsid w:val="004A1C48"/>
    <w:rsid w:val="004A65D6"/>
    <w:rsid w:val="004A6DFA"/>
    <w:rsid w:val="004A73B8"/>
    <w:rsid w:val="004B121D"/>
    <w:rsid w:val="004B1B9A"/>
    <w:rsid w:val="004C7917"/>
    <w:rsid w:val="004D2961"/>
    <w:rsid w:val="004D6559"/>
    <w:rsid w:val="004E6D52"/>
    <w:rsid w:val="004E7EC7"/>
    <w:rsid w:val="004F5359"/>
    <w:rsid w:val="004F59E2"/>
    <w:rsid w:val="005177E7"/>
    <w:rsid w:val="0055346F"/>
    <w:rsid w:val="005753DC"/>
    <w:rsid w:val="005856B0"/>
    <w:rsid w:val="005A6889"/>
    <w:rsid w:val="005C34AC"/>
    <w:rsid w:val="005C61CF"/>
    <w:rsid w:val="005D42BB"/>
    <w:rsid w:val="005E6D04"/>
    <w:rsid w:val="005F02AA"/>
    <w:rsid w:val="005F5284"/>
    <w:rsid w:val="0061162E"/>
    <w:rsid w:val="00665367"/>
    <w:rsid w:val="00677546"/>
    <w:rsid w:val="006A3483"/>
    <w:rsid w:val="006D659B"/>
    <w:rsid w:val="006E4573"/>
    <w:rsid w:val="006F084A"/>
    <w:rsid w:val="006F0BB6"/>
    <w:rsid w:val="006F0BF4"/>
    <w:rsid w:val="006F3160"/>
    <w:rsid w:val="007027F4"/>
    <w:rsid w:val="007148A5"/>
    <w:rsid w:val="00726EDD"/>
    <w:rsid w:val="00740575"/>
    <w:rsid w:val="00741E4D"/>
    <w:rsid w:val="007550D1"/>
    <w:rsid w:val="00767125"/>
    <w:rsid w:val="00777B9C"/>
    <w:rsid w:val="00787F29"/>
    <w:rsid w:val="007A596C"/>
    <w:rsid w:val="007B2C2B"/>
    <w:rsid w:val="007C3C81"/>
    <w:rsid w:val="007D3E2E"/>
    <w:rsid w:val="007D7037"/>
    <w:rsid w:val="007D7BE0"/>
    <w:rsid w:val="007E00D2"/>
    <w:rsid w:val="007E32F6"/>
    <w:rsid w:val="007E5672"/>
    <w:rsid w:val="007F2C97"/>
    <w:rsid w:val="00800B88"/>
    <w:rsid w:val="008061FC"/>
    <w:rsid w:val="00812C63"/>
    <w:rsid w:val="0081421F"/>
    <w:rsid w:val="0081681F"/>
    <w:rsid w:val="008307C6"/>
    <w:rsid w:val="008403C0"/>
    <w:rsid w:val="0085727C"/>
    <w:rsid w:val="008741CD"/>
    <w:rsid w:val="008958B2"/>
    <w:rsid w:val="008A41A6"/>
    <w:rsid w:val="008B37F3"/>
    <w:rsid w:val="008C264A"/>
    <w:rsid w:val="008C5C3B"/>
    <w:rsid w:val="008D2904"/>
    <w:rsid w:val="008D4DF3"/>
    <w:rsid w:val="008F1639"/>
    <w:rsid w:val="00906BB2"/>
    <w:rsid w:val="00933E0A"/>
    <w:rsid w:val="00942F5C"/>
    <w:rsid w:val="00963B0C"/>
    <w:rsid w:val="00963BAA"/>
    <w:rsid w:val="00966EA3"/>
    <w:rsid w:val="0099564A"/>
    <w:rsid w:val="009A7C4C"/>
    <w:rsid w:val="009C4DD9"/>
    <w:rsid w:val="009F59B6"/>
    <w:rsid w:val="00A014F6"/>
    <w:rsid w:val="00A04325"/>
    <w:rsid w:val="00A047DC"/>
    <w:rsid w:val="00A064BF"/>
    <w:rsid w:val="00A06AF5"/>
    <w:rsid w:val="00A2111F"/>
    <w:rsid w:val="00A37CFB"/>
    <w:rsid w:val="00A41AA1"/>
    <w:rsid w:val="00A54C3B"/>
    <w:rsid w:val="00A5502B"/>
    <w:rsid w:val="00A568A4"/>
    <w:rsid w:val="00A6694F"/>
    <w:rsid w:val="00A73919"/>
    <w:rsid w:val="00A761B8"/>
    <w:rsid w:val="00A762F5"/>
    <w:rsid w:val="00A80ABF"/>
    <w:rsid w:val="00A870E6"/>
    <w:rsid w:val="00A9047C"/>
    <w:rsid w:val="00A97E55"/>
    <w:rsid w:val="00AA2F7D"/>
    <w:rsid w:val="00AC7E48"/>
    <w:rsid w:val="00AE3033"/>
    <w:rsid w:val="00AE4E66"/>
    <w:rsid w:val="00AF23E3"/>
    <w:rsid w:val="00AF4488"/>
    <w:rsid w:val="00B24E0F"/>
    <w:rsid w:val="00B3115A"/>
    <w:rsid w:val="00B33D12"/>
    <w:rsid w:val="00B4529B"/>
    <w:rsid w:val="00B468ED"/>
    <w:rsid w:val="00B53735"/>
    <w:rsid w:val="00B61380"/>
    <w:rsid w:val="00B84F1B"/>
    <w:rsid w:val="00B90224"/>
    <w:rsid w:val="00BA31C7"/>
    <w:rsid w:val="00BB0EC7"/>
    <w:rsid w:val="00BB152D"/>
    <w:rsid w:val="00BB69A4"/>
    <w:rsid w:val="00BE2210"/>
    <w:rsid w:val="00BE320D"/>
    <w:rsid w:val="00BF5FBA"/>
    <w:rsid w:val="00C11A77"/>
    <w:rsid w:val="00C5263E"/>
    <w:rsid w:val="00C5321F"/>
    <w:rsid w:val="00C70C7A"/>
    <w:rsid w:val="00C7298C"/>
    <w:rsid w:val="00C8392B"/>
    <w:rsid w:val="00C91BC2"/>
    <w:rsid w:val="00CA2187"/>
    <w:rsid w:val="00CA4387"/>
    <w:rsid w:val="00CA5304"/>
    <w:rsid w:val="00CB3005"/>
    <w:rsid w:val="00CC4B87"/>
    <w:rsid w:val="00CC71D7"/>
    <w:rsid w:val="00CD01B1"/>
    <w:rsid w:val="00CE4B96"/>
    <w:rsid w:val="00CF357C"/>
    <w:rsid w:val="00D103A8"/>
    <w:rsid w:val="00D133B1"/>
    <w:rsid w:val="00D135A6"/>
    <w:rsid w:val="00D158A6"/>
    <w:rsid w:val="00D25493"/>
    <w:rsid w:val="00D50C4A"/>
    <w:rsid w:val="00D52E6C"/>
    <w:rsid w:val="00D5592A"/>
    <w:rsid w:val="00D655D9"/>
    <w:rsid w:val="00D7779F"/>
    <w:rsid w:val="00D91A49"/>
    <w:rsid w:val="00DA295D"/>
    <w:rsid w:val="00DB1932"/>
    <w:rsid w:val="00DB4CE5"/>
    <w:rsid w:val="00DB76C5"/>
    <w:rsid w:val="00DD081D"/>
    <w:rsid w:val="00E06DA9"/>
    <w:rsid w:val="00E075EB"/>
    <w:rsid w:val="00E34811"/>
    <w:rsid w:val="00E406E9"/>
    <w:rsid w:val="00E5684E"/>
    <w:rsid w:val="00E71D0F"/>
    <w:rsid w:val="00E86CAD"/>
    <w:rsid w:val="00E87C56"/>
    <w:rsid w:val="00E928E5"/>
    <w:rsid w:val="00E96C27"/>
    <w:rsid w:val="00EA3601"/>
    <w:rsid w:val="00EC3961"/>
    <w:rsid w:val="00EC5FC7"/>
    <w:rsid w:val="00EC6DE8"/>
    <w:rsid w:val="00ED19B9"/>
    <w:rsid w:val="00ED2FE5"/>
    <w:rsid w:val="00ED3239"/>
    <w:rsid w:val="00EF1EDB"/>
    <w:rsid w:val="00EF310F"/>
    <w:rsid w:val="00EF3FA5"/>
    <w:rsid w:val="00F35358"/>
    <w:rsid w:val="00F36195"/>
    <w:rsid w:val="00F431AE"/>
    <w:rsid w:val="00F57A0E"/>
    <w:rsid w:val="00F62227"/>
    <w:rsid w:val="00F6231F"/>
    <w:rsid w:val="00F65476"/>
    <w:rsid w:val="00F66447"/>
    <w:rsid w:val="00F812A3"/>
    <w:rsid w:val="00F81FC1"/>
    <w:rsid w:val="00FB2FD1"/>
    <w:rsid w:val="00FC6486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F6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C1"/>
    <w:pPr>
      <w:spacing w:line="252" w:lineRule="auto"/>
    </w:pPr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B2C2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7B2C2B"/>
  </w:style>
  <w:style w:type="paragraph" w:styleId="Subsol">
    <w:name w:val="footer"/>
    <w:basedOn w:val="Normal"/>
    <w:link w:val="SubsolCaracter"/>
    <w:uiPriority w:val="99"/>
    <w:unhideWhenUsed/>
    <w:rsid w:val="007B2C2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7B2C2B"/>
  </w:style>
  <w:style w:type="character" w:styleId="Hyperlink">
    <w:name w:val="Hyperlink"/>
    <w:uiPriority w:val="99"/>
    <w:rsid w:val="006F084A"/>
    <w:rPr>
      <w:rFonts w:cs="Times New Roman"/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6F084A"/>
    <w:pPr>
      <w:spacing w:line="259" w:lineRule="auto"/>
      <w:ind w:left="720"/>
      <w:contextualSpacing/>
    </w:pPr>
    <w:rPr>
      <w:rFonts w:eastAsia="Calibri" w:cs="Times New Roman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6F084A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24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dispositif">
    <w:name w:val="c08dispositif"/>
    <w:basedOn w:val="Normal"/>
    <w:rsid w:val="00F6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dispositifmarge1avectiretlong">
    <w:name w:val="c34dispositifmarge1avectiretlong"/>
    <w:basedOn w:val="Normal"/>
    <w:rsid w:val="00F6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deparagrafimplicit"/>
    <w:rsid w:val="00384E43"/>
  </w:style>
  <w:style w:type="character" w:customStyle="1" w:styleId="scxw204409121">
    <w:name w:val="scxw204409121"/>
    <w:basedOn w:val="Fontdeparagrafimplicit"/>
    <w:rsid w:val="00384E43"/>
  </w:style>
  <w:style w:type="table" w:customStyle="1" w:styleId="GridTable4Accent1">
    <w:name w:val="Grid Table 4 Accent 1"/>
    <w:basedOn w:val="TabelNormal"/>
    <w:uiPriority w:val="49"/>
    <w:rsid w:val="00224FA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31620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1620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16200"/>
    <w:rPr>
      <w:rFonts w:ascii="Calibri" w:hAnsi="Calibri" w:cs="Calibri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1620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16200"/>
    <w:rPr>
      <w:rFonts w:ascii="Calibri" w:hAnsi="Calibri" w:cs="Calibri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1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6200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5F02AA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C1"/>
    <w:pPr>
      <w:spacing w:line="252" w:lineRule="auto"/>
    </w:pPr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B2C2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7B2C2B"/>
  </w:style>
  <w:style w:type="paragraph" w:styleId="Subsol">
    <w:name w:val="footer"/>
    <w:basedOn w:val="Normal"/>
    <w:link w:val="SubsolCaracter"/>
    <w:uiPriority w:val="99"/>
    <w:unhideWhenUsed/>
    <w:rsid w:val="007B2C2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7B2C2B"/>
  </w:style>
  <w:style w:type="character" w:styleId="Hyperlink">
    <w:name w:val="Hyperlink"/>
    <w:uiPriority w:val="99"/>
    <w:rsid w:val="006F084A"/>
    <w:rPr>
      <w:rFonts w:cs="Times New Roman"/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6F084A"/>
    <w:pPr>
      <w:spacing w:line="259" w:lineRule="auto"/>
      <w:ind w:left="720"/>
      <w:contextualSpacing/>
    </w:pPr>
    <w:rPr>
      <w:rFonts w:eastAsia="Calibri" w:cs="Times New Roman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6F084A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24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dispositif">
    <w:name w:val="c08dispositif"/>
    <w:basedOn w:val="Normal"/>
    <w:rsid w:val="00F6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dispositifmarge1avectiretlong">
    <w:name w:val="c34dispositifmarge1avectiretlong"/>
    <w:basedOn w:val="Normal"/>
    <w:rsid w:val="00F6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deparagrafimplicit"/>
    <w:rsid w:val="00384E43"/>
  </w:style>
  <w:style w:type="character" w:customStyle="1" w:styleId="scxw204409121">
    <w:name w:val="scxw204409121"/>
    <w:basedOn w:val="Fontdeparagrafimplicit"/>
    <w:rsid w:val="00384E43"/>
  </w:style>
  <w:style w:type="table" w:customStyle="1" w:styleId="GridTable4Accent1">
    <w:name w:val="Grid Table 4 Accent 1"/>
    <w:basedOn w:val="TabelNormal"/>
    <w:uiPriority w:val="49"/>
    <w:rsid w:val="00224FA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31620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1620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16200"/>
    <w:rPr>
      <w:rFonts w:ascii="Calibri" w:hAnsi="Calibri" w:cs="Calibri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1620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16200"/>
    <w:rPr>
      <w:rFonts w:ascii="Calibri" w:hAnsi="Calibri" w:cs="Calibri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1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6200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5F02A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alb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csalb.ro" TargetMode="External"/><Relationship Id="rId7" Type="http://schemas.openxmlformats.org/officeDocument/2006/relationships/hyperlink" Target="https://www.linkedin.com/in/csalb-negociem-%C3%AEmpreun%C4%83-b640971ab/" TargetMode="External"/><Relationship Id="rId2" Type="http://schemas.openxmlformats.org/officeDocument/2006/relationships/hyperlink" Target="mailto:secretariat@csalb.ro" TargetMode="External"/><Relationship Id="rId1" Type="http://schemas.openxmlformats.org/officeDocument/2006/relationships/hyperlink" Target="http://www.csalb.ro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youtube.com/channel/UCfFZhzrqlG-YvmhHXnZ8d6A/featured?view_as=subscriber" TargetMode="External"/><Relationship Id="rId10" Type="http://schemas.openxmlformats.org/officeDocument/2006/relationships/image" Target="media/image7.jfif"/><Relationship Id="rId4" Type="http://schemas.openxmlformats.org/officeDocument/2006/relationships/image" Target="media/image4.png"/><Relationship Id="rId9" Type="http://schemas.openxmlformats.org/officeDocument/2006/relationships/hyperlink" Target="https://www.instagram.com/csalb_du_vestea_mai_departe/?hl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03D5-3FF4-44E2-9A6B-134A7CB8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1149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 Catalin</dc:creator>
  <cp:keywords/>
  <dc:description/>
  <cp:lastModifiedBy>m.cristian.ccm@gmail.com</cp:lastModifiedBy>
  <cp:revision>106</cp:revision>
  <cp:lastPrinted>2021-07-12T08:35:00Z</cp:lastPrinted>
  <dcterms:created xsi:type="dcterms:W3CDTF">2021-07-23T13:30:00Z</dcterms:created>
  <dcterms:modified xsi:type="dcterms:W3CDTF">2021-08-31T09:24:00Z</dcterms:modified>
</cp:coreProperties>
</file>