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EB67E" w14:textId="77777777" w:rsidR="00C56559" w:rsidRDefault="00C56559"/>
    <w:tbl>
      <w:tblPr>
        <w:tblStyle w:val="TableGrid"/>
        <w:tblW w:w="11392"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3"/>
        <w:gridCol w:w="5569"/>
      </w:tblGrid>
      <w:tr w:rsidR="00C56559" w14:paraId="06D3FDD2" w14:textId="77777777" w:rsidTr="00582689">
        <w:trPr>
          <w:trHeight w:val="7718"/>
        </w:trPr>
        <w:tc>
          <w:tcPr>
            <w:tcW w:w="11389" w:type="dxa"/>
            <w:gridSpan w:val="2"/>
          </w:tcPr>
          <w:p w14:paraId="39A8410A" w14:textId="63B0737A" w:rsidR="00C56559" w:rsidRDefault="00184257">
            <w:r>
              <w:rPr>
                <w:noProof/>
              </w:rPr>
              <w:drawing>
                <wp:anchor distT="0" distB="0" distL="114300" distR="114300" simplePos="0" relativeHeight="251677696" behindDoc="0" locked="0" layoutInCell="1" allowOverlap="1" wp14:anchorId="4FB8AF72" wp14:editId="02B4774A">
                  <wp:simplePos x="0" y="0"/>
                  <wp:positionH relativeFrom="column">
                    <wp:posOffset>0</wp:posOffset>
                  </wp:positionH>
                  <wp:positionV relativeFrom="paragraph">
                    <wp:posOffset>-3175</wp:posOffset>
                  </wp:positionV>
                  <wp:extent cx="7772400" cy="4369435"/>
                  <wp:effectExtent l="0" t="0" r="381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4369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82689" w14:paraId="1C11BF53" w14:textId="77777777" w:rsidTr="00AE10B3">
        <w:tc>
          <w:tcPr>
            <w:tcW w:w="6947" w:type="dxa"/>
          </w:tcPr>
          <w:p w14:paraId="7EF1B94F" w14:textId="438923E6" w:rsidR="00363DB7" w:rsidRDefault="00184257" w:rsidP="00CA184F">
            <w:pPr>
              <w:jc w:val="right"/>
              <w:rPr>
                <w:rFonts w:ascii="Myriad Pro Cond" w:hAnsi="Myriad Pro Cond"/>
                <w:color w:val="1498BF"/>
                <w:sz w:val="72"/>
                <w:szCs w:val="72"/>
              </w:rPr>
            </w:pPr>
            <w:r>
              <w:rPr>
                <w:rFonts w:ascii="Myriad Pro Cond" w:hAnsi="Myriad Pro Cond"/>
                <w:color w:val="1498BF"/>
                <w:sz w:val="72"/>
                <w:szCs w:val="72"/>
              </w:rPr>
              <w:t>Labour Rights as Human Rights</w:t>
            </w:r>
          </w:p>
          <w:p w14:paraId="63C20411" w14:textId="77777777" w:rsidR="00363DB7" w:rsidRPr="00363DB7" w:rsidRDefault="00363DB7" w:rsidP="00363DB7">
            <w:pPr>
              <w:rPr>
                <w:rFonts w:ascii="Myriad Pro Cond" w:hAnsi="Myriad Pro Cond"/>
                <w:b/>
                <w:bCs/>
                <w:color w:val="0E3D8A"/>
              </w:rPr>
            </w:pPr>
          </w:p>
          <w:p w14:paraId="41C113D1" w14:textId="2C43D8D2" w:rsidR="00C56559" w:rsidRPr="00AE10B3" w:rsidRDefault="00881DBA" w:rsidP="00363DB7">
            <w:pPr>
              <w:jc w:val="right"/>
              <w:rPr>
                <w:rFonts w:ascii="Myriad Pro Cond" w:hAnsi="Myriad Pro Cond"/>
                <w:b/>
                <w:bCs/>
                <w:color w:val="0E3D8A"/>
                <w:sz w:val="56"/>
                <w:szCs w:val="56"/>
              </w:rPr>
            </w:pPr>
            <w:r w:rsidRPr="00AE10B3">
              <w:rPr>
                <w:rFonts w:ascii="Myriad Pro Cond" w:hAnsi="Myriad Pro Cond"/>
                <w:b/>
                <w:bCs/>
                <w:color w:val="0E3D8A"/>
                <w:sz w:val="56"/>
                <w:szCs w:val="56"/>
              </w:rPr>
              <w:t>HEL</w:t>
            </w:r>
            <w:r w:rsidR="00CA184F">
              <w:rPr>
                <w:rFonts w:ascii="Myriad Pro Cond" w:hAnsi="Myriad Pro Cond"/>
                <w:b/>
                <w:bCs/>
                <w:color w:val="0E3D8A"/>
                <w:sz w:val="56"/>
                <w:szCs w:val="56"/>
              </w:rPr>
              <w:t xml:space="preserve">P </w:t>
            </w:r>
            <w:r w:rsidR="00A15D4A" w:rsidRPr="00AE10B3">
              <w:rPr>
                <w:rFonts w:ascii="Myriad Pro Cond" w:hAnsi="Myriad Pro Cond"/>
                <w:b/>
                <w:bCs/>
                <w:color w:val="0E3D8A"/>
                <w:sz w:val="56"/>
                <w:szCs w:val="56"/>
              </w:rPr>
              <w:t xml:space="preserve">ONLINE </w:t>
            </w:r>
            <w:r w:rsidR="00C56559" w:rsidRPr="00AE10B3">
              <w:rPr>
                <w:rFonts w:ascii="Myriad Pro Cond" w:hAnsi="Myriad Pro Cond"/>
                <w:b/>
                <w:bCs/>
                <w:color w:val="0E3D8A"/>
                <w:sz w:val="56"/>
                <w:szCs w:val="56"/>
              </w:rPr>
              <w:t>COURSE</w:t>
            </w:r>
          </w:p>
          <w:p w14:paraId="1E150752" w14:textId="43B63FF9" w:rsidR="001068B0" w:rsidRPr="001068B0" w:rsidRDefault="001068B0" w:rsidP="00363DB7">
            <w:pPr>
              <w:jc w:val="right"/>
              <w:rPr>
                <w:sz w:val="40"/>
                <w:szCs w:val="40"/>
              </w:rPr>
            </w:pPr>
          </w:p>
        </w:tc>
        <w:tc>
          <w:tcPr>
            <w:tcW w:w="4445" w:type="dxa"/>
            <w:shd w:val="clear" w:color="auto" w:fill="0E3D8A"/>
          </w:tcPr>
          <w:p w14:paraId="3E98D29F" w14:textId="77777777" w:rsidR="00363DB7" w:rsidRPr="00363DB7" w:rsidRDefault="00363DB7" w:rsidP="005B36F4">
            <w:pPr>
              <w:ind w:right="452"/>
              <w:rPr>
                <w:rFonts w:ascii="Myriad Pro Cond" w:hAnsi="Myriad Pro Cond"/>
                <w:sz w:val="24"/>
                <w:szCs w:val="24"/>
              </w:rPr>
            </w:pPr>
          </w:p>
          <w:p w14:paraId="2DFFF9BA" w14:textId="3C529B69" w:rsidR="00363DB7" w:rsidRPr="00AE10B3" w:rsidRDefault="00363DB7" w:rsidP="001068B0">
            <w:pPr>
              <w:ind w:right="452"/>
              <w:jc w:val="right"/>
              <w:rPr>
                <w:rFonts w:ascii="Myriad Pro Cond" w:hAnsi="Myriad Pro Cond"/>
                <w:b/>
                <w:bCs/>
                <w:sz w:val="32"/>
                <w:szCs w:val="32"/>
              </w:rPr>
            </w:pPr>
            <w:r w:rsidRPr="00AE10B3">
              <w:rPr>
                <w:rFonts w:ascii="Myriad Pro Cond" w:hAnsi="Myriad Pro Cond"/>
                <w:b/>
                <w:bCs/>
                <w:sz w:val="32"/>
                <w:szCs w:val="32"/>
              </w:rPr>
              <w:t xml:space="preserve">Duration: </w:t>
            </w:r>
            <w:r w:rsidR="00CA184F">
              <w:rPr>
                <w:rFonts w:ascii="Myriad Pro Cond" w:hAnsi="Myriad Pro Cond"/>
                <w:b/>
                <w:bCs/>
                <w:sz w:val="32"/>
                <w:szCs w:val="32"/>
              </w:rPr>
              <w:t>1</w:t>
            </w:r>
            <w:r w:rsidR="00582689">
              <w:rPr>
                <w:rFonts w:ascii="Myriad Pro Cond" w:hAnsi="Myriad Pro Cond"/>
                <w:b/>
                <w:bCs/>
                <w:sz w:val="32"/>
                <w:szCs w:val="32"/>
              </w:rPr>
              <w:t>3</w:t>
            </w:r>
            <w:r w:rsidRPr="00AE10B3">
              <w:rPr>
                <w:rFonts w:ascii="Myriad Pro Cond" w:hAnsi="Myriad Pro Cond"/>
                <w:b/>
                <w:bCs/>
                <w:sz w:val="32"/>
                <w:szCs w:val="32"/>
              </w:rPr>
              <w:t xml:space="preserve"> hours</w:t>
            </w:r>
          </w:p>
          <w:p w14:paraId="0DE9DA9D" w14:textId="77777777" w:rsidR="00363DB7" w:rsidRPr="00AE10B3" w:rsidRDefault="00363DB7" w:rsidP="001068B0">
            <w:pPr>
              <w:ind w:right="452"/>
              <w:jc w:val="right"/>
              <w:rPr>
                <w:rFonts w:ascii="Myriad Pro Cond" w:hAnsi="Myriad Pro Cond"/>
                <w:sz w:val="8"/>
                <w:szCs w:val="8"/>
              </w:rPr>
            </w:pPr>
          </w:p>
          <w:p w14:paraId="501C1A8D" w14:textId="5F7482C3" w:rsidR="00363DB7" w:rsidRPr="00AE10B3" w:rsidRDefault="00363DB7" w:rsidP="001068B0">
            <w:pPr>
              <w:ind w:right="452"/>
              <w:jc w:val="right"/>
              <w:rPr>
                <w:rFonts w:ascii="Myriad Pro Cond" w:hAnsi="Myriad Pro Cond"/>
                <w:b/>
                <w:bCs/>
                <w:sz w:val="32"/>
                <w:szCs w:val="32"/>
              </w:rPr>
            </w:pPr>
            <w:r w:rsidRPr="00AE10B3">
              <w:rPr>
                <w:rFonts w:ascii="Myriad Pro Cond" w:hAnsi="Myriad Pro Cond"/>
                <w:b/>
                <w:bCs/>
                <w:sz w:val="32"/>
                <w:szCs w:val="32"/>
              </w:rPr>
              <w:t>Available for free on the CoE HELP e-learning platform</w:t>
            </w:r>
          </w:p>
          <w:p w14:paraId="13C968DB" w14:textId="77777777" w:rsidR="00363DB7" w:rsidRPr="00AE10B3" w:rsidRDefault="00363DB7" w:rsidP="001068B0">
            <w:pPr>
              <w:ind w:right="452"/>
              <w:jc w:val="right"/>
              <w:rPr>
                <w:rFonts w:ascii="Myriad Pro Cond" w:hAnsi="Myriad Pro Cond"/>
                <w:sz w:val="8"/>
                <w:szCs w:val="8"/>
              </w:rPr>
            </w:pPr>
          </w:p>
          <w:p w14:paraId="61338616" w14:textId="5C7295D0" w:rsidR="00363DB7" w:rsidRPr="00CA184F" w:rsidRDefault="00363DB7" w:rsidP="001068B0">
            <w:pPr>
              <w:ind w:right="452"/>
              <w:jc w:val="right"/>
              <w:rPr>
                <w:rFonts w:ascii="Myriad Pro Cond" w:hAnsi="Myriad Pro Cond"/>
                <w:b/>
                <w:bCs/>
                <w:sz w:val="36"/>
                <w:szCs w:val="36"/>
              </w:rPr>
            </w:pPr>
            <w:r w:rsidRPr="00CA184F">
              <w:rPr>
                <w:rFonts w:ascii="Myriad Pro Cond" w:hAnsi="Myriad Pro Cond"/>
                <w:b/>
                <w:bCs/>
                <w:sz w:val="32"/>
                <w:szCs w:val="32"/>
              </w:rPr>
              <w:t xml:space="preserve">Statement of Accomplishment </w:t>
            </w:r>
          </w:p>
          <w:p w14:paraId="32EA396F" w14:textId="48381C4C" w:rsidR="005B36F4" w:rsidRPr="00CA184F" w:rsidRDefault="005B36F4" w:rsidP="001068B0">
            <w:pPr>
              <w:ind w:right="452"/>
              <w:jc w:val="right"/>
              <w:rPr>
                <w:rFonts w:ascii="Myriad Pro Cond" w:hAnsi="Myriad Pro Cond"/>
                <w:sz w:val="36"/>
                <w:szCs w:val="36"/>
              </w:rPr>
            </w:pPr>
            <w:r>
              <w:rPr>
                <w:rFonts w:ascii="Myriad Pro Cond" w:hAnsi="Myriad Pro Cond"/>
                <w:b/>
                <w:bCs/>
                <w:noProof/>
                <w:sz w:val="36"/>
                <w:szCs w:val="36"/>
              </w:rPr>
              <w:drawing>
                <wp:anchor distT="0" distB="0" distL="114300" distR="114300" simplePos="0" relativeHeight="251636736" behindDoc="0" locked="0" layoutInCell="1" allowOverlap="1" wp14:anchorId="191A3776" wp14:editId="4820F16C">
                  <wp:simplePos x="0" y="0"/>
                  <wp:positionH relativeFrom="column">
                    <wp:posOffset>2487295</wp:posOffset>
                  </wp:positionH>
                  <wp:positionV relativeFrom="paragraph">
                    <wp:posOffset>233680</wp:posOffset>
                  </wp:positionV>
                  <wp:extent cx="336550" cy="336550"/>
                  <wp:effectExtent l="0" t="0" r="6350" b="6350"/>
                  <wp:wrapSquare wrapText="bothSides"/>
                  <wp:docPr id="10" name="Graphic 10" descr="Circle with right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ircle with right arrow">
                            <a:hlinkClick r:id="rId8"/>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rot="10800000">
                            <a:off x="0" y="0"/>
                            <a:ext cx="336550" cy="336550"/>
                          </a:xfrm>
                          <a:prstGeom prst="rect">
                            <a:avLst/>
                          </a:prstGeom>
                        </pic:spPr>
                      </pic:pic>
                    </a:graphicData>
                  </a:graphic>
                  <wp14:sizeRelH relativeFrom="margin">
                    <wp14:pctWidth>0</wp14:pctWidth>
                  </wp14:sizeRelH>
                  <wp14:sizeRelV relativeFrom="margin">
                    <wp14:pctHeight>0</wp14:pctHeight>
                  </wp14:sizeRelV>
                </wp:anchor>
              </w:drawing>
            </w:r>
          </w:p>
          <w:p w14:paraId="41BCCEF9" w14:textId="32A3AE8C" w:rsidR="005B36F4" w:rsidRPr="00CA184F" w:rsidRDefault="00CA184F" w:rsidP="00CA184F">
            <w:pPr>
              <w:ind w:right="452"/>
              <w:jc w:val="center"/>
              <w:rPr>
                <w:rFonts w:ascii="Myriad Pro Cond" w:hAnsi="Myriad Pro Cond"/>
                <w:b/>
                <w:bCs/>
                <w:sz w:val="36"/>
                <w:szCs w:val="36"/>
              </w:rPr>
            </w:pPr>
            <w:r w:rsidRPr="00CA184F">
              <w:rPr>
                <w:rFonts w:ascii="Myriad Pro Cond" w:hAnsi="Myriad Pro Cond"/>
                <w:b/>
                <w:bCs/>
                <w:sz w:val="36"/>
                <w:szCs w:val="36"/>
              </w:rPr>
              <w:t xml:space="preserve"> </w:t>
            </w:r>
            <w:r>
              <w:rPr>
                <w:rFonts w:ascii="Myriad Pro Cond" w:hAnsi="Myriad Pro Cond"/>
                <w:b/>
                <w:bCs/>
                <w:sz w:val="36"/>
                <w:szCs w:val="36"/>
              </w:rPr>
              <w:t xml:space="preserve">                                 </w:t>
            </w:r>
            <w:r w:rsidR="005B36F4" w:rsidRPr="00CA184F">
              <w:rPr>
                <w:rFonts w:ascii="Myriad Pro Cond" w:hAnsi="Myriad Pro Cond"/>
                <w:b/>
                <w:bCs/>
                <w:sz w:val="36"/>
                <w:szCs w:val="36"/>
              </w:rPr>
              <w:t xml:space="preserve">START COURSE </w:t>
            </w:r>
          </w:p>
          <w:p w14:paraId="299A35E1" w14:textId="3812E717" w:rsidR="00C56559" w:rsidRDefault="00C56559"/>
        </w:tc>
      </w:tr>
    </w:tbl>
    <w:p w14:paraId="630E9FFF" w14:textId="0E91FAF8" w:rsidR="00AD0A76" w:rsidRPr="00C56559" w:rsidRDefault="00AD0A76" w:rsidP="00C56559">
      <w:pPr>
        <w:ind w:right="-1130"/>
        <w:rPr>
          <w:rFonts w:ascii="Myriad Pro Cond" w:hAnsi="Myriad Pro Cond"/>
          <w:b/>
          <w:bCs/>
          <w:color w:val="0E3D8A"/>
          <w:sz w:val="2"/>
          <w:szCs w:val="2"/>
        </w:rPr>
      </w:pPr>
    </w:p>
    <w:tbl>
      <w:tblPr>
        <w:tblStyle w:val="TableGrid"/>
        <w:tblW w:w="14248"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8079"/>
        <w:gridCol w:w="1383"/>
        <w:gridCol w:w="2375"/>
      </w:tblGrid>
      <w:tr w:rsidR="00C56559" w14:paraId="31476D7B" w14:textId="77777777" w:rsidTr="00C56559">
        <w:tc>
          <w:tcPr>
            <w:tcW w:w="2411" w:type="dxa"/>
          </w:tcPr>
          <w:p w14:paraId="32ED0B66" w14:textId="77777777" w:rsidR="00C56559" w:rsidRDefault="00C56559" w:rsidP="00C56559">
            <w:pPr>
              <w:jc w:val="right"/>
              <w:rPr>
                <w:rFonts w:ascii="Myriad Pro Cond" w:hAnsi="Myriad Pro Cond"/>
                <w:b/>
                <w:bCs/>
                <w:sz w:val="72"/>
                <w:szCs w:val="72"/>
              </w:rPr>
            </w:pPr>
          </w:p>
        </w:tc>
        <w:tc>
          <w:tcPr>
            <w:tcW w:w="8079" w:type="dxa"/>
            <w:tcBorders>
              <w:right w:val="dashed" w:sz="12" w:space="0" w:color="0E3D8A"/>
            </w:tcBorders>
          </w:tcPr>
          <w:p w14:paraId="607E5705" w14:textId="77777777" w:rsidR="00C56559" w:rsidRPr="001068B0" w:rsidRDefault="00C56559" w:rsidP="00C56559">
            <w:pPr>
              <w:pStyle w:val="Title"/>
              <w:ind w:right="33"/>
              <w:jc w:val="right"/>
              <w:rPr>
                <w:rFonts w:ascii="Myriad Pro Cond" w:eastAsia="MyriadPro-BlackCond" w:hAnsi="Myriad Pro Cond" w:cs="MyriadPro-BlackCond"/>
                <w:color w:val="0E3D8A"/>
                <w:sz w:val="36"/>
                <w:szCs w:val="30"/>
              </w:rPr>
            </w:pPr>
            <w:r w:rsidRPr="001068B0">
              <w:rPr>
                <w:rFonts w:ascii="Myriad Pro Cond" w:eastAsia="MyriadPro-BlackCond" w:hAnsi="Myriad Pro Cond" w:cs="MyriadPro-BlackCond"/>
                <w:color w:val="0E3D8A"/>
                <w:sz w:val="36"/>
                <w:szCs w:val="30"/>
              </w:rPr>
              <w:t>Council of Europe</w:t>
            </w:r>
          </w:p>
          <w:p w14:paraId="4ADB220B" w14:textId="0E831856" w:rsidR="00C56559" w:rsidRPr="001068B0" w:rsidRDefault="00C56559" w:rsidP="00C56559">
            <w:pPr>
              <w:jc w:val="right"/>
              <w:rPr>
                <w:rFonts w:ascii="Myriad Pro Cond" w:hAnsi="Myriad Pro Cond"/>
                <w:b/>
                <w:bCs/>
                <w:sz w:val="36"/>
                <w:szCs w:val="30"/>
              </w:rPr>
            </w:pPr>
            <w:r w:rsidRPr="001068B0">
              <w:rPr>
                <w:rFonts w:ascii="Myriad Pro Cond" w:eastAsia="MyriadPro-BlackCond" w:hAnsi="Myriad Pro Cond" w:cs="MyriadPro-BlackCond"/>
                <w:color w:val="0E3D8A"/>
                <w:sz w:val="36"/>
                <w:szCs w:val="30"/>
              </w:rPr>
              <w:t>Human Rights Education for Legal P</w:t>
            </w:r>
            <w:bookmarkStart w:id="0" w:name="_GoBack"/>
            <w:bookmarkEnd w:id="0"/>
            <w:r w:rsidRPr="001068B0">
              <w:rPr>
                <w:rFonts w:ascii="Myriad Pro Cond" w:eastAsia="MyriadPro-BlackCond" w:hAnsi="Myriad Pro Cond" w:cs="MyriadPro-BlackCond"/>
                <w:color w:val="0E3D8A"/>
                <w:sz w:val="36"/>
                <w:szCs w:val="30"/>
              </w:rPr>
              <w:t>rofessionals (HELP) Programme</w:t>
            </w:r>
          </w:p>
        </w:tc>
        <w:tc>
          <w:tcPr>
            <w:tcW w:w="1383" w:type="dxa"/>
            <w:tcBorders>
              <w:left w:val="dashed" w:sz="12" w:space="0" w:color="0E3D8A"/>
              <w:right w:val="dashed" w:sz="12" w:space="0" w:color="0E3D8A"/>
            </w:tcBorders>
          </w:tcPr>
          <w:p w14:paraId="703C1CA4" w14:textId="77777777" w:rsidR="00C56559" w:rsidRPr="001068B0" w:rsidRDefault="00C56559" w:rsidP="00C56559">
            <w:pPr>
              <w:jc w:val="right"/>
              <w:rPr>
                <w:rFonts w:ascii="Myriad Pro Cond" w:hAnsi="Myriad Pro Cond"/>
                <w:b/>
                <w:bCs/>
                <w:color w:val="0E3D8A"/>
                <w:sz w:val="36"/>
                <w:szCs w:val="30"/>
              </w:rPr>
            </w:pPr>
          </w:p>
          <w:p w14:paraId="53B5DF9B" w14:textId="164F033E" w:rsidR="00C56559" w:rsidRPr="001068B0" w:rsidRDefault="00C56559" w:rsidP="00C56559">
            <w:pPr>
              <w:jc w:val="right"/>
              <w:rPr>
                <w:rFonts w:ascii="Myriad Pro Cond" w:hAnsi="Myriad Pro Cond"/>
                <w:sz w:val="36"/>
                <w:szCs w:val="30"/>
              </w:rPr>
            </w:pPr>
            <w:r w:rsidRPr="001068B0">
              <w:rPr>
                <w:rFonts w:ascii="Myriad Pro Cond" w:hAnsi="Myriad Pro Cond"/>
                <w:color w:val="0E3D8A"/>
                <w:sz w:val="36"/>
                <w:szCs w:val="30"/>
              </w:rPr>
              <w:t>2021</w:t>
            </w:r>
          </w:p>
        </w:tc>
        <w:tc>
          <w:tcPr>
            <w:tcW w:w="2375" w:type="dxa"/>
            <w:tcBorders>
              <w:left w:val="dashed" w:sz="12" w:space="0" w:color="0E3D8A"/>
            </w:tcBorders>
          </w:tcPr>
          <w:p w14:paraId="03500E76" w14:textId="77777777" w:rsidR="00C56559" w:rsidRDefault="00C56559" w:rsidP="00C56559">
            <w:pPr>
              <w:jc w:val="right"/>
              <w:rPr>
                <w:rFonts w:ascii="Myriad Pro Cond" w:hAnsi="Myriad Pro Cond"/>
                <w:b/>
                <w:bCs/>
                <w:sz w:val="72"/>
                <w:szCs w:val="72"/>
              </w:rPr>
            </w:pPr>
          </w:p>
        </w:tc>
      </w:tr>
    </w:tbl>
    <w:p w14:paraId="11B2D6F0" w14:textId="0DB42427" w:rsidR="001068B0" w:rsidRPr="008327EB" w:rsidRDefault="001068B0" w:rsidP="00675056">
      <w:pPr>
        <w:tabs>
          <w:tab w:val="left" w:pos="2949"/>
        </w:tabs>
        <w:rPr>
          <w:rFonts w:ascii="Myriad Pro Cond" w:hAnsi="Myriad Pro Cond"/>
          <w:b/>
          <w:bCs/>
          <w:sz w:val="44"/>
          <w:szCs w:val="44"/>
        </w:rPr>
      </w:pPr>
      <w:r>
        <w:rPr>
          <w:noProof/>
        </w:rPr>
        <w:lastRenderedPageBreak/>
        <w:drawing>
          <wp:anchor distT="0" distB="0" distL="114300" distR="114300" simplePos="0" relativeHeight="251606016" behindDoc="0" locked="0" layoutInCell="1" allowOverlap="1" wp14:anchorId="542DD4B4" wp14:editId="1025D0F4">
            <wp:simplePos x="0" y="0"/>
            <wp:positionH relativeFrom="column">
              <wp:posOffset>285750</wp:posOffset>
            </wp:positionH>
            <wp:positionV relativeFrom="paragraph">
              <wp:posOffset>218440</wp:posOffset>
            </wp:positionV>
            <wp:extent cx="5382895" cy="1271117"/>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2895" cy="12711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056">
        <w:rPr>
          <w:rFonts w:ascii="Myriad Pro Cond" w:hAnsi="Myriad Pro Cond"/>
          <w:b/>
          <w:bCs/>
          <w:sz w:val="72"/>
          <w:szCs w:val="72"/>
        </w:rPr>
        <w:tab/>
      </w:r>
    </w:p>
    <w:p w14:paraId="62664F6B" w14:textId="76030A66" w:rsidR="001068B0" w:rsidRDefault="001068B0" w:rsidP="00C56559">
      <w:pPr>
        <w:jc w:val="right"/>
        <w:rPr>
          <w:rFonts w:ascii="Myriad Pro Cond" w:hAnsi="Myriad Pro Cond"/>
          <w:b/>
          <w:bCs/>
          <w:sz w:val="72"/>
          <w:szCs w:val="72"/>
        </w:rPr>
      </w:pPr>
    </w:p>
    <w:p w14:paraId="2BE20289" w14:textId="77777777" w:rsidR="00184257" w:rsidRDefault="00184257" w:rsidP="001068B0">
      <w:pPr>
        <w:rPr>
          <w:rFonts w:ascii="Myriad Pro Cond" w:hAnsi="Myriad Pro Cond"/>
          <w:color w:val="1498BF"/>
          <w:sz w:val="56"/>
          <w:szCs w:val="56"/>
        </w:rPr>
      </w:pPr>
    </w:p>
    <w:p w14:paraId="5231D0F2" w14:textId="573BCADA" w:rsidR="001068B0" w:rsidRPr="005B36F4" w:rsidRDefault="001068B0" w:rsidP="003A2717">
      <w:pPr>
        <w:spacing w:before="240" w:after="0" w:line="240" w:lineRule="auto"/>
        <w:rPr>
          <w:rFonts w:ascii="Myriad Pro Cond" w:hAnsi="Myriad Pro Cond"/>
          <w:color w:val="1498BF"/>
          <w:sz w:val="56"/>
          <w:szCs w:val="56"/>
        </w:rPr>
      </w:pPr>
      <w:r w:rsidRPr="005B36F4">
        <w:rPr>
          <w:rFonts w:ascii="Myriad Pro Cond" w:hAnsi="Myriad Pro Cond"/>
          <w:color w:val="1498BF"/>
          <w:sz w:val="56"/>
          <w:szCs w:val="56"/>
        </w:rPr>
        <w:t>Background &amp; key concepts</w:t>
      </w:r>
    </w:p>
    <w:p w14:paraId="0FB13844" w14:textId="1B24295C" w:rsidR="00184257" w:rsidRPr="00184257" w:rsidRDefault="00184257" w:rsidP="00184257">
      <w:pPr>
        <w:spacing w:before="120" w:after="0"/>
        <w:jc w:val="both"/>
        <w:rPr>
          <w:rFonts w:ascii="Myriad Pro" w:eastAsia="Times New Roman" w:hAnsi="Myriad Pro" w:cs="Arial"/>
          <w:sz w:val="24"/>
          <w:szCs w:val="24"/>
          <w:lang w:val="en-GB"/>
        </w:rPr>
      </w:pPr>
      <w:r w:rsidRPr="00184257">
        <w:rPr>
          <w:rFonts w:ascii="Myriad Pro" w:eastAsia="Times New Roman" w:hAnsi="Myriad Pro" w:cs="Arial"/>
          <w:sz w:val="24"/>
          <w:szCs w:val="24"/>
          <w:lang w:val="en-GB"/>
        </w:rPr>
        <w:t xml:space="preserve">In times of economic recession, the goal of full employment should go hand in hand with the </w:t>
      </w:r>
      <w:r w:rsidRPr="00184257">
        <w:rPr>
          <w:rFonts w:ascii="Myriad Pro" w:eastAsia="Times New Roman" w:hAnsi="Myriad Pro" w:cs="Arial"/>
          <w:b/>
          <w:bCs/>
          <w:sz w:val="24"/>
          <w:szCs w:val="24"/>
          <w:lang w:val="en-GB"/>
        </w:rPr>
        <w:t>protection of labour rights</w:t>
      </w:r>
      <w:r w:rsidRPr="00184257">
        <w:rPr>
          <w:rFonts w:ascii="Myriad Pro" w:eastAsia="Times New Roman" w:hAnsi="Myriad Pro" w:cs="Arial"/>
          <w:sz w:val="24"/>
          <w:szCs w:val="24"/>
          <w:lang w:val="en-GB"/>
        </w:rPr>
        <w:t>. Protecting labour rights benefits workers and their dependents and have a positive impact in their daily lives. It also benefits employers and society as it provides legal certainty in the workplace, protects the workforce and promotes sustainable growth. The benefits in terms of social cohesion and stability should not be underestimated either.</w:t>
      </w:r>
    </w:p>
    <w:p w14:paraId="7989B61C" w14:textId="0CC9EA97" w:rsidR="00184257" w:rsidRPr="00184257" w:rsidRDefault="00184257" w:rsidP="00184257">
      <w:pPr>
        <w:spacing w:before="120" w:after="0"/>
        <w:jc w:val="both"/>
        <w:rPr>
          <w:rFonts w:ascii="Myriad Pro" w:eastAsia="Times New Roman" w:hAnsi="Myriad Pro" w:cs="Arial"/>
          <w:sz w:val="24"/>
          <w:szCs w:val="24"/>
          <w:lang w:val="en-GB"/>
        </w:rPr>
      </w:pPr>
      <w:r w:rsidRPr="00184257">
        <w:rPr>
          <w:rFonts w:ascii="Myriad Pro" w:eastAsia="Times New Roman" w:hAnsi="Myriad Pro" w:cs="Arial"/>
          <w:sz w:val="24"/>
          <w:szCs w:val="24"/>
          <w:lang w:val="en-GB"/>
        </w:rPr>
        <w:t xml:space="preserve">The European Social Charter (ESC) is a treaty of the Council of Europe (CoE) that guarantees fundamental </w:t>
      </w:r>
      <w:r w:rsidRPr="00184257">
        <w:rPr>
          <w:rFonts w:ascii="Myriad Pro" w:eastAsia="Times New Roman" w:hAnsi="Myriad Pro" w:cs="Arial"/>
          <w:b/>
          <w:bCs/>
          <w:sz w:val="24"/>
          <w:szCs w:val="24"/>
          <w:lang w:val="en-GB"/>
        </w:rPr>
        <w:t>social and economic rights</w:t>
      </w:r>
      <w:r w:rsidRPr="00184257">
        <w:rPr>
          <w:rFonts w:ascii="Myriad Pro" w:eastAsia="Times New Roman" w:hAnsi="Myriad Pro" w:cs="Arial"/>
          <w:sz w:val="24"/>
          <w:szCs w:val="24"/>
          <w:lang w:val="en-GB"/>
        </w:rPr>
        <w:t xml:space="preserve"> as a counterpart to the European Convention on Human Rights (ECHR), which refers to civil and political rights. The ESC guarantees a broad range of everyday human rights related to employment, labour rights, housing, health, education, social protection and welfare. It provides extensive and complete protection of social rights and represents an essential component of the continent’s human rights architecture.</w:t>
      </w:r>
    </w:p>
    <w:p w14:paraId="331C492F" w14:textId="0C764CED" w:rsidR="00184257" w:rsidRPr="00184257" w:rsidRDefault="00184257" w:rsidP="00184257">
      <w:pPr>
        <w:spacing w:before="120" w:after="0"/>
        <w:jc w:val="both"/>
        <w:rPr>
          <w:rFonts w:ascii="Myriad Pro" w:eastAsia="Times New Roman" w:hAnsi="Myriad Pro" w:cs="Arial"/>
          <w:sz w:val="24"/>
          <w:szCs w:val="24"/>
          <w:lang w:val="en-GB"/>
        </w:rPr>
      </w:pPr>
      <w:r w:rsidRPr="00184257">
        <w:rPr>
          <w:rFonts w:ascii="Myriad Pro" w:eastAsia="Times New Roman" w:hAnsi="Myriad Pro" w:cs="Arial"/>
          <w:sz w:val="24"/>
          <w:szCs w:val="24"/>
        </w:rPr>
        <w:t xml:space="preserve">The ESC also serves as a point of reference in European Union law; most of the social rights in the Charter of Fundamental Rights of the EU (the CFREU or EU Charter) are based on the relevant articles of the ESC. The EU complements policy initiatives taken by its Member States by adopting directives that set minimum standards on topics such as (i) working and employment conditions, (ii) informing and consulting workers, or (iii) health and safety at work. </w:t>
      </w:r>
      <w:r w:rsidRPr="00184257">
        <w:rPr>
          <w:rFonts w:ascii="Myriad Pro" w:eastAsia="Times New Roman" w:hAnsi="Myriad Pro" w:cs="Arial"/>
          <w:sz w:val="24"/>
          <w:szCs w:val="24"/>
          <w:lang w:val="en-GB"/>
        </w:rPr>
        <w:t>There are over 240 million workers in the European Union</w:t>
      </w:r>
      <w:r>
        <w:rPr>
          <w:rFonts w:ascii="Myriad Pro" w:eastAsia="Times New Roman" w:hAnsi="Myriad Pro" w:cs="Arial"/>
          <w:sz w:val="24"/>
          <w:szCs w:val="24"/>
          <w:lang w:val="en-GB"/>
        </w:rPr>
        <w:t xml:space="preserve"> alone</w:t>
      </w:r>
      <w:r w:rsidRPr="00184257">
        <w:rPr>
          <w:rFonts w:ascii="Myriad Pro" w:eastAsia="Times New Roman" w:hAnsi="Myriad Pro" w:cs="Arial"/>
          <w:sz w:val="24"/>
          <w:szCs w:val="24"/>
          <w:lang w:val="en-GB"/>
        </w:rPr>
        <w:t>. EU labour law goes indeed hand in hand with the single market, where fair competition has to be promoted without lowering labour standards.</w:t>
      </w:r>
    </w:p>
    <w:p w14:paraId="5BA1B29D" w14:textId="7B63C046" w:rsidR="00184257" w:rsidRPr="00184257" w:rsidRDefault="00184257" w:rsidP="00184257">
      <w:pPr>
        <w:spacing w:before="120" w:after="0"/>
        <w:jc w:val="both"/>
        <w:rPr>
          <w:rFonts w:ascii="Myriad Pro" w:eastAsia="Times New Roman" w:hAnsi="Myriad Pro" w:cs="Arial"/>
          <w:sz w:val="24"/>
          <w:szCs w:val="24"/>
          <w:lang w:val="en-GB"/>
        </w:rPr>
      </w:pPr>
      <w:r w:rsidRPr="00184257">
        <w:rPr>
          <w:rFonts w:ascii="Myriad Pro" w:eastAsia="Times New Roman" w:hAnsi="Myriad Pro" w:cs="Arial"/>
          <w:sz w:val="24"/>
          <w:szCs w:val="24"/>
          <w:lang w:val="en-GB"/>
        </w:rPr>
        <w:t>A better understanding of the human rights’ dimension of labour rights by legal professionals is therefore needed.</w:t>
      </w:r>
    </w:p>
    <w:p w14:paraId="654E23E6" w14:textId="1E7C105D" w:rsidR="00184257" w:rsidRPr="00184257" w:rsidRDefault="00184257" w:rsidP="00184257">
      <w:pPr>
        <w:spacing w:before="120" w:after="0"/>
        <w:jc w:val="both"/>
        <w:rPr>
          <w:rFonts w:ascii="Myriad Pro" w:eastAsia="Times New Roman" w:hAnsi="Myriad Pro" w:cs="Arial"/>
          <w:sz w:val="24"/>
          <w:szCs w:val="24"/>
          <w:lang w:val="en-GB"/>
        </w:rPr>
      </w:pPr>
      <w:r w:rsidRPr="00184257">
        <w:rPr>
          <w:rFonts w:ascii="Myriad Pro" w:eastAsia="Times New Roman" w:hAnsi="Myriad Pro" w:cs="Arial"/>
          <w:sz w:val="24"/>
          <w:szCs w:val="24"/>
          <w:lang w:val="en-GB"/>
        </w:rPr>
        <w:t xml:space="preserve">The HELP course on “Labour Rights” covers in an </w:t>
      </w:r>
      <w:r w:rsidRPr="00184257">
        <w:rPr>
          <w:rFonts w:ascii="Myriad Pro" w:eastAsia="Times New Roman" w:hAnsi="Myriad Pro" w:cs="Arial"/>
          <w:b/>
          <w:bCs/>
          <w:sz w:val="24"/>
          <w:szCs w:val="24"/>
          <w:lang w:val="en-GB"/>
        </w:rPr>
        <w:t>interactive way the key concepts, the European system of protection of labour rights</w:t>
      </w:r>
      <w:r w:rsidRPr="00184257">
        <w:rPr>
          <w:rFonts w:ascii="Myriad Pro" w:eastAsia="Times New Roman" w:hAnsi="Myriad Pro" w:cs="Arial"/>
          <w:sz w:val="24"/>
          <w:szCs w:val="24"/>
          <w:lang w:val="en-GB"/>
        </w:rPr>
        <w:t xml:space="preserve"> (stemming from the Council of Europe and the EU), the case law of the European Court of Human Rights (ECtHR) and the Court of Justice of the European Union (CJEU) as well as decisions of the European Committee of Social Rights </w:t>
      </w:r>
      <w:r w:rsidRPr="00184257">
        <w:rPr>
          <w:rFonts w:ascii="Myriad Pro" w:eastAsia="Times New Roman" w:hAnsi="Myriad Pro" w:cs="Arial"/>
          <w:sz w:val="24"/>
          <w:szCs w:val="24"/>
          <w:lang w:val="en-GB"/>
        </w:rPr>
        <w:lastRenderedPageBreak/>
        <w:t xml:space="preserve">(the ECSR). The latter is an independent body of a quasi-judicial nature that oversees the situation in the contracting states and develops case law. </w:t>
      </w:r>
    </w:p>
    <w:p w14:paraId="4CC98DDB" w14:textId="3D07997F" w:rsidR="00184257" w:rsidRPr="00184257" w:rsidRDefault="00184257" w:rsidP="00184257">
      <w:pPr>
        <w:spacing w:before="120" w:after="0"/>
        <w:jc w:val="both"/>
        <w:rPr>
          <w:rFonts w:ascii="Myriad Pro" w:eastAsia="Times New Roman" w:hAnsi="Myriad Pro" w:cs="Arial"/>
          <w:sz w:val="24"/>
          <w:szCs w:val="24"/>
        </w:rPr>
      </w:pPr>
      <w:r w:rsidRPr="00184257">
        <w:rPr>
          <w:rFonts w:ascii="Myriad Pro" w:eastAsia="Times New Roman" w:hAnsi="Myriad Pro" w:cs="Arial"/>
          <w:sz w:val="24"/>
          <w:szCs w:val="24"/>
        </w:rPr>
        <w:t xml:space="preserve">This course deals both with </w:t>
      </w:r>
      <w:r w:rsidRPr="00184257">
        <w:rPr>
          <w:rFonts w:ascii="Myriad Pro" w:eastAsia="Times New Roman" w:hAnsi="Myriad Pro" w:cs="Arial"/>
          <w:b/>
          <w:bCs/>
          <w:sz w:val="24"/>
          <w:szCs w:val="24"/>
        </w:rPr>
        <w:t>individual and collective labour rights</w:t>
      </w:r>
      <w:r w:rsidRPr="00184257">
        <w:rPr>
          <w:rFonts w:ascii="Myriad Pro" w:eastAsia="Times New Roman" w:hAnsi="Myriad Pro" w:cs="Arial"/>
          <w:sz w:val="24"/>
          <w:szCs w:val="24"/>
        </w:rPr>
        <w:t>, primarily on the basis of the ESC and the relevant articles of the ECHR. The course also makes comparisons and synergies with the EU Charter and presents the relevant EU labour law. It also considers the key ILO conventions.</w:t>
      </w:r>
    </w:p>
    <w:p w14:paraId="611E8F36" w14:textId="77777777" w:rsidR="00184257" w:rsidRDefault="00184257" w:rsidP="00184257">
      <w:pPr>
        <w:spacing w:before="120" w:after="0"/>
        <w:jc w:val="both"/>
        <w:rPr>
          <w:rFonts w:ascii="Myriad Pro" w:eastAsia="Times New Roman" w:hAnsi="Myriad Pro" w:cs="Arial"/>
          <w:sz w:val="24"/>
          <w:szCs w:val="24"/>
        </w:rPr>
      </w:pPr>
    </w:p>
    <w:p w14:paraId="12D142FC" w14:textId="77777777" w:rsidR="00184257" w:rsidRDefault="00184257" w:rsidP="00184257">
      <w:pPr>
        <w:spacing w:before="120" w:after="0"/>
        <w:jc w:val="both"/>
        <w:rPr>
          <w:rFonts w:ascii="Myriad Pro" w:eastAsia="Times New Roman" w:hAnsi="Myriad Pro" w:cs="Arial"/>
          <w:sz w:val="24"/>
          <w:szCs w:val="24"/>
        </w:rPr>
      </w:pPr>
    </w:p>
    <w:p w14:paraId="7CB4BD9B" w14:textId="77777777" w:rsidR="00184257" w:rsidRDefault="00184257" w:rsidP="00184257">
      <w:pPr>
        <w:spacing w:before="120" w:after="0"/>
        <w:jc w:val="both"/>
        <w:rPr>
          <w:rFonts w:ascii="Myriad Pro" w:eastAsia="Times New Roman" w:hAnsi="Myriad Pro" w:cs="Arial"/>
          <w:sz w:val="24"/>
          <w:szCs w:val="24"/>
        </w:rPr>
      </w:pPr>
    </w:p>
    <w:p w14:paraId="342EB7B0" w14:textId="77777777" w:rsidR="00184257" w:rsidRDefault="00184257" w:rsidP="00184257">
      <w:pPr>
        <w:spacing w:before="120" w:after="0"/>
        <w:jc w:val="both"/>
        <w:rPr>
          <w:rFonts w:ascii="Myriad Pro" w:eastAsia="Times New Roman" w:hAnsi="Myriad Pro" w:cs="Arial"/>
          <w:sz w:val="24"/>
          <w:szCs w:val="24"/>
        </w:rPr>
      </w:pPr>
    </w:p>
    <w:p w14:paraId="0D6315B4" w14:textId="1639949C" w:rsidR="00184257" w:rsidRPr="00184257" w:rsidRDefault="00184257" w:rsidP="00184257">
      <w:pPr>
        <w:spacing w:before="120" w:after="0"/>
        <w:jc w:val="both"/>
        <w:rPr>
          <w:rFonts w:ascii="Myriad Pro" w:eastAsia="Times New Roman" w:hAnsi="Myriad Pro" w:cs="Arial"/>
          <w:sz w:val="24"/>
          <w:szCs w:val="24"/>
        </w:rPr>
      </w:pPr>
      <w:r w:rsidRPr="00184257">
        <w:rPr>
          <w:rFonts w:ascii="Myriad Pro" w:eastAsia="Times New Roman" w:hAnsi="Myriad Pro" w:cs="Arial"/>
          <w:sz w:val="24"/>
          <w:szCs w:val="24"/>
        </w:rPr>
        <w:t xml:space="preserve">It is important to emphasize the </w:t>
      </w:r>
      <w:r w:rsidRPr="00184257">
        <w:rPr>
          <w:rFonts w:ascii="Myriad Pro" w:eastAsia="Times New Roman" w:hAnsi="Myriad Pro" w:cs="Arial"/>
          <w:b/>
          <w:bCs/>
          <w:sz w:val="24"/>
          <w:szCs w:val="24"/>
        </w:rPr>
        <w:t>indivisibility of all human rights</w:t>
      </w:r>
      <w:r w:rsidRPr="00184257">
        <w:rPr>
          <w:rFonts w:ascii="Myriad Pro" w:eastAsia="Times New Roman" w:hAnsi="Myriad Pro" w:cs="Arial"/>
          <w:sz w:val="24"/>
          <w:szCs w:val="24"/>
        </w:rPr>
        <w:t>, be they civil, political, economic, social or cultural, and that there can be no human rights society without full respect of social human rights, including labour rights.</w:t>
      </w:r>
    </w:p>
    <w:p w14:paraId="33B6496E" w14:textId="5101662E" w:rsidR="00184257" w:rsidRPr="00184257" w:rsidRDefault="00184257" w:rsidP="00184257">
      <w:pPr>
        <w:spacing w:before="120" w:after="0"/>
        <w:jc w:val="both"/>
        <w:rPr>
          <w:rFonts w:ascii="Myriad Pro" w:eastAsia="Times New Roman" w:hAnsi="Myriad Pro" w:cs="Arial"/>
          <w:sz w:val="24"/>
          <w:szCs w:val="24"/>
        </w:rPr>
      </w:pPr>
      <w:r w:rsidRPr="00184257">
        <w:rPr>
          <w:rFonts w:ascii="Myriad Pro" w:eastAsia="Times New Roman" w:hAnsi="Myriad Pro" w:cs="Arial"/>
          <w:sz w:val="24"/>
          <w:szCs w:val="24"/>
        </w:rPr>
        <w:t xml:space="preserve">The HELP </w:t>
      </w:r>
      <w:r>
        <w:rPr>
          <w:rFonts w:ascii="Myriad Pro" w:eastAsia="Times New Roman" w:hAnsi="Myriad Pro" w:cs="Arial"/>
          <w:sz w:val="24"/>
          <w:szCs w:val="24"/>
        </w:rPr>
        <w:t xml:space="preserve">online </w:t>
      </w:r>
      <w:r w:rsidRPr="00184257">
        <w:rPr>
          <w:rFonts w:ascii="Myriad Pro" w:eastAsia="Times New Roman" w:hAnsi="Myriad Pro" w:cs="Arial"/>
          <w:sz w:val="24"/>
          <w:szCs w:val="24"/>
        </w:rPr>
        <w:t xml:space="preserve">course on Labour Rights offers a </w:t>
      </w:r>
      <w:r w:rsidRPr="00184257">
        <w:rPr>
          <w:rFonts w:ascii="Myriad Pro" w:eastAsia="Times New Roman" w:hAnsi="Myriad Pro" w:cs="Arial"/>
          <w:b/>
          <w:bCs/>
          <w:sz w:val="24"/>
          <w:szCs w:val="24"/>
        </w:rPr>
        <w:t>detailed and comprehensive curriculum</w:t>
      </w:r>
      <w:r w:rsidRPr="00184257">
        <w:rPr>
          <w:rFonts w:ascii="Myriad Pro" w:eastAsia="Times New Roman" w:hAnsi="Myriad Pro" w:cs="Arial"/>
          <w:sz w:val="24"/>
          <w:szCs w:val="24"/>
        </w:rPr>
        <w:t xml:space="preserve"> which covers the key concepts, the legal framework of the CoE and the EU (directly applicable at national level), the case law of the ECtHR, the CJEU and the ECSR as well as specific areas of labour law. </w:t>
      </w:r>
    </w:p>
    <w:p w14:paraId="732BC824" w14:textId="77777777" w:rsidR="00184257" w:rsidRPr="00184257" w:rsidRDefault="00184257" w:rsidP="00184257">
      <w:pPr>
        <w:spacing w:before="120" w:after="0"/>
        <w:jc w:val="both"/>
        <w:rPr>
          <w:rFonts w:ascii="Myriad Pro" w:eastAsia="Times New Roman" w:hAnsi="Myriad Pro" w:cs="Arial"/>
          <w:sz w:val="24"/>
          <w:szCs w:val="24"/>
        </w:rPr>
      </w:pPr>
      <w:r w:rsidRPr="00184257">
        <w:rPr>
          <w:rFonts w:ascii="Myriad Pro" w:eastAsia="Times New Roman" w:hAnsi="Myriad Pro" w:cs="Arial"/>
          <w:sz w:val="24"/>
          <w:szCs w:val="24"/>
        </w:rPr>
        <w:t>In all these European treaties, the point of departure is the full respect on the fundamental rights of employees, defined by the ILO in 1998:</w:t>
      </w:r>
    </w:p>
    <w:p w14:paraId="71A9FC58" w14:textId="77777777" w:rsidR="00184257" w:rsidRPr="00184257" w:rsidRDefault="00184257" w:rsidP="00184257">
      <w:pPr>
        <w:numPr>
          <w:ilvl w:val="0"/>
          <w:numId w:val="5"/>
        </w:numPr>
        <w:spacing w:after="0"/>
        <w:jc w:val="both"/>
        <w:rPr>
          <w:rFonts w:ascii="Myriad Pro" w:eastAsia="Times New Roman" w:hAnsi="Myriad Pro" w:cs="Arial"/>
          <w:sz w:val="24"/>
          <w:szCs w:val="24"/>
          <w:lang w:val="en-GB"/>
        </w:rPr>
      </w:pPr>
      <w:r w:rsidRPr="00184257">
        <w:rPr>
          <w:rFonts w:ascii="Myriad Pro" w:eastAsia="Times New Roman" w:hAnsi="Myriad Pro" w:cs="Arial"/>
          <w:sz w:val="24"/>
          <w:szCs w:val="24"/>
          <w:lang w:val="en-GB"/>
        </w:rPr>
        <w:t>The prohibition of forced labour</w:t>
      </w:r>
    </w:p>
    <w:p w14:paraId="2142B222" w14:textId="77777777" w:rsidR="00184257" w:rsidRPr="00184257" w:rsidRDefault="00184257" w:rsidP="00184257">
      <w:pPr>
        <w:numPr>
          <w:ilvl w:val="0"/>
          <w:numId w:val="5"/>
        </w:numPr>
        <w:spacing w:after="0"/>
        <w:jc w:val="both"/>
        <w:rPr>
          <w:rFonts w:ascii="Myriad Pro" w:eastAsia="Times New Roman" w:hAnsi="Myriad Pro" w:cs="Arial"/>
          <w:sz w:val="24"/>
          <w:szCs w:val="24"/>
          <w:lang w:val="en-GB"/>
        </w:rPr>
      </w:pPr>
      <w:r w:rsidRPr="00184257">
        <w:rPr>
          <w:rFonts w:ascii="Myriad Pro" w:eastAsia="Times New Roman" w:hAnsi="Myriad Pro" w:cs="Arial"/>
          <w:sz w:val="24"/>
          <w:szCs w:val="24"/>
          <w:lang w:val="en-GB"/>
        </w:rPr>
        <w:t>The prohibition of the worst forms of child labour</w:t>
      </w:r>
    </w:p>
    <w:p w14:paraId="16B88710" w14:textId="77777777" w:rsidR="00184257" w:rsidRPr="00184257" w:rsidRDefault="00184257" w:rsidP="00184257">
      <w:pPr>
        <w:numPr>
          <w:ilvl w:val="0"/>
          <w:numId w:val="5"/>
        </w:numPr>
        <w:spacing w:after="0"/>
        <w:jc w:val="both"/>
        <w:rPr>
          <w:rFonts w:ascii="Myriad Pro" w:eastAsia="Times New Roman" w:hAnsi="Myriad Pro" w:cs="Arial"/>
          <w:sz w:val="24"/>
          <w:szCs w:val="24"/>
          <w:lang w:val="en-GB"/>
        </w:rPr>
      </w:pPr>
      <w:r w:rsidRPr="00184257">
        <w:rPr>
          <w:rFonts w:ascii="Myriad Pro" w:eastAsia="Times New Roman" w:hAnsi="Myriad Pro" w:cs="Arial"/>
          <w:sz w:val="24"/>
          <w:szCs w:val="24"/>
          <w:lang w:val="en-GB"/>
        </w:rPr>
        <w:t>The prohibition of discrimination in employment </w:t>
      </w:r>
    </w:p>
    <w:p w14:paraId="38E81EC0" w14:textId="38C1919A" w:rsidR="00184257" w:rsidRPr="00184257" w:rsidRDefault="00184257" w:rsidP="003A2717">
      <w:pPr>
        <w:numPr>
          <w:ilvl w:val="0"/>
          <w:numId w:val="5"/>
        </w:numPr>
        <w:spacing w:after="0"/>
        <w:jc w:val="both"/>
        <w:rPr>
          <w:rFonts w:ascii="Myriad Pro" w:eastAsia="Times New Roman" w:hAnsi="Myriad Pro" w:cs="Arial"/>
          <w:sz w:val="24"/>
          <w:szCs w:val="24"/>
          <w:lang w:val="en-GB"/>
        </w:rPr>
      </w:pPr>
      <w:r w:rsidRPr="00184257">
        <w:rPr>
          <w:rFonts w:ascii="Myriad Pro" w:eastAsia="Times New Roman" w:hAnsi="Myriad Pro" w:cs="Arial"/>
          <w:sz w:val="24"/>
          <w:szCs w:val="24"/>
          <w:lang w:val="en-GB"/>
        </w:rPr>
        <w:t>Right to associate peacefully (i.e. trade unions) and collective bargain</w:t>
      </w:r>
    </w:p>
    <w:p w14:paraId="2C292BFD" w14:textId="1B8CC36B" w:rsidR="00AE10B3" w:rsidRPr="005B36F4" w:rsidRDefault="00AE10B3" w:rsidP="003A2717">
      <w:pPr>
        <w:spacing w:before="240" w:after="0" w:line="240" w:lineRule="auto"/>
        <w:rPr>
          <w:rFonts w:ascii="Myriad Pro Cond" w:hAnsi="Myriad Pro Cond"/>
          <w:color w:val="1498BF"/>
          <w:sz w:val="56"/>
          <w:szCs w:val="56"/>
        </w:rPr>
      </w:pPr>
      <w:r w:rsidRPr="005B36F4">
        <w:rPr>
          <w:rFonts w:ascii="Myriad Pro Cond" w:hAnsi="Myriad Pro Cond"/>
          <w:color w:val="1498BF"/>
          <w:sz w:val="56"/>
          <w:szCs w:val="56"/>
        </w:rPr>
        <w:t>About</w:t>
      </w:r>
      <w:r>
        <w:rPr>
          <w:rFonts w:ascii="Myriad Pro Cond" w:hAnsi="Myriad Pro Cond"/>
          <w:color w:val="1498BF"/>
          <w:sz w:val="56"/>
          <w:szCs w:val="56"/>
        </w:rPr>
        <w:t xml:space="preserve"> the course</w:t>
      </w:r>
    </w:p>
    <w:p w14:paraId="0E186A6D" w14:textId="5DCEED0E" w:rsidR="008327EB" w:rsidRPr="00582689" w:rsidRDefault="00AE10B3" w:rsidP="0001213D">
      <w:pPr>
        <w:autoSpaceDE w:val="0"/>
        <w:autoSpaceDN w:val="0"/>
        <w:adjustRightInd w:val="0"/>
        <w:spacing w:after="0"/>
        <w:jc w:val="both"/>
        <w:rPr>
          <w:rFonts w:ascii="Myriad Pro" w:hAnsi="Myriad Pro" w:cs="Microsoft Sans Serif"/>
          <w:color w:val="000000" w:themeColor="text1"/>
          <w:sz w:val="17"/>
          <w:szCs w:val="17"/>
        </w:rPr>
      </w:pPr>
      <w:r w:rsidRPr="00AE10B3">
        <w:rPr>
          <w:rFonts w:ascii="Myriad Pro" w:hAnsi="Myriad Pro"/>
          <w:sz w:val="24"/>
          <w:szCs w:val="24"/>
          <w:lang w:val="pt-PT"/>
        </w:rPr>
        <w:t xml:space="preserve">The course was initially developed </w:t>
      </w:r>
      <w:r w:rsidR="00184257">
        <w:rPr>
          <w:rFonts w:ascii="Myriad Pro" w:hAnsi="Myriad Pro"/>
          <w:sz w:val="24"/>
          <w:szCs w:val="24"/>
          <w:lang w:val="pt-PT"/>
        </w:rPr>
        <w:t>under the “HELP in 28” Project</w:t>
      </w:r>
      <w:r w:rsidR="008327EB">
        <w:rPr>
          <w:rFonts w:ascii="Myriad Pro" w:hAnsi="Myriad Pro"/>
          <w:sz w:val="24"/>
          <w:szCs w:val="24"/>
          <w:lang w:val="pt-PT"/>
        </w:rPr>
        <w:t xml:space="preserve">. </w:t>
      </w:r>
      <w:r w:rsidRPr="00AE10B3">
        <w:rPr>
          <w:rFonts w:ascii="Myriad Pro" w:hAnsi="Myriad Pro"/>
          <w:sz w:val="24"/>
          <w:szCs w:val="24"/>
          <w:lang w:val="pt-PT"/>
        </w:rPr>
        <w:t xml:space="preserve">It was updated in 2021 under the </w:t>
      </w:r>
      <w:r w:rsidRPr="00AE10B3">
        <w:rPr>
          <w:rFonts w:ascii="Myriad Pro" w:hAnsi="Myriad Pro"/>
          <w:sz w:val="24"/>
          <w:szCs w:val="24"/>
        </w:rPr>
        <w:t xml:space="preserve">EU-CoE “HELP in the EU II” project to contain the most recent </w:t>
      </w:r>
      <w:r w:rsidRPr="008327EB">
        <w:rPr>
          <w:rFonts w:ascii="Myriad Pro" w:hAnsi="Myriad Pro"/>
          <w:sz w:val="24"/>
          <w:szCs w:val="24"/>
        </w:rPr>
        <w:t xml:space="preserve">developments. The update </w:t>
      </w:r>
      <w:r w:rsidRPr="00582689">
        <w:rPr>
          <w:rFonts w:ascii="Myriad Pro" w:hAnsi="Myriad Pro"/>
          <w:color w:val="000000" w:themeColor="text1"/>
          <w:sz w:val="24"/>
          <w:szCs w:val="24"/>
        </w:rPr>
        <w:t>process</w:t>
      </w:r>
      <w:r w:rsidR="008327EB" w:rsidRPr="00582689">
        <w:rPr>
          <w:rFonts w:ascii="Myriad Pro" w:hAnsi="Myriad Pro"/>
          <w:color w:val="000000" w:themeColor="text1"/>
          <w:sz w:val="24"/>
          <w:szCs w:val="24"/>
        </w:rPr>
        <w:t xml:space="preserve"> was coordinated by the HELP Secretariat and</w:t>
      </w:r>
      <w:r w:rsidRPr="00582689">
        <w:rPr>
          <w:rFonts w:ascii="Myriad Pro" w:hAnsi="Myriad Pro"/>
          <w:color w:val="000000" w:themeColor="text1"/>
          <w:sz w:val="24"/>
          <w:szCs w:val="24"/>
        </w:rPr>
        <w:t xml:space="preserve"> involved several representatives of relevant CoE services</w:t>
      </w:r>
      <w:r w:rsidR="008327EB" w:rsidRPr="00582689">
        <w:rPr>
          <w:rFonts w:ascii="Myriad Pro" w:hAnsi="Myriad Pro"/>
          <w:color w:val="000000" w:themeColor="text1"/>
          <w:sz w:val="24"/>
          <w:szCs w:val="24"/>
        </w:rPr>
        <w:t>:</w:t>
      </w:r>
      <w:r w:rsidR="008327EB" w:rsidRPr="00582689">
        <w:rPr>
          <w:rFonts w:ascii="Myriad Pro" w:hAnsi="Myriad Pro" w:cs="Fira Sans"/>
          <w:color w:val="000000" w:themeColor="text1"/>
          <w:sz w:val="24"/>
          <w:szCs w:val="24"/>
        </w:rPr>
        <w:t xml:space="preserve"> </w:t>
      </w:r>
      <w:r w:rsidR="00FC07DB" w:rsidRPr="00582689">
        <w:rPr>
          <w:rFonts w:ascii="Myriad Pro" w:hAnsi="Myriad Pro" w:cs="Fira Sans"/>
          <w:color w:val="000000" w:themeColor="text1"/>
          <w:sz w:val="24"/>
          <w:szCs w:val="24"/>
        </w:rPr>
        <w:t>Secretariat of the European Social Charter</w:t>
      </w:r>
      <w:r w:rsidR="008327EB" w:rsidRPr="00582689">
        <w:rPr>
          <w:rFonts w:ascii="Myriad Pro" w:hAnsi="Myriad Pro" w:cs="Fira Sans"/>
          <w:color w:val="000000" w:themeColor="text1"/>
          <w:sz w:val="24"/>
          <w:szCs w:val="24"/>
        </w:rPr>
        <w:t xml:space="preserve">, </w:t>
      </w:r>
      <w:r w:rsidR="00FC07DB" w:rsidRPr="00582689">
        <w:rPr>
          <w:rFonts w:ascii="Myriad Pro" w:hAnsi="Myriad Pro" w:cs="Fira Sans"/>
          <w:color w:val="000000" w:themeColor="text1"/>
          <w:sz w:val="24"/>
          <w:szCs w:val="24"/>
        </w:rPr>
        <w:t xml:space="preserve">Secretariat of the Council of Europe Convention on Action against Trafficking in Human Beings, </w:t>
      </w:r>
      <w:r w:rsidR="008327EB" w:rsidRPr="00582689">
        <w:rPr>
          <w:rFonts w:ascii="Myriad Pro" w:hAnsi="Myriad Pro" w:cs="Fira Sans"/>
          <w:color w:val="000000" w:themeColor="text1"/>
          <w:sz w:val="24"/>
          <w:szCs w:val="24"/>
        </w:rPr>
        <w:t>as well as from the Registry of the European Court of Human Rights.</w:t>
      </w:r>
    </w:p>
    <w:p w14:paraId="7849572F" w14:textId="68FD5062" w:rsidR="003A2717" w:rsidRPr="005B36F4" w:rsidRDefault="003A2717" w:rsidP="003A2717">
      <w:pPr>
        <w:spacing w:before="240" w:after="0" w:line="240" w:lineRule="auto"/>
        <w:rPr>
          <w:rFonts w:ascii="Myriad Pro Cond" w:hAnsi="Myriad Pro Cond"/>
          <w:color w:val="1498BF"/>
          <w:sz w:val="56"/>
          <w:szCs w:val="56"/>
        </w:rPr>
      </w:pPr>
      <w:r w:rsidRPr="005B36F4">
        <w:rPr>
          <w:rFonts w:ascii="Myriad Pro Cond" w:hAnsi="Myriad Pro Cond"/>
          <w:color w:val="1498BF"/>
          <w:sz w:val="56"/>
          <w:szCs w:val="56"/>
        </w:rPr>
        <w:t>Target audience</w:t>
      </w:r>
    </w:p>
    <w:p w14:paraId="30A2A9CD" w14:textId="0352FE37" w:rsidR="003A2717" w:rsidRPr="00126A87" w:rsidRDefault="003A2717" w:rsidP="003A2717">
      <w:pPr>
        <w:jc w:val="both"/>
        <w:rPr>
          <w:rFonts w:ascii="Myriad Pro" w:hAnsi="Myriad Pro"/>
        </w:rPr>
      </w:pPr>
      <w:r w:rsidRPr="00126A87">
        <w:rPr>
          <w:rFonts w:ascii="Myriad Pro" w:hAnsi="Myriad Pro"/>
          <w:sz w:val="24"/>
          <w:szCs w:val="24"/>
        </w:rPr>
        <w:t xml:space="preserve">This free on-line course </w:t>
      </w:r>
      <w:r w:rsidRPr="00FC07DB">
        <w:rPr>
          <w:rFonts w:ascii="Myriad Pro" w:hAnsi="Myriad Pro"/>
          <w:sz w:val="24"/>
          <w:szCs w:val="24"/>
        </w:rPr>
        <w:t xml:space="preserve">is primarily addressed to </w:t>
      </w:r>
      <w:r w:rsidRPr="00582689">
        <w:rPr>
          <w:rFonts w:ascii="Myriad Pro" w:hAnsi="Myriad Pro"/>
          <w:b/>
          <w:bCs/>
          <w:sz w:val="24"/>
          <w:szCs w:val="24"/>
        </w:rPr>
        <w:t>legal professionals</w:t>
      </w:r>
      <w:r w:rsidRPr="00FC07DB">
        <w:rPr>
          <w:rFonts w:ascii="Myriad Pro" w:hAnsi="Myriad Pro"/>
          <w:sz w:val="24"/>
          <w:szCs w:val="24"/>
        </w:rPr>
        <w:t xml:space="preserve"> (judges, prosecutors, private attorneys, lawyers and senior court staff) but can be also useful for national labour authorities (i.e. inspectorates) and other persons working in the field of labour rights.</w:t>
      </w:r>
    </w:p>
    <w:p w14:paraId="6B58DD89" w14:textId="46594256" w:rsidR="003A2717" w:rsidRPr="005B36F4" w:rsidRDefault="003A2717" w:rsidP="003A2717">
      <w:pPr>
        <w:spacing w:before="240" w:after="0" w:line="240" w:lineRule="auto"/>
        <w:rPr>
          <w:rFonts w:ascii="Myriad Pro Cond" w:hAnsi="Myriad Pro Cond"/>
          <w:color w:val="1498BF"/>
          <w:sz w:val="56"/>
          <w:szCs w:val="56"/>
        </w:rPr>
      </w:pPr>
      <w:r w:rsidRPr="005B36F4">
        <w:rPr>
          <w:rFonts w:ascii="Myriad Pro Cond" w:hAnsi="Myriad Pro Cond"/>
          <w:color w:val="1498BF"/>
          <w:sz w:val="56"/>
          <w:szCs w:val="56"/>
        </w:rPr>
        <w:lastRenderedPageBreak/>
        <w:t xml:space="preserve">How to access the </w:t>
      </w:r>
      <w:r>
        <w:rPr>
          <w:rFonts w:ascii="Myriad Pro Cond" w:hAnsi="Myriad Pro Cond"/>
          <w:color w:val="1498BF"/>
          <w:sz w:val="56"/>
          <w:szCs w:val="56"/>
        </w:rPr>
        <w:t xml:space="preserve">HELP online </w:t>
      </w:r>
      <w:r w:rsidRPr="005B36F4">
        <w:rPr>
          <w:rFonts w:ascii="Myriad Pro Cond" w:hAnsi="Myriad Pro Cond"/>
          <w:color w:val="1498BF"/>
          <w:sz w:val="56"/>
          <w:szCs w:val="56"/>
        </w:rPr>
        <w:t>course</w:t>
      </w:r>
    </w:p>
    <w:p w14:paraId="4B37B639" w14:textId="2E809750" w:rsidR="003A2717" w:rsidRDefault="003A2717" w:rsidP="003A2717">
      <w:pPr>
        <w:jc w:val="both"/>
        <w:rPr>
          <w:rFonts w:ascii="Myriad Pro" w:hAnsi="Myriad Pro"/>
          <w:sz w:val="24"/>
          <w:szCs w:val="24"/>
        </w:rPr>
      </w:pPr>
      <w:r w:rsidRPr="00126A87">
        <w:rPr>
          <w:rFonts w:ascii="Myriad Pro" w:hAnsi="Myriad Pro"/>
          <w:sz w:val="24"/>
          <w:szCs w:val="24"/>
        </w:rPr>
        <w:t xml:space="preserve">The course is freely available in self-learning format on the </w:t>
      </w:r>
      <w:hyperlink r:id="rId12" w:history="1">
        <w:r w:rsidRPr="00126A87">
          <w:rPr>
            <w:rStyle w:val="Hyperlink"/>
            <w:rFonts w:ascii="Myriad Pro" w:hAnsi="Myriad Pro"/>
            <w:sz w:val="24"/>
            <w:szCs w:val="24"/>
          </w:rPr>
          <w:t>CoE HELP e-learning platform</w:t>
        </w:r>
      </w:hyperlink>
      <w:r w:rsidRPr="00126A87">
        <w:rPr>
          <w:rFonts w:ascii="Myriad Pro" w:hAnsi="Myriad Pro"/>
          <w:sz w:val="24"/>
          <w:szCs w:val="24"/>
        </w:rPr>
        <w:t>. The overall length of the new edition of the online course is approximatively</w:t>
      </w:r>
      <w:r>
        <w:rPr>
          <w:rFonts w:ascii="Myriad Pro" w:hAnsi="Myriad Pro"/>
          <w:sz w:val="24"/>
          <w:szCs w:val="24"/>
        </w:rPr>
        <w:t xml:space="preserve"> </w:t>
      </w:r>
      <w:r w:rsidRPr="00582689">
        <w:rPr>
          <w:rFonts w:ascii="Myriad Pro" w:hAnsi="Myriad Pro"/>
          <w:b/>
          <w:bCs/>
          <w:sz w:val="24"/>
          <w:szCs w:val="24"/>
        </w:rPr>
        <w:t xml:space="preserve">13 </w:t>
      </w:r>
      <w:r w:rsidRPr="00126A87">
        <w:rPr>
          <w:rFonts w:ascii="Myriad Pro" w:hAnsi="Myriad Pro"/>
          <w:b/>
          <w:bCs/>
          <w:sz w:val="24"/>
          <w:szCs w:val="24"/>
        </w:rPr>
        <w:t>hours</w:t>
      </w:r>
      <w:r w:rsidRPr="00126A87">
        <w:rPr>
          <w:rFonts w:ascii="Myriad Pro" w:hAnsi="Myriad Pro"/>
          <w:sz w:val="24"/>
          <w:szCs w:val="24"/>
        </w:rPr>
        <w:t xml:space="preserve"> and those who complete it in self-learning format can obtain an electronic ‘</w:t>
      </w:r>
      <w:r w:rsidRPr="00126A87">
        <w:rPr>
          <w:rFonts w:ascii="Myriad Pro" w:hAnsi="Myriad Pro"/>
          <w:b/>
          <w:bCs/>
          <w:sz w:val="24"/>
          <w:szCs w:val="24"/>
        </w:rPr>
        <w:t xml:space="preserve">Statement of </w:t>
      </w:r>
      <w:r w:rsidR="00582689">
        <w:rPr>
          <w:rFonts w:ascii="Myriad Pro" w:hAnsi="Myriad Pro"/>
          <w:b/>
          <w:bCs/>
          <w:sz w:val="24"/>
          <w:szCs w:val="24"/>
        </w:rPr>
        <w:t>A</w:t>
      </w:r>
      <w:r w:rsidRPr="00126A87">
        <w:rPr>
          <w:rFonts w:ascii="Myriad Pro" w:hAnsi="Myriad Pro"/>
          <w:b/>
          <w:bCs/>
          <w:sz w:val="24"/>
          <w:szCs w:val="24"/>
        </w:rPr>
        <w:t>ccomplishment</w:t>
      </w:r>
      <w:r w:rsidRPr="00126A87">
        <w:rPr>
          <w:rFonts w:ascii="Myriad Pro" w:hAnsi="Myriad Pro"/>
          <w:sz w:val="24"/>
          <w:szCs w:val="24"/>
        </w:rPr>
        <w:t>’.</w:t>
      </w:r>
    </w:p>
    <w:p w14:paraId="492F0ABA" w14:textId="1F9277E6" w:rsidR="007A6A0D" w:rsidRPr="003A2717" w:rsidRDefault="003A2717" w:rsidP="003A2717">
      <w:pPr>
        <w:rPr>
          <w:rStyle w:val="jsgrdq"/>
          <w:rFonts w:ascii="Myriad Pro" w:hAnsi="Myriad Pro"/>
          <w:sz w:val="24"/>
          <w:szCs w:val="24"/>
        </w:rPr>
      </w:pPr>
      <w:r w:rsidRPr="00126A87">
        <w:rPr>
          <w:rFonts w:ascii="Myriad Pro" w:hAnsi="Myriad Pro"/>
          <w:noProof/>
          <w:sz w:val="24"/>
          <w:szCs w:val="24"/>
        </w:rPr>
        <w:drawing>
          <wp:anchor distT="0" distB="0" distL="114300" distR="114300" simplePos="0" relativeHeight="251678720" behindDoc="0" locked="0" layoutInCell="1" allowOverlap="1" wp14:anchorId="15E2D3DC" wp14:editId="1A775D3B">
            <wp:simplePos x="0" y="0"/>
            <wp:positionH relativeFrom="margin">
              <wp:posOffset>4176395</wp:posOffset>
            </wp:positionH>
            <wp:positionV relativeFrom="margin">
              <wp:posOffset>8357235</wp:posOffset>
            </wp:positionV>
            <wp:extent cx="1756410" cy="413385"/>
            <wp:effectExtent l="0" t="0" r="0" b="5715"/>
            <wp:wrapSquare wrapText="bothSides"/>
            <wp:docPr id="8" name="Picture 8" descr="C:\Users\telbis\AppData\Local\Microsoft\Windows\INetCache\Content.MSO\759E7A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bis\AppData\Local\Microsoft\Windows\INetCache\Content.MSO\759E7AFB.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641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yriad Pro" w:hAnsi="Myriad Pro"/>
          <w:sz w:val="24"/>
          <w:szCs w:val="24"/>
        </w:rPr>
        <w:t>To access the course, you need to have a HELP account.</w:t>
      </w:r>
      <w:r w:rsidRPr="00126A87">
        <w:rPr>
          <w:rFonts w:ascii="Myriad Pro" w:hAnsi="Myriad Pro"/>
          <w:sz w:val="24"/>
          <w:szCs w:val="24"/>
        </w:rPr>
        <w:t xml:space="preserve"> </w:t>
      </w:r>
      <w:r>
        <w:rPr>
          <w:rFonts w:ascii="Myriad Pro" w:hAnsi="Myriad Pro"/>
          <w:sz w:val="24"/>
          <w:szCs w:val="24"/>
        </w:rPr>
        <w:t>If you haven’t created one yet</w:t>
      </w:r>
      <w:r w:rsidRPr="00126A87">
        <w:rPr>
          <w:rFonts w:ascii="Myriad Pro" w:hAnsi="Myriad Pro"/>
          <w:sz w:val="24"/>
          <w:szCs w:val="24"/>
        </w:rPr>
        <w:t xml:space="preserve">, you can </w:t>
      </w:r>
      <w:r>
        <w:rPr>
          <w:rFonts w:ascii="Myriad Pro" w:hAnsi="Myriad Pro"/>
          <w:sz w:val="24"/>
          <w:szCs w:val="24"/>
        </w:rPr>
        <w:t>sign up</w:t>
      </w:r>
      <w:r w:rsidRPr="00126A87">
        <w:rPr>
          <w:rFonts w:ascii="Myriad Pro" w:hAnsi="Myriad Pro"/>
          <w:sz w:val="24"/>
          <w:szCs w:val="24"/>
        </w:rPr>
        <w:t xml:space="preserve"> here</w:t>
      </w:r>
      <w:r>
        <w:rPr>
          <w:rFonts w:ascii="Myriad Pro" w:hAnsi="Myriad Pro"/>
          <w:sz w:val="24"/>
          <w:szCs w:val="24"/>
        </w:rPr>
        <w:t xml:space="preserve">, it only takes 2 minutes: </w:t>
      </w:r>
      <w:hyperlink r:id="rId14" w:history="1">
        <w:r w:rsidRPr="00126A87">
          <w:rPr>
            <w:rStyle w:val="Hyperlink"/>
            <w:rFonts w:ascii="Myriad Pro" w:hAnsi="Myriad Pro"/>
            <w:sz w:val="24"/>
            <w:szCs w:val="24"/>
          </w:rPr>
          <w:t>http://help.elearning.ext.coe.int/login/signup.php</w:t>
        </w:r>
      </w:hyperlink>
      <w:r w:rsidRPr="00126A87">
        <w:rPr>
          <w:rFonts w:ascii="Myriad Pro" w:hAnsi="Myriad Pro"/>
          <w:sz w:val="24"/>
          <w:szCs w:val="24"/>
        </w:rPr>
        <w:t xml:space="preserve">. </w:t>
      </w:r>
      <w:r w:rsidR="007A6A0D">
        <w:rPr>
          <w:rStyle w:val="jsgrdq"/>
          <w:rFonts w:ascii="Myriad Pro" w:eastAsiaTheme="majorEastAsia" w:hAnsi="Myriad Pro"/>
          <w:color w:val="000000"/>
        </w:rPr>
        <w:br w:type="page"/>
      </w:r>
    </w:p>
    <w:p w14:paraId="167768CA" w14:textId="7DFBC2BA" w:rsidR="001068B0" w:rsidRPr="00A15D4A" w:rsidRDefault="001068B0" w:rsidP="001068B0">
      <w:pPr>
        <w:pStyle w:val="04xlpa"/>
        <w:spacing w:before="120" w:beforeAutospacing="0" w:after="0" w:afterAutospacing="0"/>
        <w:jc w:val="both"/>
        <w:rPr>
          <w:rFonts w:ascii="Myriad Pro" w:hAnsi="Myriad Pro"/>
          <w:color w:val="000000"/>
          <w:sz w:val="22"/>
          <w:szCs w:val="22"/>
          <w:lang w:val="en-US"/>
        </w:rPr>
      </w:pPr>
    </w:p>
    <w:p w14:paraId="3E6A665C" w14:textId="12E5BCF4" w:rsidR="007A6A0D" w:rsidRPr="00A15D4A" w:rsidRDefault="007A6A0D" w:rsidP="001068B0">
      <w:pPr>
        <w:pStyle w:val="04xlpa"/>
        <w:spacing w:before="120" w:beforeAutospacing="0" w:after="0" w:afterAutospacing="0"/>
        <w:jc w:val="both"/>
        <w:rPr>
          <w:rFonts w:ascii="Myriad Pro" w:hAnsi="Myriad Pro"/>
          <w:color w:val="000000"/>
          <w:sz w:val="22"/>
          <w:szCs w:val="22"/>
          <w:lang w:val="en-US"/>
        </w:rPr>
      </w:pPr>
    </w:p>
    <w:p w14:paraId="1E06B473" w14:textId="5874C560" w:rsidR="001068B0" w:rsidRPr="00142FA2" w:rsidRDefault="007A6A0D" w:rsidP="00142FA2">
      <w:pPr>
        <w:pStyle w:val="04xlpa"/>
        <w:spacing w:before="120" w:beforeAutospacing="0" w:after="0" w:afterAutospacing="0"/>
        <w:jc w:val="both"/>
        <w:rPr>
          <w:rFonts w:ascii="Myriad Pro Cond" w:hAnsi="Myriad Pro Cond"/>
          <w:color w:val="1498BF"/>
          <w:sz w:val="56"/>
          <w:szCs w:val="56"/>
          <w:lang w:val="en-US"/>
        </w:rPr>
      </w:pPr>
      <w:r w:rsidRPr="00881DBA">
        <w:rPr>
          <w:rFonts w:ascii="Myriad Pro Cond" w:hAnsi="Myriad Pro Cond"/>
          <w:color w:val="1498BF"/>
          <w:sz w:val="56"/>
          <w:szCs w:val="56"/>
          <w:lang w:val="en-US"/>
        </w:rPr>
        <w:t>Course outline</w:t>
      </w:r>
    </w:p>
    <w:tbl>
      <w:tblPr>
        <w:tblStyle w:val="TableGrid"/>
        <w:tblW w:w="9464" w:type="dxa"/>
        <w:tblLook w:val="04A0" w:firstRow="1" w:lastRow="0" w:firstColumn="1" w:lastColumn="0" w:noHBand="0" w:noVBand="1"/>
      </w:tblPr>
      <w:tblGrid>
        <w:gridCol w:w="1101"/>
        <w:gridCol w:w="8363"/>
      </w:tblGrid>
      <w:tr w:rsidR="00FC07DB" w:rsidRPr="007A6A0D" w14:paraId="48DCFAF9" w14:textId="5957C14C" w:rsidTr="00142FA2">
        <w:trPr>
          <w:trHeight w:val="1172"/>
        </w:trPr>
        <w:tc>
          <w:tcPr>
            <w:tcW w:w="1101" w:type="dxa"/>
            <w:shd w:val="clear" w:color="auto" w:fill="1498BF"/>
          </w:tcPr>
          <w:p w14:paraId="7575DBEC" w14:textId="35FF850D" w:rsidR="00FC07DB" w:rsidRPr="007A6A0D" w:rsidRDefault="00FC07DB" w:rsidP="007A6A0D">
            <w:pPr>
              <w:jc w:val="center"/>
              <w:rPr>
                <w:rFonts w:ascii="Myriad Pro" w:hAnsi="Myriad Pro"/>
                <w:b/>
                <w:bCs/>
                <w:color w:val="FFFFFF" w:themeColor="background1"/>
                <w:sz w:val="56"/>
                <w:szCs w:val="56"/>
              </w:rPr>
            </w:pPr>
            <w:r>
              <w:rPr>
                <w:rFonts w:ascii="Myriad Pro" w:hAnsi="Myriad Pro"/>
                <w:b/>
                <w:bCs/>
                <w:color w:val="FFFFFF" w:themeColor="background1"/>
                <w:sz w:val="56"/>
                <w:szCs w:val="56"/>
              </w:rPr>
              <w:t>1</w:t>
            </w:r>
          </w:p>
        </w:tc>
        <w:tc>
          <w:tcPr>
            <w:tcW w:w="8363" w:type="dxa"/>
          </w:tcPr>
          <w:p w14:paraId="397B4AF2" w14:textId="77777777" w:rsidR="00FC07DB" w:rsidRPr="0038083C" w:rsidRDefault="00FC07DB" w:rsidP="0038083C">
            <w:pPr>
              <w:jc w:val="both"/>
              <w:rPr>
                <w:rFonts w:ascii="Myriad Pro" w:hAnsi="Myriad Pro" w:cs="Arial"/>
                <w:b/>
              </w:rPr>
            </w:pPr>
            <w:r w:rsidRPr="0038083C">
              <w:rPr>
                <w:rFonts w:ascii="Myriad Pro" w:hAnsi="Myriad Pro" w:cs="Arial"/>
                <w:b/>
                <w:sz w:val="24"/>
                <w:szCs w:val="24"/>
              </w:rPr>
              <w:t>Introduction</w:t>
            </w:r>
            <w:r w:rsidRPr="0038083C">
              <w:rPr>
                <w:rFonts w:ascii="Myriad Pro" w:hAnsi="Myriad Pro" w:cs="Arial"/>
                <w:b/>
              </w:rPr>
              <w:t xml:space="preserve"> </w:t>
            </w:r>
          </w:p>
          <w:p w14:paraId="31BDA635" w14:textId="7313FA4A" w:rsidR="00FC07DB" w:rsidRPr="00142FA2" w:rsidRDefault="00053B87" w:rsidP="007A6A0D">
            <w:pPr>
              <w:pStyle w:val="ListParagraph"/>
              <w:numPr>
                <w:ilvl w:val="0"/>
                <w:numId w:val="2"/>
              </w:numPr>
              <w:jc w:val="both"/>
              <w:rPr>
                <w:rFonts w:ascii="Myriad Pro" w:hAnsi="Myriad Pro" w:cs="Arial"/>
                <w:bCs/>
                <w:sz w:val="20"/>
                <w:szCs w:val="20"/>
                <w:lang w:val="en-US"/>
              </w:rPr>
            </w:pPr>
            <w:r w:rsidRPr="00142FA2">
              <w:rPr>
                <w:rFonts w:ascii="Myriad Pro" w:hAnsi="Myriad Pro" w:cs="Arial"/>
                <w:bCs/>
                <w:sz w:val="20"/>
                <w:szCs w:val="20"/>
                <w:lang w:val="en-US"/>
              </w:rPr>
              <w:t>The evolution of labour rights</w:t>
            </w:r>
          </w:p>
          <w:p w14:paraId="4D59970C" w14:textId="3F848C46" w:rsidR="00FC07DB" w:rsidRPr="00142FA2" w:rsidRDefault="00053B87" w:rsidP="00096ACE">
            <w:pPr>
              <w:pStyle w:val="ListParagraph"/>
              <w:numPr>
                <w:ilvl w:val="0"/>
                <w:numId w:val="2"/>
              </w:numPr>
              <w:jc w:val="both"/>
              <w:rPr>
                <w:rFonts w:ascii="Myriad Pro" w:hAnsi="Myriad Pro" w:cs="Arial"/>
                <w:bCs/>
                <w:sz w:val="20"/>
                <w:szCs w:val="20"/>
                <w:lang w:val="en-US"/>
              </w:rPr>
            </w:pPr>
            <w:r w:rsidRPr="00142FA2">
              <w:rPr>
                <w:rFonts w:ascii="Myriad Pro" w:hAnsi="Myriad Pro" w:cs="Arial"/>
                <w:bCs/>
                <w:sz w:val="20"/>
                <w:szCs w:val="20"/>
                <w:lang w:val="en-US"/>
              </w:rPr>
              <w:t>Labour rights under the European systems of protection</w:t>
            </w:r>
          </w:p>
          <w:p w14:paraId="4582E020" w14:textId="3EEB04A4" w:rsidR="00FC07DB" w:rsidRPr="00096ACE" w:rsidRDefault="00053B87" w:rsidP="00096ACE">
            <w:pPr>
              <w:pStyle w:val="ListParagraph"/>
              <w:numPr>
                <w:ilvl w:val="0"/>
                <w:numId w:val="2"/>
              </w:numPr>
              <w:jc w:val="both"/>
              <w:rPr>
                <w:rFonts w:ascii="Myriad Pro" w:hAnsi="Myriad Pro" w:cs="Arial"/>
                <w:bCs/>
                <w:sz w:val="22"/>
                <w:szCs w:val="22"/>
                <w:lang w:val="en-US"/>
              </w:rPr>
            </w:pPr>
            <w:r w:rsidRPr="00142FA2">
              <w:rPr>
                <w:rFonts w:ascii="Myriad Pro" w:hAnsi="Myriad Pro" w:cs="Arial"/>
                <w:bCs/>
                <w:sz w:val="20"/>
                <w:szCs w:val="20"/>
                <w:lang w:val="en-US"/>
              </w:rPr>
              <w:t>Introduction to the European Social Charter</w:t>
            </w:r>
          </w:p>
        </w:tc>
      </w:tr>
      <w:tr w:rsidR="00FC07DB" w:rsidRPr="00AE10B3" w14:paraId="361C728A" w14:textId="7A43E09C" w:rsidTr="00053B87">
        <w:trPr>
          <w:trHeight w:val="1162"/>
        </w:trPr>
        <w:tc>
          <w:tcPr>
            <w:tcW w:w="1101" w:type="dxa"/>
            <w:shd w:val="clear" w:color="auto" w:fill="1498BF"/>
          </w:tcPr>
          <w:p w14:paraId="60950A02" w14:textId="67531237" w:rsidR="00FC07DB" w:rsidRPr="007A6A0D" w:rsidRDefault="00FC07DB" w:rsidP="007A6A0D">
            <w:pPr>
              <w:jc w:val="center"/>
              <w:rPr>
                <w:rFonts w:ascii="Myriad Pro" w:hAnsi="Myriad Pro"/>
                <w:b/>
                <w:bCs/>
                <w:color w:val="FFFFFF" w:themeColor="background1"/>
                <w:sz w:val="56"/>
                <w:szCs w:val="56"/>
              </w:rPr>
            </w:pPr>
            <w:r>
              <w:rPr>
                <w:rFonts w:ascii="Myriad Pro" w:hAnsi="Myriad Pro"/>
                <w:b/>
                <w:bCs/>
                <w:color w:val="FFFFFF" w:themeColor="background1"/>
                <w:sz w:val="56"/>
                <w:szCs w:val="56"/>
              </w:rPr>
              <w:t>2</w:t>
            </w:r>
          </w:p>
        </w:tc>
        <w:tc>
          <w:tcPr>
            <w:tcW w:w="8363" w:type="dxa"/>
          </w:tcPr>
          <w:p w14:paraId="3E887558" w14:textId="3CD3BC4B" w:rsidR="00FC07DB" w:rsidRPr="0038083C" w:rsidRDefault="00053B87" w:rsidP="0038083C">
            <w:pPr>
              <w:jc w:val="both"/>
              <w:rPr>
                <w:rFonts w:ascii="Myriad Pro" w:hAnsi="Myriad Pro" w:cs="Arial"/>
                <w:b/>
                <w:sz w:val="24"/>
                <w:szCs w:val="24"/>
              </w:rPr>
            </w:pPr>
            <w:r>
              <w:rPr>
                <w:rFonts w:ascii="Myriad Pro" w:hAnsi="Myriad Pro" w:cs="Arial"/>
                <w:b/>
                <w:sz w:val="24"/>
                <w:szCs w:val="24"/>
              </w:rPr>
              <w:t>Right to Work and Employment Relationship</w:t>
            </w:r>
          </w:p>
          <w:p w14:paraId="140A78C1" w14:textId="18159BB4" w:rsidR="00FC07DB" w:rsidRPr="00142FA2" w:rsidRDefault="00053B87" w:rsidP="007A6A0D">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lang w:val="en-US"/>
              </w:rPr>
              <w:t>Right to work</w:t>
            </w:r>
          </w:p>
          <w:p w14:paraId="70C73809" w14:textId="366BCE77" w:rsidR="00FC07DB" w:rsidRPr="00142FA2" w:rsidRDefault="00053B87" w:rsidP="00126A87">
            <w:pPr>
              <w:pStyle w:val="ListParagraph"/>
              <w:numPr>
                <w:ilvl w:val="0"/>
                <w:numId w:val="1"/>
              </w:numPr>
              <w:rPr>
                <w:rFonts w:ascii="Myriad Pro" w:hAnsi="Myriad Pro" w:cs="Arial"/>
                <w:sz w:val="20"/>
                <w:szCs w:val="20"/>
                <w:lang w:val="en-US"/>
              </w:rPr>
            </w:pPr>
            <w:r w:rsidRPr="00142FA2">
              <w:rPr>
                <w:rFonts w:ascii="Myriad Pro" w:hAnsi="Myriad Pro" w:cs="Arial"/>
                <w:sz w:val="20"/>
                <w:szCs w:val="20"/>
                <w:lang w:val="en-US"/>
              </w:rPr>
              <w:t>Right to just conditions of work</w:t>
            </w:r>
          </w:p>
          <w:p w14:paraId="50ADC99D" w14:textId="4EB11BF6" w:rsidR="00FC07DB" w:rsidRPr="00053B87" w:rsidRDefault="00053B87" w:rsidP="00053B87">
            <w:pPr>
              <w:pStyle w:val="ListParagraph"/>
              <w:numPr>
                <w:ilvl w:val="0"/>
                <w:numId w:val="1"/>
              </w:numPr>
              <w:rPr>
                <w:rFonts w:ascii="Myriad Pro" w:hAnsi="Myriad Pro" w:cs="Arial"/>
                <w:sz w:val="22"/>
                <w:szCs w:val="22"/>
                <w:lang w:val="en-US"/>
              </w:rPr>
            </w:pPr>
            <w:r w:rsidRPr="00142FA2">
              <w:rPr>
                <w:rFonts w:ascii="Myriad Pro" w:hAnsi="Myriad Pro" w:cs="Arial"/>
                <w:sz w:val="20"/>
                <w:szCs w:val="20"/>
                <w:lang w:val="en-US"/>
              </w:rPr>
              <w:t>Right to privacy at workplace</w:t>
            </w:r>
          </w:p>
        </w:tc>
      </w:tr>
      <w:tr w:rsidR="00FC07DB" w:rsidRPr="007A6A0D" w14:paraId="39532B65" w14:textId="190E0606" w:rsidTr="00FC07DB">
        <w:trPr>
          <w:trHeight w:val="1401"/>
        </w:trPr>
        <w:tc>
          <w:tcPr>
            <w:tcW w:w="1101" w:type="dxa"/>
            <w:shd w:val="clear" w:color="auto" w:fill="1498BF"/>
          </w:tcPr>
          <w:p w14:paraId="7C62DE30" w14:textId="1F276EE5" w:rsidR="00FC07DB" w:rsidRPr="007A6A0D" w:rsidRDefault="00FC07DB" w:rsidP="007A6A0D">
            <w:pPr>
              <w:jc w:val="center"/>
              <w:rPr>
                <w:rFonts w:ascii="Myriad Pro" w:hAnsi="Myriad Pro"/>
                <w:b/>
                <w:bCs/>
                <w:color w:val="FFFFFF" w:themeColor="background1"/>
                <w:sz w:val="56"/>
                <w:szCs w:val="56"/>
              </w:rPr>
            </w:pPr>
            <w:r>
              <w:rPr>
                <w:rFonts w:ascii="Myriad Pro" w:hAnsi="Myriad Pro"/>
                <w:b/>
                <w:bCs/>
                <w:color w:val="FFFFFF" w:themeColor="background1"/>
                <w:sz w:val="56"/>
                <w:szCs w:val="56"/>
              </w:rPr>
              <w:t>3</w:t>
            </w:r>
          </w:p>
        </w:tc>
        <w:tc>
          <w:tcPr>
            <w:tcW w:w="8363" w:type="dxa"/>
          </w:tcPr>
          <w:p w14:paraId="47654056" w14:textId="3A83320B" w:rsidR="00FC07DB" w:rsidRPr="00053B87" w:rsidRDefault="00053B87" w:rsidP="0038083C">
            <w:pPr>
              <w:spacing w:before="120"/>
              <w:jc w:val="both"/>
              <w:rPr>
                <w:rFonts w:ascii="Myriad Pro" w:hAnsi="Myriad Pro" w:cs="Arial"/>
                <w:b/>
                <w:sz w:val="24"/>
                <w:szCs w:val="24"/>
              </w:rPr>
            </w:pPr>
            <w:r>
              <w:rPr>
                <w:rFonts w:ascii="Myriad Pro" w:hAnsi="Myriad Pro" w:cs="Arial"/>
                <w:b/>
                <w:sz w:val="24"/>
                <w:szCs w:val="24"/>
              </w:rPr>
              <w:t>Working time and Rest Periods</w:t>
            </w:r>
          </w:p>
          <w:p w14:paraId="1261F358" w14:textId="4121E208" w:rsidR="00FC07DB" w:rsidRPr="00142FA2" w:rsidRDefault="00FC07DB" w:rsidP="0038083C">
            <w:pPr>
              <w:pStyle w:val="ListParagraph"/>
              <w:numPr>
                <w:ilvl w:val="0"/>
                <w:numId w:val="1"/>
              </w:numPr>
              <w:rPr>
                <w:rFonts w:ascii="Myriad Pro" w:hAnsi="Myriad Pro" w:cs="Arial"/>
                <w:sz w:val="20"/>
                <w:szCs w:val="20"/>
                <w:lang w:val="en-US"/>
              </w:rPr>
            </w:pPr>
            <w:r w:rsidRPr="00142FA2">
              <w:rPr>
                <w:rFonts w:ascii="Myriad Pro" w:hAnsi="Myriad Pro" w:cs="Arial"/>
                <w:sz w:val="20"/>
                <w:szCs w:val="20"/>
                <w:lang w:val="en-US"/>
              </w:rPr>
              <w:t xml:space="preserve">Legal </w:t>
            </w:r>
            <w:r w:rsidR="00053B87" w:rsidRPr="00142FA2">
              <w:rPr>
                <w:rFonts w:ascii="Myriad Pro" w:hAnsi="Myriad Pro" w:cs="Arial"/>
                <w:sz w:val="20"/>
                <w:szCs w:val="20"/>
                <w:lang w:val="en-US"/>
              </w:rPr>
              <w:t>framework</w:t>
            </w:r>
          </w:p>
          <w:p w14:paraId="65887105" w14:textId="42FE8B50" w:rsidR="00FC07DB" w:rsidRPr="00142FA2" w:rsidRDefault="00053B87" w:rsidP="00DD1E0B">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lang w:val="en-US"/>
              </w:rPr>
              <w:t>Working time and rest periods</w:t>
            </w:r>
          </w:p>
          <w:p w14:paraId="4B0AFBCC" w14:textId="77777777" w:rsidR="00FC07DB" w:rsidRPr="00142FA2" w:rsidRDefault="00053B87" w:rsidP="00DD1E0B">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lang w:val="en-US"/>
              </w:rPr>
              <w:t>Rest periods</w:t>
            </w:r>
          </w:p>
          <w:p w14:paraId="77F2D145" w14:textId="209E5186" w:rsidR="00053B87" w:rsidRPr="00AE10B3" w:rsidRDefault="00053B87" w:rsidP="00DD1E0B">
            <w:pPr>
              <w:pStyle w:val="ListParagraph"/>
              <w:numPr>
                <w:ilvl w:val="0"/>
                <w:numId w:val="1"/>
              </w:numPr>
              <w:jc w:val="both"/>
              <w:rPr>
                <w:rFonts w:ascii="Myriad Pro" w:hAnsi="Myriad Pro" w:cs="Arial"/>
                <w:lang w:val="en-US"/>
              </w:rPr>
            </w:pPr>
            <w:r w:rsidRPr="00142FA2">
              <w:rPr>
                <w:rFonts w:ascii="Myriad Pro" w:hAnsi="Myriad Pro" w:cs="Arial"/>
                <w:sz w:val="20"/>
                <w:szCs w:val="20"/>
                <w:lang w:val="en-US"/>
              </w:rPr>
              <w:t>Working time, rest periods and pay</w:t>
            </w:r>
          </w:p>
        </w:tc>
      </w:tr>
      <w:tr w:rsidR="00FC07DB" w:rsidRPr="007A6A0D" w14:paraId="2A50DF86" w14:textId="76E0CB4F" w:rsidTr="00FC07DB">
        <w:trPr>
          <w:trHeight w:val="1266"/>
        </w:trPr>
        <w:tc>
          <w:tcPr>
            <w:tcW w:w="1101" w:type="dxa"/>
            <w:shd w:val="clear" w:color="auto" w:fill="1498BF"/>
          </w:tcPr>
          <w:p w14:paraId="46B487C0" w14:textId="1AC1BB00" w:rsidR="00FC07DB" w:rsidRPr="007A6A0D" w:rsidRDefault="00FC07DB" w:rsidP="007A6A0D">
            <w:pPr>
              <w:jc w:val="center"/>
              <w:rPr>
                <w:rFonts w:ascii="Myriad Pro" w:hAnsi="Myriad Pro"/>
                <w:b/>
                <w:bCs/>
                <w:color w:val="FFFFFF" w:themeColor="background1"/>
                <w:sz w:val="56"/>
                <w:szCs w:val="56"/>
              </w:rPr>
            </w:pPr>
            <w:r>
              <w:rPr>
                <w:rFonts w:ascii="Myriad Pro" w:hAnsi="Myriad Pro"/>
                <w:b/>
                <w:bCs/>
                <w:color w:val="FFFFFF" w:themeColor="background1"/>
                <w:sz w:val="56"/>
                <w:szCs w:val="56"/>
              </w:rPr>
              <w:t>4</w:t>
            </w:r>
          </w:p>
        </w:tc>
        <w:tc>
          <w:tcPr>
            <w:tcW w:w="8363" w:type="dxa"/>
          </w:tcPr>
          <w:p w14:paraId="55B259BC" w14:textId="238CEAD2" w:rsidR="00FC07DB" w:rsidRPr="0038083C" w:rsidRDefault="00053B87" w:rsidP="0038083C">
            <w:pPr>
              <w:spacing w:before="120"/>
              <w:jc w:val="both"/>
              <w:rPr>
                <w:rFonts w:ascii="Myriad Pro" w:hAnsi="Myriad Pro" w:cs="Arial"/>
                <w:b/>
                <w:bCs/>
                <w:sz w:val="24"/>
                <w:szCs w:val="24"/>
                <w:lang w:val="en-CA"/>
              </w:rPr>
            </w:pPr>
            <w:r>
              <w:rPr>
                <w:rFonts w:ascii="Myriad Pro" w:hAnsi="Myriad Pro" w:cs="Arial"/>
                <w:b/>
                <w:bCs/>
                <w:sz w:val="24"/>
                <w:szCs w:val="24"/>
                <w:lang w:val="en-CA"/>
              </w:rPr>
              <w:t>Fair Remuneration and Protection of Wages</w:t>
            </w:r>
          </w:p>
          <w:p w14:paraId="362962C8" w14:textId="65E372F6" w:rsidR="00FC07DB" w:rsidRPr="00142FA2" w:rsidRDefault="00053B87" w:rsidP="007A6A0D">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lang w:val="en-US"/>
              </w:rPr>
              <w:t>Decent standard of living</w:t>
            </w:r>
          </w:p>
          <w:p w14:paraId="6CBF5231" w14:textId="645724CD" w:rsidR="00FC07DB" w:rsidRPr="00142FA2" w:rsidRDefault="00053B87" w:rsidP="007A6A0D">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lang w:val="en-US"/>
              </w:rPr>
              <w:t>Deductions from wages</w:t>
            </w:r>
          </w:p>
          <w:p w14:paraId="16C8A439" w14:textId="7BE4CC0E" w:rsidR="00FC07DB" w:rsidRPr="00FC07DB" w:rsidRDefault="00053B87" w:rsidP="00FC07DB">
            <w:pPr>
              <w:pStyle w:val="ListParagraph"/>
              <w:numPr>
                <w:ilvl w:val="0"/>
                <w:numId w:val="1"/>
              </w:numPr>
              <w:jc w:val="both"/>
              <w:rPr>
                <w:rFonts w:ascii="Myriad Pro" w:hAnsi="Myriad Pro" w:cs="Arial"/>
                <w:sz w:val="22"/>
                <w:szCs w:val="22"/>
                <w:lang w:val="en-US"/>
              </w:rPr>
            </w:pPr>
            <w:r w:rsidRPr="00142FA2">
              <w:rPr>
                <w:rFonts w:ascii="Myriad Pro" w:hAnsi="Myriad Pro" w:cs="Arial"/>
                <w:sz w:val="20"/>
                <w:szCs w:val="20"/>
                <w:lang w:val="en-US"/>
              </w:rPr>
              <w:t>Safeguards in case of insolvency</w:t>
            </w:r>
          </w:p>
        </w:tc>
      </w:tr>
      <w:tr w:rsidR="00FC07DB" w:rsidRPr="007A6A0D" w14:paraId="09C2D2B0" w14:textId="62DF0188" w:rsidTr="00053B87">
        <w:trPr>
          <w:trHeight w:val="1262"/>
        </w:trPr>
        <w:tc>
          <w:tcPr>
            <w:tcW w:w="1101" w:type="dxa"/>
            <w:shd w:val="clear" w:color="auto" w:fill="1498BF"/>
          </w:tcPr>
          <w:p w14:paraId="7B9BCFB9" w14:textId="636706BA" w:rsidR="00FC07DB" w:rsidRPr="007A6A0D" w:rsidRDefault="00FC07DB" w:rsidP="007A6A0D">
            <w:pPr>
              <w:jc w:val="center"/>
              <w:rPr>
                <w:rFonts w:ascii="Myriad Pro" w:hAnsi="Myriad Pro"/>
                <w:b/>
                <w:bCs/>
                <w:color w:val="FFFFFF" w:themeColor="background1"/>
                <w:sz w:val="56"/>
                <w:szCs w:val="56"/>
              </w:rPr>
            </w:pPr>
            <w:r>
              <w:rPr>
                <w:rFonts w:ascii="Myriad Pro" w:hAnsi="Myriad Pro"/>
                <w:b/>
                <w:bCs/>
                <w:color w:val="FFFFFF" w:themeColor="background1"/>
                <w:sz w:val="56"/>
                <w:szCs w:val="56"/>
              </w:rPr>
              <w:t>5</w:t>
            </w:r>
          </w:p>
        </w:tc>
        <w:tc>
          <w:tcPr>
            <w:tcW w:w="8363" w:type="dxa"/>
          </w:tcPr>
          <w:p w14:paraId="1BFD2F1F" w14:textId="53DBD74C" w:rsidR="00FC07DB" w:rsidRPr="0038083C" w:rsidRDefault="00053B87" w:rsidP="0038083C">
            <w:pPr>
              <w:spacing w:before="120"/>
              <w:jc w:val="both"/>
              <w:rPr>
                <w:rFonts w:ascii="Myriad Pro" w:hAnsi="Myriad Pro" w:cs="Arial"/>
                <w:b/>
                <w:bCs/>
                <w:sz w:val="24"/>
                <w:szCs w:val="24"/>
                <w:lang w:val="en-CA"/>
              </w:rPr>
            </w:pPr>
            <w:r>
              <w:rPr>
                <w:rFonts w:ascii="Myriad Pro" w:hAnsi="Myriad Pro" w:cs="Arial"/>
                <w:b/>
                <w:bCs/>
                <w:sz w:val="24"/>
                <w:szCs w:val="24"/>
                <w:lang w:val="en-CA"/>
              </w:rPr>
              <w:t>Termination of employment</w:t>
            </w:r>
          </w:p>
          <w:p w14:paraId="40AC0054" w14:textId="51AB706E" w:rsidR="00FC07DB" w:rsidRPr="00142FA2" w:rsidRDefault="00053B87" w:rsidP="00126A87">
            <w:pPr>
              <w:pStyle w:val="ListParagraph"/>
              <w:numPr>
                <w:ilvl w:val="0"/>
                <w:numId w:val="1"/>
              </w:numPr>
              <w:rPr>
                <w:rFonts w:ascii="Myriad Pro" w:hAnsi="Myriad Pro" w:cs="Arial"/>
                <w:sz w:val="20"/>
                <w:szCs w:val="20"/>
                <w:lang w:val="en-US"/>
              </w:rPr>
            </w:pPr>
            <w:r w:rsidRPr="00142FA2">
              <w:rPr>
                <w:rFonts w:ascii="Myriad Pro" w:hAnsi="Myriad Pro" w:cs="Arial"/>
                <w:sz w:val="20"/>
                <w:szCs w:val="20"/>
                <w:lang w:val="en-US"/>
              </w:rPr>
              <w:t>Procedural obligations to provide information</w:t>
            </w:r>
          </w:p>
          <w:p w14:paraId="0CA5AFCC" w14:textId="312BF5CB" w:rsidR="00FC07DB" w:rsidRPr="00142FA2" w:rsidRDefault="00053B87" w:rsidP="007A6A0D">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rPr>
              <w:t>Grounds of termination of employment</w:t>
            </w:r>
          </w:p>
          <w:p w14:paraId="237CE751" w14:textId="7F600D27" w:rsidR="00FC07DB" w:rsidRPr="00053B87" w:rsidRDefault="00053B87" w:rsidP="00053B87">
            <w:pPr>
              <w:pStyle w:val="ListParagraph"/>
              <w:numPr>
                <w:ilvl w:val="0"/>
                <w:numId w:val="1"/>
              </w:numPr>
              <w:jc w:val="both"/>
              <w:rPr>
                <w:rFonts w:ascii="Myriad Pro" w:hAnsi="Myriad Pro" w:cs="Arial"/>
                <w:sz w:val="22"/>
                <w:szCs w:val="22"/>
                <w:lang w:val="en-US"/>
              </w:rPr>
            </w:pPr>
            <w:r w:rsidRPr="00142FA2">
              <w:rPr>
                <w:rFonts w:ascii="Myriad Pro" w:hAnsi="Myriad Pro" w:cs="Arial"/>
                <w:sz w:val="20"/>
                <w:szCs w:val="20"/>
              </w:rPr>
              <w:t>Consequences of illegal dismissal</w:t>
            </w:r>
          </w:p>
        </w:tc>
      </w:tr>
      <w:tr w:rsidR="00FC07DB" w:rsidRPr="007A6A0D" w14:paraId="3551BE78" w14:textId="77777777" w:rsidTr="00142FA2">
        <w:trPr>
          <w:trHeight w:val="1178"/>
        </w:trPr>
        <w:tc>
          <w:tcPr>
            <w:tcW w:w="1101" w:type="dxa"/>
            <w:shd w:val="clear" w:color="auto" w:fill="1498BF"/>
          </w:tcPr>
          <w:p w14:paraId="375BBCB3" w14:textId="49B4DA1D" w:rsidR="00FC07DB" w:rsidRDefault="00FC07DB" w:rsidP="007A6A0D">
            <w:pPr>
              <w:jc w:val="center"/>
              <w:rPr>
                <w:rFonts w:ascii="Myriad Pro" w:hAnsi="Myriad Pro"/>
                <w:b/>
                <w:bCs/>
                <w:color w:val="FFFFFF" w:themeColor="background1"/>
                <w:sz w:val="56"/>
                <w:szCs w:val="56"/>
              </w:rPr>
            </w:pPr>
            <w:r>
              <w:rPr>
                <w:rFonts w:ascii="Myriad Pro" w:hAnsi="Myriad Pro"/>
                <w:b/>
                <w:bCs/>
                <w:color w:val="FFFFFF" w:themeColor="background1"/>
                <w:sz w:val="56"/>
                <w:szCs w:val="56"/>
              </w:rPr>
              <w:t>6</w:t>
            </w:r>
          </w:p>
        </w:tc>
        <w:tc>
          <w:tcPr>
            <w:tcW w:w="8363" w:type="dxa"/>
          </w:tcPr>
          <w:p w14:paraId="7D4C89B5" w14:textId="5714DD18" w:rsidR="00FC07DB" w:rsidRDefault="00053B87" w:rsidP="0038083C">
            <w:pPr>
              <w:spacing w:before="120"/>
              <w:jc w:val="both"/>
              <w:rPr>
                <w:rFonts w:ascii="Myriad Pro" w:hAnsi="Myriad Pro" w:cs="Arial"/>
                <w:b/>
                <w:bCs/>
                <w:sz w:val="24"/>
                <w:szCs w:val="24"/>
                <w:lang w:val="en-CA"/>
              </w:rPr>
            </w:pPr>
            <w:r>
              <w:rPr>
                <w:rFonts w:ascii="Myriad Pro" w:hAnsi="Myriad Pro" w:cs="Arial"/>
                <w:b/>
                <w:bCs/>
                <w:sz w:val="24"/>
                <w:szCs w:val="24"/>
                <w:lang w:val="en-CA"/>
              </w:rPr>
              <w:t>Equality and Non-discrimination</w:t>
            </w:r>
          </w:p>
          <w:p w14:paraId="7C4BE58D" w14:textId="587794DD" w:rsidR="00FC07DB" w:rsidRPr="00142FA2" w:rsidRDefault="00053B87" w:rsidP="0001213D">
            <w:pPr>
              <w:pStyle w:val="ListParagraph"/>
              <w:numPr>
                <w:ilvl w:val="0"/>
                <w:numId w:val="1"/>
              </w:numPr>
              <w:rPr>
                <w:rFonts w:ascii="Myriad Pro" w:hAnsi="Myriad Pro" w:cs="Arial"/>
                <w:sz w:val="20"/>
                <w:szCs w:val="20"/>
                <w:lang w:val="en-US"/>
              </w:rPr>
            </w:pPr>
            <w:r w:rsidRPr="00142FA2">
              <w:rPr>
                <w:rFonts w:ascii="Myriad Pro" w:hAnsi="Myriad Pro" w:cs="Arial"/>
                <w:sz w:val="20"/>
                <w:szCs w:val="20"/>
                <w:lang w:val="en-US"/>
              </w:rPr>
              <w:t>General aspects related to anti-discrimination</w:t>
            </w:r>
          </w:p>
          <w:p w14:paraId="06B25BB8" w14:textId="49D4199F" w:rsidR="00FC07DB" w:rsidRPr="00142FA2" w:rsidRDefault="00053B87" w:rsidP="0001213D">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rPr>
              <w:t>Fighting discrimination in employment</w:t>
            </w:r>
          </w:p>
          <w:p w14:paraId="5562E8E8" w14:textId="14F9D563" w:rsidR="00FC07DB" w:rsidRPr="0001213D" w:rsidRDefault="00053B87" w:rsidP="0001213D">
            <w:pPr>
              <w:pStyle w:val="ListParagraph"/>
              <w:numPr>
                <w:ilvl w:val="0"/>
                <w:numId w:val="1"/>
              </w:numPr>
              <w:jc w:val="both"/>
              <w:rPr>
                <w:rFonts w:ascii="Myriad Pro" w:hAnsi="Myriad Pro" w:cs="Arial"/>
                <w:sz w:val="22"/>
                <w:szCs w:val="22"/>
                <w:lang w:val="en-US"/>
              </w:rPr>
            </w:pPr>
            <w:r w:rsidRPr="00142FA2">
              <w:rPr>
                <w:rFonts w:ascii="Myriad Pro" w:hAnsi="Myriad Pro" w:cs="Arial"/>
                <w:sz w:val="20"/>
                <w:szCs w:val="20"/>
              </w:rPr>
              <w:t>Protection of rights</w:t>
            </w:r>
          </w:p>
        </w:tc>
      </w:tr>
      <w:tr w:rsidR="00FC07DB" w:rsidRPr="007A6A0D" w14:paraId="47AF6DC2" w14:textId="77777777" w:rsidTr="00FC07DB">
        <w:trPr>
          <w:trHeight w:val="1325"/>
        </w:trPr>
        <w:tc>
          <w:tcPr>
            <w:tcW w:w="1101" w:type="dxa"/>
            <w:shd w:val="clear" w:color="auto" w:fill="1498BF"/>
          </w:tcPr>
          <w:p w14:paraId="5A713C9E" w14:textId="56555432" w:rsidR="00FC07DB" w:rsidRDefault="00FC07DB" w:rsidP="007A6A0D">
            <w:pPr>
              <w:jc w:val="center"/>
              <w:rPr>
                <w:rFonts w:ascii="Myriad Pro" w:hAnsi="Myriad Pro"/>
                <w:b/>
                <w:bCs/>
                <w:color w:val="FFFFFF" w:themeColor="background1"/>
                <w:sz w:val="56"/>
                <w:szCs w:val="56"/>
              </w:rPr>
            </w:pPr>
            <w:r>
              <w:rPr>
                <w:rFonts w:ascii="Myriad Pro" w:hAnsi="Myriad Pro"/>
                <w:b/>
                <w:bCs/>
                <w:color w:val="FFFFFF" w:themeColor="background1"/>
                <w:sz w:val="56"/>
                <w:szCs w:val="56"/>
              </w:rPr>
              <w:t>7</w:t>
            </w:r>
          </w:p>
        </w:tc>
        <w:tc>
          <w:tcPr>
            <w:tcW w:w="8363" w:type="dxa"/>
          </w:tcPr>
          <w:p w14:paraId="25C66CC4" w14:textId="0F95D1C4" w:rsidR="00053B87" w:rsidRDefault="00053B87" w:rsidP="00053B87">
            <w:pPr>
              <w:spacing w:before="120"/>
              <w:jc w:val="both"/>
              <w:rPr>
                <w:rFonts w:ascii="Myriad Pro" w:hAnsi="Myriad Pro" w:cs="Arial"/>
                <w:b/>
                <w:bCs/>
                <w:sz w:val="24"/>
                <w:szCs w:val="24"/>
                <w:lang w:val="en-CA"/>
              </w:rPr>
            </w:pPr>
            <w:r>
              <w:rPr>
                <w:rFonts w:ascii="Myriad Pro" w:hAnsi="Myriad Pro" w:cs="Arial"/>
                <w:b/>
                <w:bCs/>
                <w:sz w:val="24"/>
                <w:szCs w:val="24"/>
                <w:lang w:val="en-CA"/>
              </w:rPr>
              <w:t>Collective Labour Rights</w:t>
            </w:r>
          </w:p>
          <w:p w14:paraId="4847647C" w14:textId="5EA8C269" w:rsidR="00053B87" w:rsidRPr="00142FA2" w:rsidRDefault="00053B87" w:rsidP="00053B87">
            <w:pPr>
              <w:pStyle w:val="ListParagraph"/>
              <w:numPr>
                <w:ilvl w:val="0"/>
                <w:numId w:val="1"/>
              </w:numPr>
              <w:rPr>
                <w:rFonts w:ascii="Myriad Pro" w:hAnsi="Myriad Pro" w:cs="Arial"/>
                <w:sz w:val="20"/>
                <w:szCs w:val="20"/>
                <w:lang w:val="en-US"/>
              </w:rPr>
            </w:pPr>
            <w:r w:rsidRPr="00142FA2">
              <w:rPr>
                <w:rFonts w:ascii="Myriad Pro" w:hAnsi="Myriad Pro" w:cs="Arial"/>
                <w:sz w:val="20"/>
                <w:szCs w:val="20"/>
                <w:lang w:val="en-US"/>
              </w:rPr>
              <w:t>Right to information and consultation</w:t>
            </w:r>
          </w:p>
          <w:p w14:paraId="48A1E4A0" w14:textId="77777777" w:rsidR="00FC07DB" w:rsidRPr="00142FA2" w:rsidRDefault="00053B87" w:rsidP="00053B87">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rPr>
              <w:t>Freedom of Association</w:t>
            </w:r>
          </w:p>
          <w:p w14:paraId="0ABA9E88" w14:textId="77777777" w:rsidR="00053B87" w:rsidRPr="00142FA2" w:rsidRDefault="00142FA2" w:rsidP="00053B87">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rPr>
              <w:t>Negotiations and conclusion of collective agreements</w:t>
            </w:r>
          </w:p>
          <w:p w14:paraId="452F6E83" w14:textId="1DB1A5B8" w:rsidR="00142FA2" w:rsidRPr="00053B87" w:rsidRDefault="00142FA2" w:rsidP="00053B87">
            <w:pPr>
              <w:pStyle w:val="ListParagraph"/>
              <w:numPr>
                <w:ilvl w:val="0"/>
                <w:numId w:val="1"/>
              </w:numPr>
              <w:jc w:val="both"/>
              <w:rPr>
                <w:rFonts w:ascii="Myriad Pro" w:hAnsi="Myriad Pro" w:cs="Arial"/>
                <w:sz w:val="22"/>
                <w:szCs w:val="22"/>
                <w:lang w:val="en-US"/>
              </w:rPr>
            </w:pPr>
            <w:r w:rsidRPr="00142FA2">
              <w:rPr>
                <w:rFonts w:ascii="Myriad Pro" w:hAnsi="Myriad Pro" w:cs="Arial"/>
                <w:sz w:val="20"/>
                <w:szCs w:val="20"/>
              </w:rPr>
              <w:t>Labour disputes and collective action</w:t>
            </w:r>
          </w:p>
        </w:tc>
      </w:tr>
      <w:tr w:rsidR="00FC07DB" w:rsidRPr="007A6A0D" w14:paraId="514708D0" w14:textId="77777777" w:rsidTr="00FC07DB">
        <w:trPr>
          <w:trHeight w:val="1325"/>
        </w:trPr>
        <w:tc>
          <w:tcPr>
            <w:tcW w:w="1101" w:type="dxa"/>
            <w:shd w:val="clear" w:color="auto" w:fill="1498BF"/>
          </w:tcPr>
          <w:p w14:paraId="301280F9" w14:textId="228BEE83" w:rsidR="00FC07DB" w:rsidRDefault="00FC07DB" w:rsidP="007A6A0D">
            <w:pPr>
              <w:jc w:val="center"/>
              <w:rPr>
                <w:rFonts w:ascii="Myriad Pro" w:hAnsi="Myriad Pro"/>
                <w:b/>
                <w:bCs/>
                <w:color w:val="FFFFFF" w:themeColor="background1"/>
                <w:sz w:val="56"/>
                <w:szCs w:val="56"/>
              </w:rPr>
            </w:pPr>
            <w:r>
              <w:rPr>
                <w:rFonts w:ascii="Myriad Pro" w:hAnsi="Myriad Pro"/>
                <w:b/>
                <w:bCs/>
                <w:color w:val="FFFFFF" w:themeColor="background1"/>
                <w:sz w:val="56"/>
                <w:szCs w:val="56"/>
              </w:rPr>
              <w:t>8</w:t>
            </w:r>
          </w:p>
        </w:tc>
        <w:tc>
          <w:tcPr>
            <w:tcW w:w="8363" w:type="dxa"/>
          </w:tcPr>
          <w:p w14:paraId="218480A7" w14:textId="27A2B964" w:rsidR="00142FA2" w:rsidRDefault="00142FA2" w:rsidP="00142FA2">
            <w:pPr>
              <w:spacing w:before="120"/>
              <w:jc w:val="both"/>
              <w:rPr>
                <w:rFonts w:ascii="Myriad Pro" w:hAnsi="Myriad Pro" w:cs="Arial"/>
                <w:b/>
                <w:bCs/>
                <w:sz w:val="24"/>
                <w:szCs w:val="24"/>
                <w:lang w:val="en-CA"/>
              </w:rPr>
            </w:pPr>
            <w:r>
              <w:rPr>
                <w:rFonts w:ascii="Myriad Pro" w:hAnsi="Myriad Pro" w:cs="Arial"/>
                <w:b/>
                <w:bCs/>
                <w:sz w:val="24"/>
                <w:szCs w:val="24"/>
                <w:lang w:val="en-CA"/>
              </w:rPr>
              <w:t>Occupational Safety and Health</w:t>
            </w:r>
          </w:p>
          <w:p w14:paraId="73485BC9" w14:textId="4C1A1B9F" w:rsidR="00142FA2" w:rsidRPr="00142FA2" w:rsidRDefault="00142FA2" w:rsidP="00142FA2">
            <w:pPr>
              <w:pStyle w:val="ListParagraph"/>
              <w:numPr>
                <w:ilvl w:val="0"/>
                <w:numId w:val="1"/>
              </w:numPr>
              <w:rPr>
                <w:rFonts w:ascii="Myriad Pro" w:hAnsi="Myriad Pro" w:cs="Arial"/>
                <w:sz w:val="20"/>
                <w:szCs w:val="20"/>
                <w:lang w:val="en-US"/>
              </w:rPr>
            </w:pPr>
            <w:r w:rsidRPr="00142FA2">
              <w:rPr>
                <w:rFonts w:ascii="Myriad Pro" w:hAnsi="Myriad Pro" w:cs="Arial"/>
                <w:sz w:val="20"/>
                <w:szCs w:val="20"/>
                <w:lang w:val="en-US"/>
              </w:rPr>
              <w:t>National Policy and regulatory framework</w:t>
            </w:r>
          </w:p>
          <w:p w14:paraId="39F6150C" w14:textId="4B01E10E" w:rsidR="00142FA2" w:rsidRPr="00142FA2" w:rsidRDefault="00142FA2" w:rsidP="00142FA2">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rPr>
              <w:t>Occupational accidents/diseases and procedural safeguards for victims</w:t>
            </w:r>
          </w:p>
          <w:p w14:paraId="50EA8D99" w14:textId="63E165BF" w:rsidR="00FC07DB" w:rsidRPr="00142FA2" w:rsidRDefault="00142FA2" w:rsidP="00142FA2">
            <w:pPr>
              <w:pStyle w:val="ListParagraph"/>
              <w:numPr>
                <w:ilvl w:val="0"/>
                <w:numId w:val="1"/>
              </w:numPr>
              <w:jc w:val="both"/>
              <w:rPr>
                <w:rFonts w:ascii="Myriad Pro" w:hAnsi="Myriad Pro" w:cs="Arial"/>
                <w:sz w:val="22"/>
                <w:szCs w:val="22"/>
                <w:lang w:val="en-US"/>
              </w:rPr>
            </w:pPr>
            <w:r w:rsidRPr="00142FA2">
              <w:rPr>
                <w:rFonts w:ascii="Myriad Pro" w:hAnsi="Myriad Pro" w:cs="Arial"/>
                <w:sz w:val="20"/>
                <w:szCs w:val="20"/>
              </w:rPr>
              <w:t>Occupational health services</w:t>
            </w:r>
          </w:p>
        </w:tc>
      </w:tr>
      <w:tr w:rsidR="00FC07DB" w:rsidRPr="007A6A0D" w14:paraId="3F4BB46B" w14:textId="77777777" w:rsidTr="00142FA2">
        <w:trPr>
          <w:trHeight w:val="841"/>
        </w:trPr>
        <w:tc>
          <w:tcPr>
            <w:tcW w:w="1101" w:type="dxa"/>
            <w:shd w:val="clear" w:color="auto" w:fill="1498BF"/>
          </w:tcPr>
          <w:p w14:paraId="1A19B0DB" w14:textId="77777777" w:rsidR="00FC07DB" w:rsidRDefault="00FC07DB" w:rsidP="007A6A0D">
            <w:pPr>
              <w:jc w:val="center"/>
              <w:rPr>
                <w:rFonts w:ascii="Myriad Pro" w:hAnsi="Myriad Pro"/>
                <w:b/>
                <w:bCs/>
                <w:color w:val="FFFFFF" w:themeColor="background1"/>
                <w:sz w:val="56"/>
                <w:szCs w:val="56"/>
              </w:rPr>
            </w:pPr>
            <w:r>
              <w:rPr>
                <w:rFonts w:ascii="Myriad Pro" w:hAnsi="Myriad Pro"/>
                <w:b/>
                <w:bCs/>
                <w:color w:val="FFFFFF" w:themeColor="background1"/>
                <w:sz w:val="56"/>
                <w:szCs w:val="56"/>
              </w:rPr>
              <w:t>9</w:t>
            </w:r>
          </w:p>
          <w:p w14:paraId="3C6A2EAB" w14:textId="77777777" w:rsidR="00142FA2" w:rsidRDefault="00142FA2" w:rsidP="007A6A0D">
            <w:pPr>
              <w:jc w:val="center"/>
              <w:rPr>
                <w:rFonts w:ascii="Myriad Pro" w:hAnsi="Myriad Pro"/>
                <w:b/>
                <w:bCs/>
                <w:color w:val="FFFFFF" w:themeColor="background1"/>
                <w:sz w:val="32"/>
                <w:szCs w:val="32"/>
              </w:rPr>
            </w:pPr>
          </w:p>
          <w:p w14:paraId="2D29F26C" w14:textId="2233E879" w:rsidR="00142FA2" w:rsidRDefault="00142FA2" w:rsidP="007A6A0D">
            <w:pPr>
              <w:jc w:val="center"/>
              <w:rPr>
                <w:rFonts w:ascii="Myriad Pro" w:hAnsi="Myriad Pro"/>
                <w:b/>
                <w:bCs/>
                <w:color w:val="FFFFFF" w:themeColor="background1"/>
                <w:sz w:val="56"/>
                <w:szCs w:val="56"/>
              </w:rPr>
            </w:pPr>
            <w:r>
              <w:rPr>
                <w:rFonts w:ascii="Myriad Pro" w:hAnsi="Myriad Pro"/>
                <w:b/>
                <w:bCs/>
                <w:color w:val="FFFFFF" w:themeColor="background1"/>
                <w:sz w:val="32"/>
                <w:szCs w:val="32"/>
              </w:rPr>
              <w:t>NEW!</w:t>
            </w:r>
          </w:p>
        </w:tc>
        <w:tc>
          <w:tcPr>
            <w:tcW w:w="8363" w:type="dxa"/>
          </w:tcPr>
          <w:p w14:paraId="271105AB" w14:textId="77777777" w:rsidR="00FC07DB" w:rsidRDefault="00142FA2" w:rsidP="0038083C">
            <w:pPr>
              <w:spacing w:before="120"/>
              <w:jc w:val="both"/>
              <w:rPr>
                <w:rFonts w:ascii="Myriad Pro" w:hAnsi="Myriad Pro" w:cs="Arial"/>
                <w:b/>
                <w:bCs/>
                <w:sz w:val="24"/>
                <w:szCs w:val="24"/>
                <w:lang w:val="en-CA"/>
              </w:rPr>
            </w:pPr>
            <w:r>
              <w:rPr>
                <w:rFonts w:ascii="Myriad Pro" w:hAnsi="Myriad Pro" w:cs="Arial"/>
                <w:b/>
                <w:bCs/>
                <w:sz w:val="24"/>
                <w:szCs w:val="24"/>
                <w:lang w:val="en-CA"/>
              </w:rPr>
              <w:t>Trafficking in Human Beings for the Purpose of Labour Exploitation</w:t>
            </w:r>
          </w:p>
          <w:p w14:paraId="5313360E" w14:textId="004B479C" w:rsidR="00142FA2" w:rsidRPr="00142FA2" w:rsidRDefault="00142FA2" w:rsidP="00142FA2">
            <w:pPr>
              <w:pStyle w:val="ListParagraph"/>
              <w:numPr>
                <w:ilvl w:val="0"/>
                <w:numId w:val="1"/>
              </w:numPr>
              <w:rPr>
                <w:rFonts w:ascii="Myriad Pro" w:hAnsi="Myriad Pro" w:cs="Arial"/>
                <w:sz w:val="20"/>
                <w:szCs w:val="20"/>
                <w:lang w:val="en-US"/>
              </w:rPr>
            </w:pPr>
            <w:r w:rsidRPr="00142FA2">
              <w:rPr>
                <w:rFonts w:ascii="Myriad Pro" w:hAnsi="Myriad Pro" w:cs="Arial"/>
                <w:sz w:val="20"/>
                <w:szCs w:val="20"/>
                <w:lang w:val="en-US"/>
              </w:rPr>
              <w:t>Definition and related concepts</w:t>
            </w:r>
          </w:p>
          <w:p w14:paraId="5C1DF75D" w14:textId="77777777" w:rsidR="00142FA2" w:rsidRPr="00142FA2" w:rsidRDefault="00142FA2" w:rsidP="00142FA2">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rPr>
              <w:t>Key actors</w:t>
            </w:r>
          </w:p>
          <w:p w14:paraId="0E19826D" w14:textId="77777777" w:rsidR="00142FA2" w:rsidRPr="00142FA2" w:rsidRDefault="00142FA2" w:rsidP="00142FA2">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rPr>
              <w:t>Identification of victims</w:t>
            </w:r>
          </w:p>
          <w:p w14:paraId="1C1B6437" w14:textId="77777777" w:rsidR="00142FA2" w:rsidRPr="00142FA2" w:rsidRDefault="00142FA2" w:rsidP="00142FA2">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rPr>
              <w:t>Victims’ rights and assistance</w:t>
            </w:r>
          </w:p>
          <w:p w14:paraId="1534B517" w14:textId="77777777" w:rsidR="00142FA2" w:rsidRPr="00142FA2" w:rsidRDefault="00142FA2" w:rsidP="00142FA2">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rPr>
              <w:t>Investigation, prosecution and trials</w:t>
            </w:r>
          </w:p>
          <w:p w14:paraId="40A0FBBB" w14:textId="67362F13" w:rsidR="00142FA2" w:rsidRPr="00142FA2" w:rsidRDefault="00142FA2" w:rsidP="00142FA2">
            <w:pPr>
              <w:pStyle w:val="ListParagraph"/>
              <w:numPr>
                <w:ilvl w:val="0"/>
                <w:numId w:val="1"/>
              </w:numPr>
              <w:jc w:val="both"/>
              <w:rPr>
                <w:rFonts w:ascii="Myriad Pro" w:hAnsi="Myriad Pro" w:cs="Arial"/>
                <w:sz w:val="20"/>
                <w:szCs w:val="20"/>
                <w:lang w:val="en-US"/>
              </w:rPr>
            </w:pPr>
            <w:r w:rsidRPr="00142FA2">
              <w:rPr>
                <w:rFonts w:ascii="Myriad Pro" w:hAnsi="Myriad Pro" w:cs="Arial"/>
                <w:sz w:val="20"/>
                <w:szCs w:val="20"/>
              </w:rPr>
              <w:t>Corporate liability</w:t>
            </w:r>
          </w:p>
          <w:p w14:paraId="3D45F16D" w14:textId="08C9668A" w:rsidR="00142FA2" w:rsidRPr="00142FA2" w:rsidRDefault="00142FA2" w:rsidP="00142FA2">
            <w:pPr>
              <w:pStyle w:val="ListParagraph"/>
              <w:numPr>
                <w:ilvl w:val="0"/>
                <w:numId w:val="1"/>
              </w:numPr>
              <w:jc w:val="both"/>
              <w:rPr>
                <w:rFonts w:ascii="Myriad Pro" w:hAnsi="Myriad Pro" w:cs="Arial"/>
                <w:sz w:val="22"/>
                <w:szCs w:val="22"/>
                <w:lang w:val="en-US"/>
              </w:rPr>
            </w:pPr>
            <w:r w:rsidRPr="00142FA2">
              <w:rPr>
                <w:rFonts w:ascii="Myriad Pro" w:hAnsi="Myriad Pro" w:cs="Arial"/>
                <w:sz w:val="20"/>
                <w:szCs w:val="20"/>
              </w:rPr>
              <w:t>Access to remedies and compensation for victims</w:t>
            </w:r>
          </w:p>
        </w:tc>
      </w:tr>
    </w:tbl>
    <w:p w14:paraId="466B5072" w14:textId="14416879" w:rsidR="00126A87" w:rsidRPr="00126A87" w:rsidRDefault="00126A87" w:rsidP="00126A87">
      <w:pPr>
        <w:rPr>
          <w:rFonts w:ascii="Myriad Pro" w:hAnsi="Myriad Pro"/>
          <w:sz w:val="24"/>
          <w:szCs w:val="24"/>
        </w:rPr>
      </w:pPr>
    </w:p>
    <w:sectPr w:rsidR="00126A87" w:rsidRPr="00126A87" w:rsidSect="008327EB">
      <w:footerReference w:type="default" r:id="rId15"/>
      <w:pgSz w:w="12240" w:h="15840"/>
      <w:pgMar w:top="0" w:right="1440" w:bottom="1440" w:left="1440"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95F20" w14:textId="77777777" w:rsidR="005D41E5" w:rsidRDefault="005D41E5" w:rsidP="005B36F4">
      <w:pPr>
        <w:spacing w:after="0" w:line="240" w:lineRule="auto"/>
      </w:pPr>
      <w:r>
        <w:separator/>
      </w:r>
    </w:p>
  </w:endnote>
  <w:endnote w:type="continuationSeparator" w:id="0">
    <w:p w14:paraId="6975429D" w14:textId="77777777" w:rsidR="005D41E5" w:rsidRDefault="005D41E5" w:rsidP="005B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yriad Pro Cond">
    <w:altName w:val="Open Sans"/>
    <w:panose1 w:val="00000000000000000000"/>
    <w:charset w:val="00"/>
    <w:family w:val="swiss"/>
    <w:notTrueType/>
    <w:pitch w:val="variable"/>
    <w:sig w:usb0="00000001" w:usb1="00000001" w:usb2="00000000" w:usb3="00000000" w:csb0="0000019F" w:csb1="00000000"/>
  </w:font>
  <w:font w:name="MyriadPro-BlackCond">
    <w:altName w:val="Microsoft JhengHei"/>
    <w:panose1 w:val="00000000000000000000"/>
    <w:charset w:val="88"/>
    <w:family w:val="swiss"/>
    <w:notTrueType/>
    <w:pitch w:val="default"/>
    <w:sig w:usb0="00000001" w:usb1="08080000" w:usb2="00000010" w:usb3="00000000" w:csb0="001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76824" w14:textId="77777777" w:rsidR="00675056" w:rsidRDefault="00675056" w:rsidP="00675056">
    <w:pPr>
      <w:pStyle w:val="Footer"/>
      <w:jc w:val="right"/>
      <w:rPr>
        <w:i/>
        <w:color w:val="808080" w:themeColor="background1" w:themeShade="80"/>
        <w:sz w:val="18"/>
        <w:szCs w:val="18"/>
      </w:rPr>
    </w:pPr>
  </w:p>
  <w:p w14:paraId="470044DA" w14:textId="2592CBE0" w:rsidR="00675056" w:rsidRPr="003D2D26" w:rsidRDefault="00675056" w:rsidP="00675056">
    <w:pPr>
      <w:pStyle w:val="Footer"/>
      <w:jc w:val="right"/>
      <w:rPr>
        <w:i/>
        <w:color w:val="808080" w:themeColor="background1" w:themeShade="80"/>
        <w:sz w:val="18"/>
        <w:szCs w:val="18"/>
      </w:rPr>
    </w:pPr>
    <w:r w:rsidRPr="003D2D26">
      <w:rPr>
        <w:i/>
        <w:color w:val="808080" w:themeColor="background1" w:themeShade="80"/>
        <w:sz w:val="18"/>
        <w:szCs w:val="18"/>
      </w:rPr>
      <w:t>Th</w:t>
    </w:r>
    <w:r>
      <w:rPr>
        <w:i/>
        <w:color w:val="808080" w:themeColor="background1" w:themeShade="80"/>
        <w:sz w:val="18"/>
        <w:szCs w:val="18"/>
      </w:rPr>
      <w:t xml:space="preserve">e update of this </w:t>
    </w:r>
    <w:r w:rsidRPr="003D2D26">
      <w:rPr>
        <w:i/>
        <w:color w:val="808080" w:themeColor="background1" w:themeShade="80"/>
        <w:sz w:val="18"/>
        <w:szCs w:val="18"/>
      </w:rPr>
      <w:t>course was funded by the European Union’s Justice Programme (2014-2020).</w:t>
    </w:r>
  </w:p>
  <w:p w14:paraId="6D5A83F4" w14:textId="77777777" w:rsidR="00675056" w:rsidRDefault="00675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DC3EB" w14:textId="77777777" w:rsidR="005D41E5" w:rsidRDefault="005D41E5" w:rsidP="005B36F4">
      <w:pPr>
        <w:spacing w:after="0" w:line="240" w:lineRule="auto"/>
      </w:pPr>
      <w:r>
        <w:separator/>
      </w:r>
    </w:p>
  </w:footnote>
  <w:footnote w:type="continuationSeparator" w:id="0">
    <w:p w14:paraId="6D3894C7" w14:textId="77777777" w:rsidR="005D41E5" w:rsidRDefault="005D41E5" w:rsidP="005B3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D31DB"/>
    <w:multiLevelType w:val="hybridMultilevel"/>
    <w:tmpl w:val="CB20441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E60409"/>
    <w:multiLevelType w:val="hybridMultilevel"/>
    <w:tmpl w:val="04F4718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0E018D"/>
    <w:multiLevelType w:val="hybridMultilevel"/>
    <w:tmpl w:val="DBCEFB68"/>
    <w:lvl w:ilvl="0" w:tplc="4EF697C2">
      <w:start w:val="1"/>
      <w:numFmt w:val="bullet"/>
      <w:lvlText w:val=""/>
      <w:lvlJc w:val="left"/>
      <w:pPr>
        <w:ind w:left="720" w:hanging="360"/>
      </w:pPr>
      <w:rPr>
        <w:rFonts w:ascii="Wingdings" w:hAnsi="Wingdings" w:hint="default"/>
        <w:color w:val="1498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5F5E2C"/>
    <w:multiLevelType w:val="multilevel"/>
    <w:tmpl w:val="002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A0792A"/>
    <w:multiLevelType w:val="hybridMultilevel"/>
    <w:tmpl w:val="254AE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59"/>
    <w:rsid w:val="0001213D"/>
    <w:rsid w:val="00053B87"/>
    <w:rsid w:val="00096ACE"/>
    <w:rsid w:val="001068B0"/>
    <w:rsid w:val="00126A87"/>
    <w:rsid w:val="00131859"/>
    <w:rsid w:val="00142FA2"/>
    <w:rsid w:val="00184257"/>
    <w:rsid w:val="00363A8D"/>
    <w:rsid w:val="00363DB7"/>
    <w:rsid w:val="0038083C"/>
    <w:rsid w:val="003A2717"/>
    <w:rsid w:val="004208E6"/>
    <w:rsid w:val="00575DCE"/>
    <w:rsid w:val="00580CB7"/>
    <w:rsid w:val="00582689"/>
    <w:rsid w:val="005B36F4"/>
    <w:rsid w:val="005D41E5"/>
    <w:rsid w:val="00675056"/>
    <w:rsid w:val="00704A8C"/>
    <w:rsid w:val="007A6A0D"/>
    <w:rsid w:val="008140F7"/>
    <w:rsid w:val="00817CD9"/>
    <w:rsid w:val="008327EB"/>
    <w:rsid w:val="00881DBA"/>
    <w:rsid w:val="00933DA9"/>
    <w:rsid w:val="00A025B3"/>
    <w:rsid w:val="00A15D4A"/>
    <w:rsid w:val="00A622BB"/>
    <w:rsid w:val="00AD0A76"/>
    <w:rsid w:val="00AE10B3"/>
    <w:rsid w:val="00B40180"/>
    <w:rsid w:val="00B50F9B"/>
    <w:rsid w:val="00C077C8"/>
    <w:rsid w:val="00C56559"/>
    <w:rsid w:val="00CA184F"/>
    <w:rsid w:val="00CC2BA1"/>
    <w:rsid w:val="00DD1E0B"/>
    <w:rsid w:val="00E66FB0"/>
    <w:rsid w:val="00EF3C4E"/>
    <w:rsid w:val="00F507F6"/>
    <w:rsid w:val="00FC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327B3"/>
  <w15:chartTrackingRefBased/>
  <w15:docId w15:val="{C7178E54-0E1F-49B7-BC7D-A575111D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6559"/>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559"/>
    <w:rPr>
      <w:rFonts w:asciiTheme="majorHAnsi" w:eastAsiaTheme="majorEastAsia" w:hAnsiTheme="majorHAnsi" w:cstheme="majorBidi"/>
      <w:spacing w:val="-10"/>
      <w:kern w:val="28"/>
      <w:sz w:val="56"/>
      <w:szCs w:val="56"/>
    </w:rPr>
  </w:style>
  <w:style w:type="paragraph" w:customStyle="1" w:styleId="04xlpa">
    <w:name w:val="_04xlpa"/>
    <w:basedOn w:val="Normal"/>
    <w:rsid w:val="001068B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jsgrdq">
    <w:name w:val="jsgrdq"/>
    <w:basedOn w:val="DefaultParagraphFont"/>
    <w:rsid w:val="001068B0"/>
  </w:style>
  <w:style w:type="paragraph" w:styleId="ListParagraph">
    <w:name w:val="List Paragraph"/>
    <w:basedOn w:val="Normal"/>
    <w:uiPriority w:val="34"/>
    <w:qFormat/>
    <w:rsid w:val="007A6A0D"/>
    <w:pPr>
      <w:spacing w:after="0" w:line="240" w:lineRule="auto"/>
      <w:ind w:left="72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26A87"/>
    <w:rPr>
      <w:color w:val="0000FF" w:themeColor="hyperlink"/>
      <w:u w:val="single"/>
    </w:rPr>
  </w:style>
  <w:style w:type="character" w:customStyle="1" w:styleId="UnresolvedMention">
    <w:name w:val="Unresolved Mention"/>
    <w:basedOn w:val="DefaultParagraphFont"/>
    <w:uiPriority w:val="99"/>
    <w:semiHidden/>
    <w:unhideWhenUsed/>
    <w:rsid w:val="00126A87"/>
    <w:rPr>
      <w:color w:val="605E5C"/>
      <w:shd w:val="clear" w:color="auto" w:fill="E1DFDD"/>
    </w:rPr>
  </w:style>
  <w:style w:type="paragraph" w:styleId="Header">
    <w:name w:val="header"/>
    <w:basedOn w:val="Normal"/>
    <w:link w:val="HeaderChar"/>
    <w:uiPriority w:val="99"/>
    <w:unhideWhenUsed/>
    <w:rsid w:val="005B3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6F4"/>
  </w:style>
  <w:style w:type="paragraph" w:styleId="Footer">
    <w:name w:val="footer"/>
    <w:basedOn w:val="Normal"/>
    <w:link w:val="FooterChar"/>
    <w:uiPriority w:val="99"/>
    <w:unhideWhenUsed/>
    <w:rsid w:val="005B3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6F4"/>
  </w:style>
  <w:style w:type="paragraph" w:styleId="NormalWeb">
    <w:name w:val="Normal (Web)"/>
    <w:basedOn w:val="Normal"/>
    <w:uiPriority w:val="99"/>
    <w:semiHidden/>
    <w:unhideWhenUsed/>
    <w:rsid w:val="00AE10B3"/>
    <w:pPr>
      <w:spacing w:before="100" w:beforeAutospacing="1" w:after="100" w:afterAutospacing="1" w:line="240" w:lineRule="auto"/>
    </w:pPr>
    <w:rPr>
      <w:rFonts w:ascii="Verdana" w:eastAsia="Times New Roman" w:hAnsi="Verdana" w:cs="Times New Roman"/>
      <w:color w:val="00368C"/>
      <w:sz w:val="24"/>
      <w:szCs w:val="24"/>
    </w:rPr>
  </w:style>
  <w:style w:type="character" w:customStyle="1" w:styleId="Heading1Char">
    <w:name w:val="Heading 1 Char"/>
    <w:basedOn w:val="DefaultParagraphFont"/>
    <w:link w:val="Heading1"/>
    <w:uiPriority w:val="9"/>
    <w:rsid w:val="00AE10B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40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8041">
      <w:bodyDiv w:val="1"/>
      <w:marLeft w:val="0"/>
      <w:marRight w:val="0"/>
      <w:marTop w:val="0"/>
      <w:marBottom w:val="0"/>
      <w:divBdr>
        <w:top w:val="none" w:sz="0" w:space="0" w:color="auto"/>
        <w:left w:val="none" w:sz="0" w:space="0" w:color="auto"/>
        <w:bottom w:val="none" w:sz="0" w:space="0" w:color="auto"/>
        <w:right w:val="none" w:sz="0" w:space="0" w:color="auto"/>
      </w:divBdr>
    </w:div>
    <w:div w:id="231431193">
      <w:bodyDiv w:val="1"/>
      <w:marLeft w:val="0"/>
      <w:marRight w:val="0"/>
      <w:marTop w:val="0"/>
      <w:marBottom w:val="0"/>
      <w:divBdr>
        <w:top w:val="none" w:sz="0" w:space="0" w:color="auto"/>
        <w:left w:val="none" w:sz="0" w:space="0" w:color="auto"/>
        <w:bottom w:val="none" w:sz="0" w:space="0" w:color="auto"/>
        <w:right w:val="none" w:sz="0" w:space="0" w:color="auto"/>
      </w:divBdr>
    </w:div>
    <w:div w:id="902521526">
      <w:bodyDiv w:val="1"/>
      <w:marLeft w:val="0"/>
      <w:marRight w:val="0"/>
      <w:marTop w:val="0"/>
      <w:marBottom w:val="0"/>
      <w:divBdr>
        <w:top w:val="none" w:sz="0" w:space="0" w:color="auto"/>
        <w:left w:val="none" w:sz="0" w:space="0" w:color="auto"/>
        <w:bottom w:val="none" w:sz="0" w:space="0" w:color="auto"/>
        <w:right w:val="none" w:sz="0" w:space="0" w:color="auto"/>
      </w:divBdr>
    </w:div>
    <w:div w:id="982999904">
      <w:bodyDiv w:val="1"/>
      <w:marLeft w:val="0"/>
      <w:marRight w:val="0"/>
      <w:marTop w:val="0"/>
      <w:marBottom w:val="0"/>
      <w:divBdr>
        <w:top w:val="none" w:sz="0" w:space="0" w:color="auto"/>
        <w:left w:val="none" w:sz="0" w:space="0" w:color="auto"/>
        <w:bottom w:val="none" w:sz="0" w:space="0" w:color="auto"/>
        <w:right w:val="none" w:sz="0" w:space="0" w:color="auto"/>
      </w:divBdr>
    </w:div>
    <w:div w:id="1059863099">
      <w:bodyDiv w:val="1"/>
      <w:marLeft w:val="0"/>
      <w:marRight w:val="0"/>
      <w:marTop w:val="0"/>
      <w:marBottom w:val="0"/>
      <w:divBdr>
        <w:top w:val="none" w:sz="0" w:space="0" w:color="auto"/>
        <w:left w:val="none" w:sz="0" w:space="0" w:color="auto"/>
        <w:bottom w:val="none" w:sz="0" w:space="0" w:color="auto"/>
        <w:right w:val="none" w:sz="0" w:space="0" w:color="auto"/>
      </w:divBdr>
    </w:div>
    <w:div w:id="1221818986">
      <w:bodyDiv w:val="1"/>
      <w:marLeft w:val="0"/>
      <w:marRight w:val="0"/>
      <w:marTop w:val="0"/>
      <w:marBottom w:val="0"/>
      <w:divBdr>
        <w:top w:val="none" w:sz="0" w:space="0" w:color="auto"/>
        <w:left w:val="none" w:sz="0" w:space="0" w:color="auto"/>
        <w:bottom w:val="none" w:sz="0" w:space="0" w:color="auto"/>
        <w:right w:val="none" w:sz="0" w:space="0" w:color="auto"/>
      </w:divBdr>
    </w:div>
    <w:div w:id="12868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elearning.ext.coe.int/course/view.php?id=1748"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elp.elearning.ext.coe.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help.elearning.ext.coe.int/login/signu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TELBIS Ana-Maria</dc:creator>
  <cp:keywords/>
  <dc:description/>
  <cp:lastModifiedBy>Nadia Taran</cp:lastModifiedBy>
  <cp:revision>2</cp:revision>
  <dcterms:created xsi:type="dcterms:W3CDTF">2021-08-18T06:47:00Z</dcterms:created>
  <dcterms:modified xsi:type="dcterms:W3CDTF">2021-08-18T06:47:00Z</dcterms:modified>
</cp:coreProperties>
</file>