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7926" w14:textId="2D0E8775" w:rsidR="00D03906" w:rsidRPr="00035966" w:rsidRDefault="00D03906" w:rsidP="00D03906">
      <w:pPr>
        <w:ind w:right="-2"/>
        <w:rPr>
          <w:rFonts w:ascii="Calibri Light" w:eastAsiaTheme="majorEastAsia" w:hAnsi="Calibri Light" w:cs="Calibri"/>
          <w:b/>
          <w:bCs/>
          <w:iCs/>
          <w:szCs w:val="20"/>
          <w:lang w:val="ro-RO"/>
        </w:rPr>
      </w:pPr>
    </w:p>
    <w:p w14:paraId="07148897" w14:textId="133F46E5" w:rsidR="00D03906" w:rsidRPr="003D5260" w:rsidRDefault="00D03906" w:rsidP="00D03906">
      <w:pPr>
        <w:ind w:right="-2"/>
        <w:jc w:val="center"/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</w:pPr>
      <w:r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 xml:space="preserve">Schimbări majore </w:t>
      </w:r>
      <w:r w:rsidR="00146C49"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>la impozitarea în domeniul</w:t>
      </w:r>
      <w:r w:rsidR="005E510B"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 xml:space="preserve"> </w:t>
      </w:r>
      <w:proofErr w:type="spellStart"/>
      <w:r w:rsidR="005E510B"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>HoReCa</w:t>
      </w:r>
      <w:proofErr w:type="spellEnd"/>
      <w:r w:rsidR="005E510B"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 xml:space="preserve"> și </w:t>
      </w:r>
      <w:r w:rsidR="004A541F"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 xml:space="preserve">a </w:t>
      </w:r>
      <w:r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>microîntreprinderi</w:t>
      </w:r>
      <w:r w:rsidR="004A541F"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>lor</w:t>
      </w:r>
      <w:r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 xml:space="preserve">. Ce </w:t>
      </w:r>
      <w:r w:rsidR="004A541F"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>regim fiscal</w:t>
      </w:r>
      <w:r w:rsidR="004E630A"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 xml:space="preserve"> alegem</w:t>
      </w:r>
      <w:r w:rsidRPr="003D5260">
        <w:rPr>
          <w:rFonts w:ascii="Calibri Light" w:eastAsiaTheme="majorEastAsia" w:hAnsi="Calibri Light" w:cs="Calibri"/>
          <w:b/>
          <w:bCs/>
          <w:iCs/>
          <w:sz w:val="24"/>
          <w:szCs w:val="24"/>
          <w:lang w:val="ro-RO"/>
        </w:rPr>
        <w:t>?</w:t>
      </w:r>
    </w:p>
    <w:p w14:paraId="243B64C1" w14:textId="77777777" w:rsidR="00DC31E8" w:rsidRDefault="00DC31E8" w:rsidP="00DC31E8">
      <w:pPr>
        <w:ind w:right="-2"/>
        <w:rPr>
          <w:rFonts w:ascii="Calibri Light" w:eastAsiaTheme="majorEastAsia" w:hAnsi="Calibri Light" w:cs="Calibri"/>
          <w:bCs/>
          <w:i/>
          <w:iCs/>
          <w:szCs w:val="20"/>
          <w:lang w:val="ro-RO"/>
        </w:rPr>
      </w:pPr>
    </w:p>
    <w:p w14:paraId="39C8BDE8" w14:textId="1D215EB7" w:rsidR="00D03906" w:rsidRPr="00035966" w:rsidRDefault="00D03906" w:rsidP="003D5260">
      <w:pPr>
        <w:ind w:right="-2"/>
        <w:rPr>
          <w:rFonts w:ascii="Calibri Light" w:eastAsiaTheme="majorEastAsia" w:hAnsi="Calibri Light" w:cs="Calibri"/>
          <w:bCs/>
          <w:i/>
          <w:iCs/>
          <w:szCs w:val="20"/>
          <w:lang w:val="ro-RO"/>
        </w:rPr>
      </w:pPr>
      <w:r w:rsidRPr="00035966">
        <w:rPr>
          <w:rFonts w:ascii="Calibri Light" w:eastAsiaTheme="majorEastAsia" w:hAnsi="Calibri Light" w:cs="Calibri"/>
          <w:bCs/>
          <w:i/>
          <w:iCs/>
          <w:szCs w:val="20"/>
          <w:lang w:val="ro-RO"/>
        </w:rPr>
        <w:t xml:space="preserve">Material de opinie de Camelia Malahov, Director, </w:t>
      </w:r>
      <w:r w:rsidR="00886A64" w:rsidRPr="00035966">
        <w:rPr>
          <w:rFonts w:ascii="Calibri Light" w:eastAsiaTheme="majorEastAsia" w:hAnsi="Calibri Light" w:cs="Calibri"/>
          <w:bCs/>
          <w:i/>
          <w:iCs/>
          <w:szCs w:val="20"/>
          <w:lang w:val="ro-RO"/>
        </w:rPr>
        <w:t>și R</w:t>
      </w:r>
      <w:r w:rsidR="003C39FA" w:rsidRPr="0036470C">
        <w:rPr>
          <w:rFonts w:ascii="Calibri Light" w:eastAsiaTheme="majorEastAsia" w:hAnsi="Calibri Light" w:cs="Calibri"/>
          <w:bCs/>
          <w:i/>
          <w:iCs/>
          <w:szCs w:val="20"/>
          <w:lang w:val="ro-RO"/>
        </w:rPr>
        <w:t>ă</w:t>
      </w:r>
      <w:r w:rsidR="00886A64" w:rsidRPr="00035966">
        <w:rPr>
          <w:rFonts w:ascii="Calibri Light" w:eastAsiaTheme="majorEastAsia" w:hAnsi="Calibri Light" w:cs="Calibri"/>
          <w:bCs/>
          <w:i/>
          <w:iCs/>
          <w:szCs w:val="20"/>
          <w:lang w:val="ro-RO"/>
        </w:rPr>
        <w:t>zvan Urzică, Senior Consultant</w:t>
      </w:r>
      <w:r w:rsidR="004E630A" w:rsidRPr="00035966">
        <w:rPr>
          <w:rFonts w:ascii="Calibri Light" w:eastAsiaTheme="majorEastAsia" w:hAnsi="Calibri Light" w:cs="Calibri"/>
          <w:bCs/>
          <w:i/>
          <w:iCs/>
          <w:szCs w:val="20"/>
          <w:lang w:val="ro-RO"/>
        </w:rPr>
        <w:t>,</w:t>
      </w:r>
      <w:r w:rsidR="00886A64" w:rsidRPr="00035966">
        <w:rPr>
          <w:rFonts w:ascii="Calibri Light" w:eastAsiaTheme="majorEastAsia" w:hAnsi="Calibri Light" w:cs="Calibri"/>
          <w:bCs/>
          <w:i/>
          <w:iCs/>
          <w:szCs w:val="20"/>
          <w:lang w:val="ro-RO"/>
        </w:rPr>
        <w:t xml:space="preserve"> </w:t>
      </w:r>
      <w:r w:rsidRPr="00035966">
        <w:rPr>
          <w:rFonts w:ascii="Calibri Light" w:eastAsiaTheme="majorEastAsia" w:hAnsi="Calibri Light" w:cs="Calibri"/>
          <w:bCs/>
          <w:i/>
          <w:iCs/>
          <w:szCs w:val="20"/>
          <w:lang w:val="ro-RO"/>
        </w:rPr>
        <w:t>Deloitte România</w:t>
      </w:r>
    </w:p>
    <w:p w14:paraId="585A2E34" w14:textId="77777777" w:rsidR="00DC31E8" w:rsidRDefault="00DC31E8" w:rsidP="00146C49">
      <w:pPr>
        <w:ind w:right="-2"/>
        <w:jc w:val="both"/>
        <w:rPr>
          <w:rFonts w:ascii="Calibri Light" w:eastAsiaTheme="majorEastAsia" w:hAnsi="Calibri Light" w:cs="Calibri"/>
          <w:bCs/>
          <w:iCs/>
          <w:szCs w:val="20"/>
          <w:lang w:val="ro-RO"/>
        </w:rPr>
      </w:pPr>
    </w:p>
    <w:p w14:paraId="794F0AC3" w14:textId="4782B235" w:rsidR="00D03906" w:rsidRDefault="00803AE1" w:rsidP="00146C49">
      <w:pPr>
        <w:ind w:right="-2"/>
        <w:jc w:val="both"/>
        <w:rPr>
          <w:rFonts w:ascii="Calibri Light" w:eastAsiaTheme="majorEastAsia" w:hAnsi="Calibri Light" w:cs="Calibri"/>
          <w:bCs/>
          <w:iCs/>
          <w:szCs w:val="20"/>
          <w:lang w:val="ro-RO"/>
        </w:rPr>
      </w:pPr>
      <w:r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Regulile de impozitare </w:t>
      </w:r>
      <w:r w:rsidR="00D03906"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>aplicabil</w:t>
      </w:r>
      <w:r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>e</w:t>
      </w:r>
      <w:r w:rsidR="00D03906"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 microîntreprinderilor și societăților din domeniul ospitalității (</w:t>
      </w:r>
      <w:proofErr w:type="spellStart"/>
      <w:r w:rsidR="00D03906"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>HoReCa</w:t>
      </w:r>
      <w:proofErr w:type="spellEnd"/>
      <w:r w:rsidR="00D03906"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>)</w:t>
      </w:r>
      <w:r w:rsidR="00886A64"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 </w:t>
      </w:r>
      <w:r w:rsidR="00146C49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se schimbă din nou din 2023, </w:t>
      </w:r>
      <w:r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astfel că </w:t>
      </w:r>
      <w:r w:rsidR="00146C49">
        <w:rPr>
          <w:rFonts w:ascii="Calibri Light" w:eastAsiaTheme="majorEastAsia" w:hAnsi="Calibri Light" w:cs="Calibri"/>
          <w:bCs/>
          <w:iCs/>
          <w:szCs w:val="20"/>
          <w:lang w:val="ro-RO"/>
        </w:rPr>
        <w:t>dispare impozitul specific pe suprafaț</w:t>
      </w:r>
      <w:r w:rsidR="004A541F">
        <w:rPr>
          <w:rFonts w:ascii="Calibri Light" w:eastAsiaTheme="majorEastAsia" w:hAnsi="Calibri Light" w:cs="Calibri"/>
          <w:bCs/>
          <w:iCs/>
          <w:szCs w:val="20"/>
          <w:lang w:val="ro-RO"/>
        </w:rPr>
        <w:t>a</w:t>
      </w:r>
      <w:r w:rsidR="00146C49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 de servire</w:t>
      </w:r>
      <w:r w:rsidR="00DC31E8">
        <w:rPr>
          <w:rFonts w:ascii="Calibri Light" w:eastAsiaTheme="majorEastAsia" w:hAnsi="Calibri Light" w:cs="Calibri"/>
          <w:bCs/>
          <w:iCs/>
          <w:szCs w:val="20"/>
          <w:lang w:val="ro-RO"/>
        </w:rPr>
        <w:t>,</w:t>
      </w:r>
      <w:r w:rsidR="00146C49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 iar </w:t>
      </w:r>
      <w:r w:rsidR="00903973"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societățile </w:t>
      </w:r>
      <w:r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vizate trebuie </w:t>
      </w:r>
      <w:r w:rsidR="00903973"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>s</w:t>
      </w:r>
      <w:r w:rsidR="003C39FA"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>ă</w:t>
      </w:r>
      <w:r w:rsidR="00903973"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 analizeze în amănunt ce regim </w:t>
      </w:r>
      <w:r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>fiscal</w:t>
      </w:r>
      <w:r w:rsidR="00903973" w:rsidRPr="00035966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 este mai favorabil</w:t>
      </w:r>
      <w:r w:rsidR="00146C49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: impozit pe profit sau impozit pe cifra de afaceri. </w:t>
      </w:r>
    </w:p>
    <w:p w14:paraId="7FCB49EA" w14:textId="2794E099" w:rsidR="004A541F" w:rsidRDefault="00F451C4" w:rsidP="00D03906">
      <w:pPr>
        <w:ind w:right="-2"/>
        <w:jc w:val="both"/>
        <w:rPr>
          <w:rFonts w:ascii="Calibri Light" w:eastAsiaTheme="majorEastAsia" w:hAnsi="Calibri Light" w:cs="Calibri"/>
          <w:iCs/>
          <w:szCs w:val="20"/>
          <w:lang w:val="ro-RO"/>
        </w:rPr>
      </w:pPr>
      <w:r>
        <w:rPr>
          <w:rFonts w:ascii="Calibri Light" w:eastAsiaTheme="majorEastAsia" w:hAnsi="Calibri Light" w:cs="Calibri"/>
          <w:bCs/>
          <w:iCs/>
          <w:szCs w:val="20"/>
          <w:lang w:val="ro-RO"/>
        </w:rPr>
        <w:t>Totodată, de anul viitor</w:t>
      </w:r>
      <w:r w:rsidR="004A541F">
        <w:rPr>
          <w:rFonts w:ascii="Calibri Light" w:eastAsiaTheme="majorEastAsia" w:hAnsi="Calibri Light" w:cs="Calibri"/>
          <w:iCs/>
          <w:szCs w:val="20"/>
          <w:lang w:val="ro-RO"/>
        </w:rPr>
        <w:t xml:space="preserve">, regimul de impozitare pentru microîntreprinderi </w:t>
      </w:r>
      <w:r w:rsidR="004A541F" w:rsidRPr="00400BE0">
        <w:rPr>
          <w:rFonts w:ascii="Calibri Light" w:eastAsiaTheme="majorEastAsia" w:hAnsi="Calibri Light" w:cs="Calibri"/>
          <w:b/>
          <w:iCs/>
          <w:szCs w:val="20"/>
          <w:lang w:val="ro-RO"/>
        </w:rPr>
        <w:t>devine opțional</w:t>
      </w:r>
      <w:r w:rsidR="004A541F" w:rsidRPr="00400BE0">
        <w:rPr>
          <w:rFonts w:ascii="Calibri Light" w:eastAsiaTheme="majorEastAsia" w:hAnsi="Calibri Light" w:cs="Calibri"/>
          <w:iCs/>
          <w:szCs w:val="20"/>
          <w:lang w:val="ro-RO"/>
        </w:rPr>
        <w:t xml:space="preserve"> </w:t>
      </w:r>
      <w:r w:rsidR="004A541F">
        <w:rPr>
          <w:rFonts w:ascii="Calibri Light" w:eastAsiaTheme="majorEastAsia" w:hAnsi="Calibri Light" w:cs="Calibri"/>
          <w:iCs/>
          <w:szCs w:val="20"/>
          <w:lang w:val="ro-RO"/>
        </w:rPr>
        <w:t xml:space="preserve">și </w:t>
      </w:r>
      <w:r w:rsidR="004A541F" w:rsidRPr="00400BE0">
        <w:rPr>
          <w:rFonts w:ascii="Calibri Light" w:eastAsiaTheme="majorEastAsia" w:hAnsi="Calibri Light" w:cs="Calibri"/>
          <w:iCs/>
          <w:szCs w:val="20"/>
          <w:lang w:val="ro-RO"/>
        </w:rPr>
        <w:t xml:space="preserve">scade pragul de încadrare de la un milion </w:t>
      </w:r>
      <w:r w:rsidR="004A541F">
        <w:rPr>
          <w:rFonts w:ascii="Calibri Light" w:eastAsiaTheme="majorEastAsia" w:hAnsi="Calibri Light" w:cs="Calibri"/>
          <w:iCs/>
          <w:szCs w:val="20"/>
          <w:lang w:val="ro-RO"/>
        </w:rPr>
        <w:t xml:space="preserve">de </w:t>
      </w:r>
      <w:r w:rsidR="004A541F" w:rsidRPr="00400BE0">
        <w:rPr>
          <w:rFonts w:ascii="Calibri Light" w:eastAsiaTheme="majorEastAsia" w:hAnsi="Calibri Light" w:cs="Calibri"/>
          <w:iCs/>
          <w:szCs w:val="20"/>
          <w:lang w:val="ro-RO"/>
        </w:rPr>
        <w:t>euro la 500.000 euro</w:t>
      </w:r>
      <w:r w:rsidR="004A541F" w:rsidRPr="003D5260">
        <w:rPr>
          <w:rFonts w:ascii="Calibri Light" w:eastAsiaTheme="majorEastAsia" w:hAnsi="Calibri Light" w:cs="Calibri"/>
          <w:bCs/>
          <w:iCs/>
          <w:szCs w:val="20"/>
          <w:lang w:val="ro-RO"/>
        </w:rPr>
        <w:t>.</w:t>
      </w:r>
      <w:r w:rsidR="004A541F" w:rsidRPr="00400BE0">
        <w:rPr>
          <w:rFonts w:ascii="Calibri Light" w:eastAsiaTheme="majorEastAsia" w:hAnsi="Calibri Light" w:cs="Calibri"/>
          <w:b/>
          <w:iCs/>
          <w:szCs w:val="20"/>
          <w:lang w:val="ro-RO"/>
        </w:rPr>
        <w:t xml:space="preserve"> </w:t>
      </w:r>
      <w:r w:rsidR="004A541F" w:rsidRPr="00835E5D">
        <w:rPr>
          <w:rFonts w:ascii="Calibri Light" w:eastAsiaTheme="majorEastAsia" w:hAnsi="Calibri Light" w:cs="Calibri"/>
          <w:bCs/>
          <w:iCs/>
          <w:szCs w:val="20"/>
          <w:lang w:val="ro-RO"/>
        </w:rPr>
        <w:t>Deși</w:t>
      </w:r>
      <w:r w:rsidR="004A541F" w:rsidRPr="003C39FA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 cota de impozitare devine unic</w:t>
      </w:r>
      <w:r w:rsidR="004A541F">
        <w:rPr>
          <w:rFonts w:ascii="Calibri Light" w:eastAsiaTheme="majorEastAsia" w:hAnsi="Calibri Light" w:cs="Calibri"/>
          <w:bCs/>
          <w:iCs/>
          <w:szCs w:val="20"/>
          <w:lang w:val="ro-RO"/>
        </w:rPr>
        <w:t>ă</w:t>
      </w:r>
      <w:r w:rsidR="004A541F" w:rsidRPr="003C39FA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 </w:t>
      </w:r>
      <w:r w:rsidR="004A541F">
        <w:rPr>
          <w:rFonts w:ascii="Calibri Light" w:eastAsiaTheme="majorEastAsia" w:hAnsi="Calibri Light" w:cs="Calibri"/>
          <w:bCs/>
          <w:iCs/>
          <w:szCs w:val="20"/>
          <w:lang w:val="ro-RO"/>
        </w:rPr>
        <w:t xml:space="preserve">(i.e. </w:t>
      </w:r>
      <w:r w:rsidR="004A541F" w:rsidRPr="003C39FA">
        <w:rPr>
          <w:rFonts w:ascii="Calibri Light" w:eastAsiaTheme="majorEastAsia" w:hAnsi="Calibri Light" w:cs="Calibri"/>
          <w:bCs/>
          <w:iCs/>
          <w:szCs w:val="20"/>
          <w:lang w:val="ro-RO"/>
        </w:rPr>
        <w:t>1%</w:t>
      </w:r>
      <w:r w:rsidR="004A541F">
        <w:rPr>
          <w:rFonts w:ascii="Calibri Light" w:eastAsiaTheme="majorEastAsia" w:hAnsi="Calibri Light" w:cs="Calibri"/>
          <w:bCs/>
          <w:iCs/>
          <w:szCs w:val="20"/>
          <w:lang w:val="ro-RO"/>
        </w:rPr>
        <w:t>)</w:t>
      </w:r>
      <w:r w:rsidR="004A541F" w:rsidRPr="003C39FA">
        <w:rPr>
          <w:rFonts w:ascii="Calibri Light" w:eastAsiaTheme="majorEastAsia" w:hAnsi="Calibri Light" w:cs="Calibri"/>
          <w:bCs/>
          <w:iCs/>
          <w:szCs w:val="20"/>
          <w:lang w:val="ro-RO"/>
        </w:rPr>
        <w:t>,</w:t>
      </w:r>
      <w:r w:rsidR="004A541F">
        <w:rPr>
          <w:rFonts w:ascii="Calibri Light" w:eastAsiaTheme="majorEastAsia" w:hAnsi="Calibri Light" w:cs="Calibri"/>
          <w:b/>
          <w:iCs/>
          <w:szCs w:val="20"/>
          <w:lang w:val="ro-RO"/>
        </w:rPr>
        <w:t xml:space="preserve"> </w:t>
      </w:r>
      <w:r w:rsidR="004A541F">
        <w:rPr>
          <w:rFonts w:ascii="Calibri Light" w:eastAsiaTheme="majorEastAsia" w:hAnsi="Calibri Light" w:cs="Calibri"/>
          <w:iCs/>
          <w:szCs w:val="20"/>
          <w:lang w:val="ro-RO"/>
        </w:rPr>
        <w:t xml:space="preserve">se restricționează accesul la acest regim de impozitare pentru </w:t>
      </w:r>
      <w:r w:rsidR="004A541F" w:rsidRPr="008D17A1">
        <w:rPr>
          <w:rFonts w:ascii="Calibri Light" w:eastAsiaTheme="majorEastAsia" w:hAnsi="Calibri Light" w:cs="Calibri"/>
          <w:iCs/>
          <w:szCs w:val="20"/>
          <w:lang w:val="ro-RO"/>
        </w:rPr>
        <w:t>societățil</w:t>
      </w:r>
      <w:r w:rsidR="004A541F">
        <w:rPr>
          <w:rFonts w:ascii="Calibri Light" w:eastAsiaTheme="majorEastAsia" w:hAnsi="Calibri Light" w:cs="Calibri"/>
          <w:iCs/>
          <w:szCs w:val="20"/>
          <w:lang w:val="ro-RO"/>
        </w:rPr>
        <w:t xml:space="preserve">e </w:t>
      </w:r>
      <w:r w:rsidR="004A541F" w:rsidRPr="008D17A1">
        <w:rPr>
          <w:rFonts w:ascii="Calibri Light" w:eastAsiaTheme="majorEastAsia" w:hAnsi="Calibri Light" w:cs="Calibri"/>
          <w:iCs/>
          <w:szCs w:val="20"/>
          <w:lang w:val="ro-RO"/>
        </w:rPr>
        <w:t xml:space="preserve">care realizează venituri din </w:t>
      </w:r>
      <w:r w:rsidR="004A541F" w:rsidRPr="008D17A1">
        <w:rPr>
          <w:rFonts w:ascii="Calibri Light" w:eastAsiaTheme="majorEastAsia" w:hAnsi="Calibri Light" w:cs="Calibri"/>
          <w:szCs w:val="20"/>
          <w:lang w:val="ro-RO"/>
        </w:rPr>
        <w:t>consultanță și/sau management</w:t>
      </w:r>
      <w:r w:rsidR="004A541F">
        <w:rPr>
          <w:rFonts w:ascii="Calibri Light" w:eastAsiaTheme="majorEastAsia" w:hAnsi="Calibri Light" w:cs="Calibri"/>
          <w:szCs w:val="20"/>
          <w:lang w:val="ro-RO"/>
        </w:rPr>
        <w:t xml:space="preserve"> </w:t>
      </w:r>
      <w:r w:rsidR="004A541F" w:rsidRPr="009C6354">
        <w:rPr>
          <w:rFonts w:ascii="Calibri Light" w:eastAsiaTheme="majorEastAsia" w:hAnsi="Calibri Light" w:cs="Calibri"/>
          <w:szCs w:val="20"/>
          <w:lang w:val="ro-RO"/>
        </w:rPr>
        <w:t>în proporție mai mare de 20%</w:t>
      </w:r>
      <w:r w:rsidR="004A541F" w:rsidRPr="00400BE0">
        <w:rPr>
          <w:rFonts w:ascii="Calibri Light" w:eastAsiaTheme="majorEastAsia" w:hAnsi="Calibri Light" w:cs="Calibri"/>
          <w:szCs w:val="20"/>
          <w:lang w:val="ro-RO"/>
        </w:rPr>
        <w:t xml:space="preserve"> din </w:t>
      </w:r>
      <w:r w:rsidR="004A541F" w:rsidRPr="003C3127">
        <w:rPr>
          <w:rFonts w:ascii="Calibri Light" w:eastAsiaTheme="majorEastAsia" w:hAnsi="Calibri Light" w:cs="Calibri"/>
          <w:iCs/>
          <w:szCs w:val="20"/>
          <w:lang w:val="ro-RO"/>
        </w:rPr>
        <w:t xml:space="preserve">veniturile totale și se limitează </w:t>
      </w:r>
      <w:r w:rsidR="004A541F">
        <w:rPr>
          <w:rFonts w:ascii="Calibri Light" w:eastAsiaTheme="majorEastAsia" w:hAnsi="Calibri Light" w:cs="Calibri"/>
          <w:iCs/>
          <w:szCs w:val="20"/>
          <w:lang w:val="ro-RO"/>
        </w:rPr>
        <w:t xml:space="preserve">la cel mult trei </w:t>
      </w:r>
      <w:r w:rsidR="004A541F" w:rsidRPr="003C3127">
        <w:rPr>
          <w:rFonts w:ascii="Calibri Light" w:eastAsiaTheme="majorEastAsia" w:hAnsi="Calibri Light" w:cs="Calibri"/>
          <w:iCs/>
          <w:szCs w:val="20"/>
          <w:lang w:val="ro-RO"/>
        </w:rPr>
        <w:t>numărul de societăți care aplic</w:t>
      </w:r>
      <w:r w:rsidR="004A541F">
        <w:rPr>
          <w:rFonts w:ascii="Calibri Light" w:eastAsiaTheme="majorEastAsia" w:hAnsi="Calibri Light" w:cs="Calibri"/>
          <w:iCs/>
          <w:szCs w:val="20"/>
          <w:lang w:val="ro-RO"/>
        </w:rPr>
        <w:t>ă</w:t>
      </w:r>
      <w:r w:rsidR="004A541F" w:rsidRPr="003C3127">
        <w:rPr>
          <w:rFonts w:ascii="Calibri Light" w:eastAsiaTheme="majorEastAsia" w:hAnsi="Calibri Light" w:cs="Calibri"/>
          <w:iCs/>
          <w:szCs w:val="20"/>
          <w:lang w:val="ro-RO"/>
        </w:rPr>
        <w:t xml:space="preserve"> acest regim și la care un acționar poate deține peste </w:t>
      </w:r>
      <w:r w:rsidR="004A541F" w:rsidRPr="003C39FA">
        <w:rPr>
          <w:rFonts w:ascii="Calibri Light" w:eastAsiaTheme="majorEastAsia" w:hAnsi="Calibri Light" w:cs="Calibri"/>
          <w:iCs/>
          <w:szCs w:val="20"/>
          <w:lang w:val="ro-RO"/>
        </w:rPr>
        <w:t>25% din valoarea/numărul titlurilor de participare sau al drepturilor de vot</w:t>
      </w:r>
      <w:r w:rsidR="004A541F">
        <w:rPr>
          <w:rFonts w:ascii="Calibri Light" w:eastAsiaTheme="majorEastAsia" w:hAnsi="Calibri Light" w:cs="Calibri"/>
          <w:iCs/>
          <w:szCs w:val="20"/>
          <w:lang w:val="ro-RO"/>
        </w:rPr>
        <w:t>.</w:t>
      </w:r>
      <w:r w:rsidR="004A541F" w:rsidRPr="003C3127">
        <w:rPr>
          <w:rFonts w:ascii="Calibri Light" w:eastAsiaTheme="majorEastAsia" w:hAnsi="Calibri Light" w:cs="Calibri"/>
          <w:iCs/>
          <w:szCs w:val="20"/>
          <w:lang w:val="ro-RO"/>
        </w:rPr>
        <w:t xml:space="preserve"> </w:t>
      </w:r>
    </w:p>
    <w:p w14:paraId="15791870" w14:textId="77777777" w:rsidR="00DC31E8" w:rsidRPr="007429B2" w:rsidRDefault="00DC31E8" w:rsidP="00D03906">
      <w:pPr>
        <w:ind w:right="-2"/>
        <w:jc w:val="both"/>
        <w:rPr>
          <w:rFonts w:ascii="Calibri Light" w:eastAsiaTheme="majorEastAsia" w:hAnsi="Calibri Light" w:cs="Calibri"/>
          <w:bCs/>
          <w:iCs/>
          <w:szCs w:val="20"/>
          <w:lang w:val="ro-RO"/>
        </w:rPr>
      </w:pPr>
    </w:p>
    <w:p w14:paraId="685CC7A2" w14:textId="6DAF793F" w:rsidR="00D03906" w:rsidRPr="00035966" w:rsidRDefault="00D03906" w:rsidP="00D03906">
      <w:pPr>
        <w:ind w:right="-2"/>
        <w:jc w:val="both"/>
        <w:rPr>
          <w:rFonts w:ascii="Calibri Light" w:eastAsiaTheme="majorEastAsia" w:hAnsi="Calibri Light" w:cs="Calibri"/>
          <w:b/>
          <w:iCs/>
          <w:szCs w:val="20"/>
          <w:lang w:val="ro-RO"/>
        </w:rPr>
      </w:pPr>
      <w:r w:rsidRPr="00035966">
        <w:rPr>
          <w:rFonts w:ascii="Calibri Light" w:eastAsiaTheme="majorEastAsia" w:hAnsi="Calibri Light" w:cs="Calibri"/>
          <w:b/>
          <w:iCs/>
          <w:szCs w:val="20"/>
          <w:lang w:val="ro-RO"/>
        </w:rPr>
        <w:t xml:space="preserve">Impozitul specific dispare. </w:t>
      </w:r>
      <w:r w:rsidR="00FE0CF9" w:rsidRPr="00035966">
        <w:rPr>
          <w:rFonts w:ascii="Calibri Light" w:eastAsiaTheme="majorEastAsia" w:hAnsi="Calibri Light" w:cs="Calibri"/>
          <w:b/>
          <w:iCs/>
          <w:szCs w:val="20"/>
          <w:lang w:val="ro-RO"/>
        </w:rPr>
        <w:t xml:space="preserve">Ce alternative au companiile </w:t>
      </w:r>
      <w:r w:rsidR="00146C49">
        <w:rPr>
          <w:rFonts w:ascii="Calibri Light" w:eastAsiaTheme="majorEastAsia" w:hAnsi="Calibri Light" w:cs="Calibri"/>
          <w:b/>
          <w:iCs/>
          <w:szCs w:val="20"/>
          <w:lang w:val="ro-RO"/>
        </w:rPr>
        <w:t xml:space="preserve">din </w:t>
      </w:r>
      <w:proofErr w:type="spellStart"/>
      <w:r w:rsidR="00FE0CF9" w:rsidRPr="00035966">
        <w:rPr>
          <w:rFonts w:ascii="Calibri Light" w:eastAsiaTheme="majorEastAsia" w:hAnsi="Calibri Light" w:cs="Calibri"/>
          <w:b/>
          <w:iCs/>
          <w:szCs w:val="20"/>
          <w:lang w:val="ro-RO"/>
        </w:rPr>
        <w:t>HoReCa</w:t>
      </w:r>
      <w:proofErr w:type="spellEnd"/>
      <w:r w:rsidR="00FE0CF9" w:rsidRPr="00035966">
        <w:rPr>
          <w:rFonts w:ascii="Calibri Light" w:eastAsiaTheme="majorEastAsia" w:hAnsi="Calibri Light" w:cs="Calibri"/>
          <w:b/>
          <w:iCs/>
          <w:szCs w:val="20"/>
          <w:lang w:val="ro-RO"/>
        </w:rPr>
        <w:t>?</w:t>
      </w:r>
    </w:p>
    <w:p w14:paraId="45710E9E" w14:textId="7C79CCEA" w:rsidR="007C2FF5" w:rsidRPr="00035966" w:rsidRDefault="00D03906" w:rsidP="00FD0724">
      <w:pPr>
        <w:ind w:right="-2"/>
        <w:jc w:val="both"/>
        <w:rPr>
          <w:rFonts w:ascii="Calibri Light" w:eastAsiaTheme="majorEastAsia" w:hAnsi="Calibri Light" w:cs="Calibri"/>
          <w:iCs/>
          <w:szCs w:val="20"/>
          <w:lang w:val="ro-RO"/>
        </w:rPr>
      </w:pPr>
      <w:r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În domeniul </w:t>
      </w:r>
      <w:proofErr w:type="spellStart"/>
      <w:r w:rsidRPr="00035966">
        <w:rPr>
          <w:rFonts w:ascii="Calibri Light" w:eastAsiaTheme="majorEastAsia" w:hAnsi="Calibri Light" w:cs="Calibri"/>
          <w:iCs/>
          <w:szCs w:val="20"/>
          <w:lang w:val="ro-RO"/>
        </w:rPr>
        <w:t>HoReCa</w:t>
      </w:r>
      <w:proofErr w:type="spellEnd"/>
      <w:r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, </w:t>
      </w:r>
      <w:r w:rsidR="00835E5D" w:rsidRPr="00035966">
        <w:rPr>
          <w:rFonts w:ascii="Calibri Light" w:eastAsiaTheme="majorEastAsia" w:hAnsi="Calibri Light" w:cs="Calibri"/>
          <w:iCs/>
          <w:szCs w:val="20"/>
          <w:lang w:val="ro-RO"/>
        </w:rPr>
        <w:t>impozitul specific acestor activități</w:t>
      </w:r>
      <w:r w:rsidR="00146C49">
        <w:rPr>
          <w:rFonts w:ascii="Calibri Light" w:eastAsiaTheme="majorEastAsia" w:hAnsi="Calibri Light" w:cs="Calibri"/>
          <w:iCs/>
          <w:szCs w:val="20"/>
          <w:lang w:val="ro-RO"/>
        </w:rPr>
        <w:t>, respectiv impozitul fix în funcție de suprafața de servire,</w:t>
      </w:r>
      <w:r w:rsidR="00835E5D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 </w:t>
      </w:r>
      <w:r w:rsidR="00835E5D" w:rsidRPr="00035966">
        <w:rPr>
          <w:rFonts w:ascii="Calibri Light" w:eastAsiaTheme="majorEastAsia" w:hAnsi="Calibri Light" w:cs="Calibri"/>
          <w:b/>
          <w:bCs/>
          <w:iCs/>
          <w:szCs w:val="20"/>
          <w:lang w:val="ro-RO"/>
        </w:rPr>
        <w:t>este eliminat</w:t>
      </w:r>
      <w:r w:rsidR="00835E5D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 după cinci ani de la </w:t>
      </w:r>
      <w:r w:rsidR="00FD0724" w:rsidRPr="00035966">
        <w:rPr>
          <w:rFonts w:ascii="Calibri Light" w:eastAsiaTheme="majorEastAsia" w:hAnsi="Calibri Light" w:cs="Calibri"/>
          <w:iCs/>
          <w:szCs w:val="20"/>
          <w:lang w:val="ro-RO"/>
        </w:rPr>
        <w:t>apariția sa</w:t>
      </w:r>
      <w:r w:rsidR="00835E5D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, </w:t>
      </w:r>
      <w:r w:rsidR="00FD0724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perioadă în care au fost multe incertitudini legate de modul de aplicare (de la delimitarea </w:t>
      </w:r>
      <w:r w:rsidR="00F90695" w:rsidRPr="00035966">
        <w:rPr>
          <w:rFonts w:ascii="Calibri Light" w:eastAsiaTheme="majorEastAsia" w:hAnsi="Calibri Light" w:cs="Calibri"/>
          <w:iCs/>
          <w:szCs w:val="20"/>
          <w:lang w:val="ro-RO"/>
        </w:rPr>
        <w:t>venituril</w:t>
      </w:r>
      <w:r w:rsidR="00FD0724" w:rsidRPr="00035966">
        <w:rPr>
          <w:rFonts w:ascii="Calibri Light" w:eastAsiaTheme="majorEastAsia" w:hAnsi="Calibri Light" w:cs="Calibri"/>
          <w:iCs/>
          <w:szCs w:val="20"/>
          <w:lang w:val="ro-RO"/>
        </w:rPr>
        <w:t>or</w:t>
      </w:r>
      <w:r w:rsidR="00F90695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 și cheltuielil</w:t>
      </w:r>
      <w:r w:rsidR="00FD0724" w:rsidRPr="00035966">
        <w:rPr>
          <w:rFonts w:ascii="Calibri Light" w:eastAsiaTheme="majorEastAsia" w:hAnsi="Calibri Light" w:cs="Calibri"/>
          <w:iCs/>
          <w:szCs w:val="20"/>
          <w:lang w:val="ro-RO"/>
        </w:rPr>
        <w:t>or</w:t>
      </w:r>
      <w:r w:rsidR="00F90695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 pentru a stabili impozitul specific </w:t>
      </w:r>
      <w:r w:rsidR="00FD0724" w:rsidRPr="00035966">
        <w:rPr>
          <w:rFonts w:ascii="Calibri Light" w:eastAsiaTheme="majorEastAsia" w:hAnsi="Calibri Light" w:cs="Calibri"/>
          <w:iCs/>
          <w:szCs w:val="20"/>
          <w:lang w:val="ro-RO"/>
        </w:rPr>
        <w:t>sau</w:t>
      </w:r>
      <w:r w:rsidR="00F90695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 pe profit</w:t>
      </w:r>
      <w:r w:rsidR="00FD0724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, la aplicarea facilității privind sponsorizările </w:t>
      </w:r>
      <w:r w:rsidR="003C39FA" w:rsidRPr="00035966">
        <w:rPr>
          <w:rFonts w:ascii="Calibri Light" w:eastAsiaTheme="majorEastAsia" w:hAnsi="Calibri Light" w:cs="Calibri"/>
          <w:iCs/>
          <w:szCs w:val="20"/>
          <w:lang w:val="ro-RO"/>
        </w:rPr>
        <w:t>etc.</w:t>
      </w:r>
      <w:r w:rsidR="00FD0724" w:rsidRPr="00035966">
        <w:rPr>
          <w:rFonts w:ascii="Calibri Light" w:eastAsiaTheme="majorEastAsia" w:hAnsi="Calibri Light" w:cs="Calibri"/>
          <w:iCs/>
          <w:szCs w:val="20"/>
          <w:lang w:val="ro-RO"/>
        </w:rPr>
        <w:t>)</w:t>
      </w:r>
      <w:r w:rsidR="006819C9" w:rsidRPr="00035966">
        <w:rPr>
          <w:rFonts w:ascii="Calibri Light" w:eastAsiaTheme="majorEastAsia" w:hAnsi="Calibri Light" w:cs="Calibri"/>
          <w:iCs/>
          <w:szCs w:val="20"/>
          <w:lang w:val="ro-RO"/>
        </w:rPr>
        <w:t>.</w:t>
      </w:r>
    </w:p>
    <w:p w14:paraId="5EC83237" w14:textId="20D7FBA1" w:rsidR="00146C49" w:rsidRDefault="00D03906" w:rsidP="00D03906">
      <w:pPr>
        <w:ind w:right="-2"/>
        <w:jc w:val="both"/>
        <w:rPr>
          <w:rFonts w:ascii="Calibri Light" w:eastAsiaTheme="majorEastAsia" w:hAnsi="Calibri Light" w:cs="Calibri"/>
          <w:iCs/>
          <w:szCs w:val="20"/>
          <w:lang w:val="ro-RO"/>
        </w:rPr>
      </w:pPr>
      <w:r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Astfel, de la 1 ianuarie 2023, companiile din industria ospitalității vor putea opta pentru plata impozitului pe veniturile microîntreprinderilor sau pentru aplicarea impozitului pe profit. </w:t>
      </w:r>
      <w:r w:rsidR="00146C49">
        <w:rPr>
          <w:rFonts w:ascii="Calibri Light" w:eastAsiaTheme="majorEastAsia" w:hAnsi="Calibri Light" w:cs="Calibri"/>
          <w:iCs/>
          <w:szCs w:val="20"/>
          <w:lang w:val="ro-RO"/>
        </w:rPr>
        <w:t>Interesant este însă că, deși pentru toate celelalte categorii de contribuabili</w:t>
      </w:r>
      <w:r w:rsidR="00DC31E8">
        <w:rPr>
          <w:rFonts w:ascii="Calibri Light" w:eastAsiaTheme="majorEastAsia" w:hAnsi="Calibri Light" w:cs="Calibri"/>
          <w:iCs/>
          <w:szCs w:val="20"/>
          <w:lang w:val="ro-RO"/>
        </w:rPr>
        <w:t xml:space="preserve">, </w:t>
      </w:r>
      <w:r w:rsidR="00DC31E8">
        <w:rPr>
          <w:rFonts w:ascii="Calibri Light" w:eastAsiaTheme="majorEastAsia" w:hAnsi="Calibri Light" w:cs="Calibri"/>
          <w:iCs/>
          <w:szCs w:val="20"/>
          <w:lang w:val="ro-RO"/>
        </w:rPr>
        <w:t>regimul de microîntreprindere</w:t>
      </w:r>
      <w:r w:rsidR="00146C49">
        <w:rPr>
          <w:rFonts w:ascii="Calibri Light" w:eastAsiaTheme="majorEastAsia" w:hAnsi="Calibri Light" w:cs="Calibri"/>
          <w:iCs/>
          <w:szCs w:val="20"/>
          <w:lang w:val="ro-RO"/>
        </w:rPr>
        <w:t xml:space="preserve"> este plafonat la 500.000 de euro cifră de afaceri, pentru </w:t>
      </w:r>
      <w:proofErr w:type="spellStart"/>
      <w:r w:rsidR="00146C49">
        <w:rPr>
          <w:rFonts w:ascii="Calibri Light" w:eastAsiaTheme="majorEastAsia" w:hAnsi="Calibri Light" w:cs="Calibri"/>
          <w:iCs/>
          <w:szCs w:val="20"/>
          <w:lang w:val="ro-RO"/>
        </w:rPr>
        <w:t>HoReCa</w:t>
      </w:r>
      <w:proofErr w:type="spellEnd"/>
      <w:r w:rsidR="00146C49">
        <w:rPr>
          <w:rFonts w:ascii="Calibri Light" w:eastAsiaTheme="majorEastAsia" w:hAnsi="Calibri Light" w:cs="Calibri"/>
          <w:iCs/>
          <w:szCs w:val="20"/>
          <w:lang w:val="ro-RO"/>
        </w:rPr>
        <w:t xml:space="preserve"> această limită nu se aplică. Prin urmare, chiar </w:t>
      </w:r>
      <w:r w:rsidR="004A541F">
        <w:rPr>
          <w:rFonts w:ascii="Calibri Light" w:eastAsiaTheme="majorEastAsia" w:hAnsi="Calibri Light" w:cs="Calibri"/>
          <w:iCs/>
          <w:szCs w:val="20"/>
          <w:lang w:val="ro-RO"/>
        </w:rPr>
        <w:t>d</w:t>
      </w:r>
      <w:r w:rsidR="00146C49">
        <w:rPr>
          <w:rFonts w:ascii="Calibri Light" w:eastAsiaTheme="majorEastAsia" w:hAnsi="Calibri Light" w:cs="Calibri"/>
          <w:iCs/>
          <w:szCs w:val="20"/>
          <w:lang w:val="ro-RO"/>
        </w:rPr>
        <w:t xml:space="preserve">acă depășesc acest plafon, companiile din </w:t>
      </w:r>
      <w:proofErr w:type="spellStart"/>
      <w:r w:rsidR="00146C49">
        <w:rPr>
          <w:rFonts w:ascii="Calibri Light" w:eastAsiaTheme="majorEastAsia" w:hAnsi="Calibri Light" w:cs="Calibri"/>
          <w:iCs/>
          <w:szCs w:val="20"/>
          <w:lang w:val="ro-RO"/>
        </w:rPr>
        <w:t>HoReCa</w:t>
      </w:r>
      <w:proofErr w:type="spellEnd"/>
      <w:r w:rsidR="00146C49">
        <w:rPr>
          <w:rFonts w:ascii="Calibri Light" w:eastAsiaTheme="majorEastAsia" w:hAnsi="Calibri Light" w:cs="Calibri"/>
          <w:iCs/>
          <w:szCs w:val="20"/>
          <w:lang w:val="ro-RO"/>
        </w:rPr>
        <w:t xml:space="preserve"> pot opta pentru plata unui impozit de 1% din cifra de afaceri. Acest sistem, desigur, va avantaja companiile mari. </w:t>
      </w:r>
    </w:p>
    <w:p w14:paraId="243434B6" w14:textId="64E6A2CC" w:rsidR="00985044" w:rsidRPr="00035966" w:rsidRDefault="00D03906" w:rsidP="00D03906">
      <w:pPr>
        <w:ind w:right="-2"/>
        <w:jc w:val="both"/>
        <w:rPr>
          <w:rFonts w:asciiTheme="majorHAnsi" w:hAnsiTheme="majorHAnsi" w:cstheme="majorHAnsi"/>
          <w:szCs w:val="20"/>
          <w:lang w:val="ro-RO"/>
        </w:rPr>
      </w:pPr>
      <w:r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Inițiatorii actului normativ susțin că măsura era necesară având în vedere </w:t>
      </w:r>
      <w:r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că, </w:t>
      </w:r>
      <w:r w:rsidRPr="00035966">
        <w:rPr>
          <w:rFonts w:asciiTheme="majorHAnsi" w:hAnsiTheme="majorHAnsi" w:cstheme="majorHAnsi"/>
          <w:szCs w:val="20"/>
          <w:lang w:val="ro-RO"/>
        </w:rPr>
        <w:t>„din analiza efectelor aplicării măsurii</w:t>
      </w:r>
      <w:r w:rsidR="00146C49">
        <w:rPr>
          <w:rFonts w:asciiTheme="majorHAnsi" w:hAnsiTheme="majorHAnsi" w:cstheme="majorHAnsi"/>
          <w:szCs w:val="20"/>
          <w:lang w:val="ro-RO"/>
        </w:rPr>
        <w:t xml:space="preserve"> (n.r. impozitul specific)</w:t>
      </w:r>
      <w:r w:rsidRPr="00035966">
        <w:rPr>
          <w:rFonts w:asciiTheme="majorHAnsi" w:hAnsiTheme="majorHAnsi" w:cstheme="majorHAnsi"/>
          <w:szCs w:val="20"/>
          <w:lang w:val="ro-RO"/>
        </w:rPr>
        <w:t xml:space="preserve">, a rezultat faptul că aceasta nu a condus la atingerea obiectivului estimat, fiind aplicată pentru un număr redus de contribuabili”. Totodată, aceștia estimează că </w:t>
      </w:r>
      <w:r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impactul </w:t>
      </w:r>
      <w:r w:rsidR="00981907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acestor modificări </w:t>
      </w:r>
      <w:r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va fi unul </w:t>
      </w:r>
      <w:r w:rsidRPr="00035966">
        <w:rPr>
          <w:rFonts w:asciiTheme="majorHAnsi" w:hAnsiTheme="majorHAnsi" w:cstheme="majorHAnsi"/>
          <w:szCs w:val="20"/>
          <w:lang w:val="ro-RO"/>
        </w:rPr>
        <w:t>pozitiv, „dat fiind faptul că, prin aplicarea regimului privind impozitul pe veniturile microîntreprinderilor, aceștia beneficiază, astfel, de un sistem de impunere simplificat”.</w:t>
      </w:r>
    </w:p>
    <w:p w14:paraId="578000F7" w14:textId="0FC17854" w:rsidR="0066517F" w:rsidRPr="00035966" w:rsidRDefault="00981907" w:rsidP="00D03906">
      <w:pPr>
        <w:ind w:right="-2"/>
        <w:jc w:val="both"/>
        <w:rPr>
          <w:rFonts w:asciiTheme="majorHAnsi" w:eastAsiaTheme="majorEastAsia" w:hAnsiTheme="majorHAnsi" w:cstheme="majorHAnsi"/>
          <w:iCs/>
          <w:szCs w:val="20"/>
          <w:lang w:val="ro-RO"/>
        </w:rPr>
      </w:pPr>
      <w:r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Într-adevăr, contribuabilii din industria </w:t>
      </w:r>
      <w:proofErr w:type="spellStart"/>
      <w:r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>HoReCa</w:t>
      </w:r>
      <w:proofErr w:type="spellEnd"/>
      <w:r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 ce vor alege acest mod de impozitare vor determina mult mai simplu impozitul datorat decât cei care aplic</w:t>
      </w:r>
      <w:r w:rsidR="003C39FA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>ă</w:t>
      </w:r>
      <w:r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 impozitul pe profit</w:t>
      </w:r>
      <w:r w:rsidR="0066517F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>, fapt ce va simplifica și activitatea de control</w:t>
      </w:r>
      <w:r w:rsidR="00AC266E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, </w:t>
      </w:r>
      <w:r w:rsidR="003C39FA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dat fiind că </w:t>
      </w:r>
      <w:r w:rsidR="0066517F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>autoritățil</w:t>
      </w:r>
      <w:r w:rsidR="00AC266E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>e</w:t>
      </w:r>
      <w:r w:rsidR="0066517F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 </w:t>
      </w:r>
      <w:r w:rsidR="00AC266E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>verific</w:t>
      </w:r>
      <w:r w:rsidR="003C39FA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ă </w:t>
      </w:r>
      <w:r w:rsidR="00AC266E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>mai ușor baza de impozitare în cazul microîntreprinderilor</w:t>
      </w:r>
      <w:r w:rsidR="0066517F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>.</w:t>
      </w:r>
    </w:p>
    <w:p w14:paraId="49C61020" w14:textId="1EED3F37" w:rsidR="00700C82" w:rsidRPr="00035966" w:rsidRDefault="0066517F" w:rsidP="00D43A4C">
      <w:pPr>
        <w:ind w:right="-2"/>
        <w:jc w:val="both"/>
        <w:rPr>
          <w:rFonts w:asciiTheme="majorHAnsi" w:eastAsiaTheme="majorEastAsia" w:hAnsiTheme="majorHAnsi" w:cstheme="majorHAnsi"/>
          <w:iCs/>
          <w:szCs w:val="20"/>
          <w:lang w:val="ro-RO"/>
        </w:rPr>
      </w:pPr>
      <w:r w:rsidRPr="00035966">
        <w:rPr>
          <w:rFonts w:ascii="Calibri Light" w:eastAsiaTheme="majorEastAsia" w:hAnsi="Calibri Light" w:cs="Calibri"/>
          <w:iCs/>
          <w:szCs w:val="20"/>
          <w:lang w:val="ro-RO"/>
        </w:rPr>
        <w:t>Pe de altă parte</w:t>
      </w:r>
      <w:r w:rsidR="006859F5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, </w:t>
      </w:r>
      <w:r w:rsidRPr="00035966">
        <w:rPr>
          <w:rFonts w:ascii="Calibri Light" w:eastAsiaTheme="majorEastAsia" w:hAnsi="Calibri Light" w:cs="Calibri"/>
          <w:iCs/>
          <w:szCs w:val="20"/>
          <w:lang w:val="ro-RO"/>
        </w:rPr>
        <w:t>înainte de alegerea regimului fiscal</w:t>
      </w:r>
      <w:r w:rsidR="00D43A4C" w:rsidRPr="00035966">
        <w:rPr>
          <w:rFonts w:ascii="Calibri Light" w:eastAsiaTheme="majorEastAsia" w:hAnsi="Calibri Light" w:cs="Calibri"/>
          <w:iCs/>
          <w:szCs w:val="20"/>
          <w:lang w:val="ro-RO"/>
        </w:rPr>
        <w:t>,</w:t>
      </w:r>
      <w:r w:rsidR="00DC31E8">
        <w:rPr>
          <w:rFonts w:ascii="Calibri Light" w:eastAsiaTheme="majorEastAsia" w:hAnsi="Calibri Light" w:cs="Calibri"/>
          <w:iCs/>
          <w:szCs w:val="20"/>
          <w:lang w:val="ro-RO"/>
        </w:rPr>
        <w:t xml:space="preserve"> </w:t>
      </w:r>
      <w:r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trebuie efectuată o analiză care sa aibă în vedere </w:t>
      </w:r>
      <w:r w:rsidR="00D43A4C" w:rsidRPr="00035966">
        <w:rPr>
          <w:rFonts w:ascii="Calibri Light" w:eastAsiaTheme="majorEastAsia" w:hAnsi="Calibri Light" w:cs="Calibri"/>
          <w:iCs/>
          <w:szCs w:val="20"/>
          <w:lang w:val="ro-RO"/>
        </w:rPr>
        <w:t>toate aspectele relevante</w:t>
      </w:r>
      <w:r w:rsidR="00DC31E8">
        <w:rPr>
          <w:rFonts w:ascii="Calibri Light" w:eastAsiaTheme="majorEastAsia" w:hAnsi="Calibri Light" w:cs="Calibri"/>
          <w:iCs/>
          <w:szCs w:val="20"/>
          <w:lang w:val="ro-RO"/>
        </w:rPr>
        <w:t>,</w:t>
      </w:r>
      <w:r w:rsidR="00D43A4C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 cum ar fi </w:t>
      </w:r>
      <w:r w:rsidR="00035966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existența </w:t>
      </w:r>
      <w:r w:rsidRPr="00035966">
        <w:rPr>
          <w:rFonts w:ascii="Calibri Light" w:eastAsiaTheme="majorEastAsia" w:hAnsi="Calibri Light" w:cs="Calibri"/>
          <w:iCs/>
          <w:szCs w:val="20"/>
          <w:lang w:val="ro-RO"/>
        </w:rPr>
        <w:t>pierderi</w:t>
      </w:r>
      <w:r w:rsidR="00035966" w:rsidRPr="00035966">
        <w:rPr>
          <w:rFonts w:ascii="Calibri Light" w:eastAsiaTheme="majorEastAsia" w:hAnsi="Calibri Light" w:cs="Calibri"/>
          <w:iCs/>
          <w:szCs w:val="20"/>
          <w:lang w:val="ro-RO"/>
        </w:rPr>
        <w:t>lor</w:t>
      </w:r>
      <w:r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 fiscale, </w:t>
      </w:r>
      <w:r w:rsidR="00D43A4C" w:rsidRPr="00035966">
        <w:rPr>
          <w:rFonts w:ascii="Calibri Light" w:eastAsiaTheme="majorEastAsia" w:hAnsi="Calibri Light" w:cs="Calibri"/>
          <w:iCs/>
          <w:szCs w:val="20"/>
          <w:lang w:val="ro-RO"/>
        </w:rPr>
        <w:t>impozitul cu reținere la sursă</w:t>
      </w:r>
      <w:r w:rsidR="00F378BE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 ce ar putea fi datorat</w:t>
      </w:r>
      <w:r w:rsidR="00D43A4C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, având </w:t>
      </w:r>
      <w:r w:rsidR="00F378BE" w:rsidRPr="00035966">
        <w:rPr>
          <w:rFonts w:ascii="Calibri Light" w:eastAsiaTheme="majorEastAsia" w:hAnsi="Calibri Light" w:cs="Calibri"/>
          <w:iCs/>
          <w:szCs w:val="20"/>
          <w:lang w:val="ro-RO"/>
        </w:rPr>
        <w:t>î</w:t>
      </w:r>
      <w:r w:rsidR="00D43A4C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n vedere neclaritățile </w:t>
      </w:r>
      <w:r w:rsidR="00DC31E8">
        <w:rPr>
          <w:rFonts w:ascii="Calibri Light" w:eastAsiaTheme="majorEastAsia" w:hAnsi="Calibri Light" w:cs="Calibri"/>
          <w:iCs/>
          <w:szCs w:val="20"/>
          <w:lang w:val="ro-RO"/>
        </w:rPr>
        <w:t>legate de</w:t>
      </w:r>
      <w:r w:rsidR="00DC31E8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 </w:t>
      </w:r>
      <w:r w:rsidR="00D43A4C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aplicarea Directivei privind Dobânzile și Redevențele </w:t>
      </w:r>
      <w:r w:rsidR="00F378BE" w:rsidRPr="00035966">
        <w:rPr>
          <w:rFonts w:ascii="Calibri Light" w:eastAsiaTheme="majorEastAsia" w:hAnsi="Calibri Light" w:cs="Calibri"/>
          <w:iCs/>
          <w:szCs w:val="20"/>
          <w:lang w:val="ro-RO"/>
        </w:rPr>
        <w:t>și</w:t>
      </w:r>
      <w:r w:rsidR="00D43A4C" w:rsidRPr="00035966">
        <w:rPr>
          <w:rFonts w:ascii="Calibri Light" w:eastAsiaTheme="majorEastAsia" w:hAnsi="Calibri Light" w:cs="Calibri"/>
          <w:iCs/>
          <w:szCs w:val="20"/>
          <w:lang w:val="ro-RO"/>
        </w:rPr>
        <w:t xml:space="preserve"> a Tratatelor de evitare a dublei impuneri sau aplicabilitatea regulilor </w:t>
      </w:r>
      <w:r w:rsidR="00700C82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privind prețurile de transfer. </w:t>
      </w:r>
    </w:p>
    <w:p w14:paraId="56987290" w14:textId="6B35FB18" w:rsidR="0077150E" w:rsidRPr="00035966" w:rsidRDefault="00D03906" w:rsidP="00D03906">
      <w:pPr>
        <w:ind w:right="-2"/>
        <w:jc w:val="both"/>
        <w:rPr>
          <w:rFonts w:asciiTheme="majorHAnsi" w:eastAsiaTheme="majorEastAsia" w:hAnsiTheme="majorHAnsi" w:cstheme="majorHAnsi"/>
          <w:iCs/>
          <w:szCs w:val="20"/>
          <w:lang w:val="ro-RO"/>
        </w:rPr>
      </w:pPr>
      <w:r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>În concluzie, societățile care au fost supuse până acum acestor forme de taxare, respectiv impozitul pe venit</w:t>
      </w:r>
      <w:r w:rsidR="0077150E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 (și acum nu mai îndeplinesc condițiile necesare)</w:t>
      </w:r>
      <w:r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 sau cel specific, trebuie să </w:t>
      </w:r>
      <w:r w:rsidR="0077150E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>analizeze opțiunile pe care le au la dispoziție</w:t>
      </w:r>
      <w:r w:rsidR="000C04B2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 pentru a alege regimul cel mai favorabil pentru activitatea desfășurată</w:t>
      </w:r>
      <w:r w:rsidR="0077150E" w:rsidRPr="00035966">
        <w:rPr>
          <w:rFonts w:asciiTheme="majorHAnsi" w:eastAsiaTheme="majorEastAsia" w:hAnsiTheme="majorHAnsi" w:cstheme="majorHAnsi"/>
          <w:iCs/>
          <w:szCs w:val="20"/>
          <w:lang w:val="ro-RO"/>
        </w:rPr>
        <w:t xml:space="preserve">. </w:t>
      </w:r>
    </w:p>
    <w:sectPr w:rsidR="0077150E" w:rsidRPr="00035966" w:rsidSect="007C7B0C">
      <w:headerReference w:type="default" r:id="rId7"/>
      <w:headerReference w:type="first" r:id="rId8"/>
      <w:footerReference w:type="first" r:id="rId9"/>
      <w:pgSz w:w="11901" w:h="16840" w:code="9"/>
      <w:pgMar w:top="1440" w:right="1134" w:bottom="454" w:left="1418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8198" w14:textId="77777777" w:rsidR="007E7AC6" w:rsidRDefault="007E7AC6" w:rsidP="00432C48">
      <w:pPr>
        <w:spacing w:after="0"/>
      </w:pPr>
      <w:r>
        <w:separator/>
      </w:r>
    </w:p>
  </w:endnote>
  <w:endnote w:type="continuationSeparator" w:id="0">
    <w:p w14:paraId="56472E24" w14:textId="77777777" w:rsidR="007E7AC6" w:rsidRDefault="007E7AC6" w:rsidP="00432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A6DA" w14:textId="77777777" w:rsidR="001615F5" w:rsidRPr="001615F5" w:rsidRDefault="007E7AC6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A384" w14:textId="77777777" w:rsidR="007E7AC6" w:rsidRDefault="007E7AC6" w:rsidP="00432C48">
      <w:pPr>
        <w:spacing w:after="0"/>
      </w:pPr>
      <w:r>
        <w:separator/>
      </w:r>
    </w:p>
  </w:footnote>
  <w:footnote w:type="continuationSeparator" w:id="0">
    <w:p w14:paraId="607C9558" w14:textId="77777777" w:rsidR="007E7AC6" w:rsidRDefault="007E7AC6" w:rsidP="00432C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1EB" w14:textId="77777777" w:rsidR="003A0D61" w:rsidRDefault="002A0ECE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6E0863F" wp14:editId="0E8AF32F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97C4" w14:textId="77777777" w:rsidR="006A0423" w:rsidRDefault="007E7AC6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2A122B7F" w14:textId="77777777" w:rsidR="006A0423" w:rsidRDefault="002A0ECE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3A012D1" wp14:editId="2EFE8D01">
          <wp:simplePos x="0" y="0"/>
          <wp:positionH relativeFrom="column">
            <wp:posOffset>3868420</wp:posOffset>
          </wp:positionH>
          <wp:positionV relativeFrom="paragraph">
            <wp:posOffset>12700</wp:posOffset>
          </wp:positionV>
          <wp:extent cx="2221230" cy="1663700"/>
          <wp:effectExtent l="0" t="0" r="7620" b="0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1B7331" w14:textId="77777777" w:rsidR="006A0423" w:rsidRDefault="002A0ECE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674383A" wp14:editId="639DF33E">
          <wp:simplePos x="0" y="0"/>
          <wp:positionH relativeFrom="column">
            <wp:posOffset>-287020</wp:posOffset>
          </wp:positionH>
          <wp:positionV relativeFrom="paragraph">
            <wp:posOffset>230505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EE04A" w14:textId="77777777" w:rsidR="006A0423" w:rsidRDefault="002A0ECE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</w:p>
  <w:p w14:paraId="598F4748" w14:textId="77777777" w:rsidR="00AF6CE1" w:rsidRDefault="007E7AC6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68AE6B2C" w14:textId="77777777" w:rsidR="00BD4912" w:rsidRDefault="007E7AC6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65264E8" w14:textId="77777777" w:rsidR="00BD4912" w:rsidRDefault="007E7AC6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21F5DDAB" w14:textId="77777777" w:rsidR="00BD4912" w:rsidRDefault="007E7AC6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7045A43D" w14:textId="77777777" w:rsidR="005443B3" w:rsidRPr="001615F5" w:rsidRDefault="002A0ECE">
    <w:pPr>
      <w:pStyle w:val="Header"/>
      <w:rPr>
        <w:sz w:val="11"/>
        <w:szCs w:val="11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3D897A33" wp14:editId="5E21C6D9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A9739" w14:textId="77777777" w:rsidR="006679A3" w:rsidRPr="00E57B68" w:rsidRDefault="007E7AC6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97A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" o:allowincell="f" stroked="f">
              <v:textbox inset="0,0,0,0">
                <w:txbxContent>
                  <w:p w14:paraId="68CA9739" w14:textId="77777777" w:rsidR="006679A3" w:rsidRPr="00E57B68" w:rsidRDefault="00035966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F9E"/>
    <w:multiLevelType w:val="hybridMultilevel"/>
    <w:tmpl w:val="F5E85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42FA"/>
    <w:multiLevelType w:val="hybridMultilevel"/>
    <w:tmpl w:val="4C3E67A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D41708D"/>
    <w:multiLevelType w:val="hybridMultilevel"/>
    <w:tmpl w:val="F068470C"/>
    <w:lvl w:ilvl="0" w:tplc="87F432D2"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025"/>
    <w:multiLevelType w:val="hybridMultilevel"/>
    <w:tmpl w:val="BEDEF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C6DDA"/>
    <w:multiLevelType w:val="hybridMultilevel"/>
    <w:tmpl w:val="90F45A24"/>
    <w:lvl w:ilvl="0" w:tplc="E25CA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77008">
    <w:abstractNumId w:val="0"/>
  </w:num>
  <w:num w:numId="2" w16cid:durableId="1543403035">
    <w:abstractNumId w:val="1"/>
  </w:num>
  <w:num w:numId="3" w16cid:durableId="701906176">
    <w:abstractNumId w:val="3"/>
  </w:num>
  <w:num w:numId="4" w16cid:durableId="725646268">
    <w:abstractNumId w:val="4"/>
  </w:num>
  <w:num w:numId="5" w16cid:durableId="221913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7F"/>
    <w:rsid w:val="00017C9F"/>
    <w:rsid w:val="0003551A"/>
    <w:rsid w:val="00035966"/>
    <w:rsid w:val="000B4AF5"/>
    <w:rsid w:val="000C04B2"/>
    <w:rsid w:val="00127FCD"/>
    <w:rsid w:val="00146C49"/>
    <w:rsid w:val="00180101"/>
    <w:rsid w:val="002047D4"/>
    <w:rsid w:val="00243B21"/>
    <w:rsid w:val="00283D99"/>
    <w:rsid w:val="002A0ECE"/>
    <w:rsid w:val="00340DD7"/>
    <w:rsid w:val="00345384"/>
    <w:rsid w:val="003745A6"/>
    <w:rsid w:val="003B2531"/>
    <w:rsid w:val="003C3127"/>
    <w:rsid w:val="003C39FA"/>
    <w:rsid w:val="003D5260"/>
    <w:rsid w:val="003E6DAA"/>
    <w:rsid w:val="00400BE0"/>
    <w:rsid w:val="00416BDA"/>
    <w:rsid w:val="00432C48"/>
    <w:rsid w:val="00495992"/>
    <w:rsid w:val="004A47C2"/>
    <w:rsid w:val="004A541F"/>
    <w:rsid w:val="004A70E5"/>
    <w:rsid w:val="004E630A"/>
    <w:rsid w:val="00510CC1"/>
    <w:rsid w:val="00511A71"/>
    <w:rsid w:val="00527927"/>
    <w:rsid w:val="00551E04"/>
    <w:rsid w:val="00587A77"/>
    <w:rsid w:val="005E510B"/>
    <w:rsid w:val="00604AC7"/>
    <w:rsid w:val="006178B5"/>
    <w:rsid w:val="0064053B"/>
    <w:rsid w:val="0066517F"/>
    <w:rsid w:val="006819C9"/>
    <w:rsid w:val="006859F5"/>
    <w:rsid w:val="006E4C0B"/>
    <w:rsid w:val="006F7014"/>
    <w:rsid w:val="00700C82"/>
    <w:rsid w:val="00703AB7"/>
    <w:rsid w:val="00706ED9"/>
    <w:rsid w:val="00734717"/>
    <w:rsid w:val="007429B2"/>
    <w:rsid w:val="00752720"/>
    <w:rsid w:val="0077150E"/>
    <w:rsid w:val="00786EE4"/>
    <w:rsid w:val="007C2FF5"/>
    <w:rsid w:val="007C5567"/>
    <w:rsid w:val="007D5B57"/>
    <w:rsid w:val="007E1AF1"/>
    <w:rsid w:val="007E7AC6"/>
    <w:rsid w:val="00803AE1"/>
    <w:rsid w:val="00820400"/>
    <w:rsid w:val="00835E5D"/>
    <w:rsid w:val="008657A5"/>
    <w:rsid w:val="00886A64"/>
    <w:rsid w:val="008A5007"/>
    <w:rsid w:val="008D17A1"/>
    <w:rsid w:val="00903973"/>
    <w:rsid w:val="0090689B"/>
    <w:rsid w:val="009263F8"/>
    <w:rsid w:val="00981907"/>
    <w:rsid w:val="00985044"/>
    <w:rsid w:val="009960C9"/>
    <w:rsid w:val="009B17D0"/>
    <w:rsid w:val="009C0188"/>
    <w:rsid w:val="00A24E60"/>
    <w:rsid w:val="00AB30EB"/>
    <w:rsid w:val="00AC266E"/>
    <w:rsid w:val="00B63AE8"/>
    <w:rsid w:val="00C249F3"/>
    <w:rsid w:val="00C62EA0"/>
    <w:rsid w:val="00C76D17"/>
    <w:rsid w:val="00CB587F"/>
    <w:rsid w:val="00CE0041"/>
    <w:rsid w:val="00D03906"/>
    <w:rsid w:val="00D43A4C"/>
    <w:rsid w:val="00DC31E8"/>
    <w:rsid w:val="00DE47F2"/>
    <w:rsid w:val="00E9661A"/>
    <w:rsid w:val="00EA76B9"/>
    <w:rsid w:val="00F25ADF"/>
    <w:rsid w:val="00F378BE"/>
    <w:rsid w:val="00F4238C"/>
    <w:rsid w:val="00F451C4"/>
    <w:rsid w:val="00F50CB2"/>
    <w:rsid w:val="00F76C8E"/>
    <w:rsid w:val="00F90695"/>
    <w:rsid w:val="00FB50C9"/>
    <w:rsid w:val="00FD0724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7E461"/>
  <w15:chartTrackingRefBased/>
  <w15:docId w15:val="{762BE32D-53D2-4CC7-8137-221C6515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7F"/>
    <w:pPr>
      <w:spacing w:line="240" w:lineRule="auto"/>
    </w:pPr>
    <w:rPr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8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B587F"/>
    <w:rPr>
      <w:sz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B58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04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04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04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44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semiHidden/>
    <w:rsid w:val="00D03906"/>
    <w:pPr>
      <w:tabs>
        <w:tab w:val="left" w:pos="1985"/>
        <w:tab w:val="left" w:pos="3119"/>
        <w:tab w:val="left" w:pos="4253"/>
      </w:tabs>
      <w:spacing w:after="0" w:line="160" w:lineRule="exact"/>
    </w:pPr>
    <w:rPr>
      <w:rFonts w:ascii="Helvetica 45 Light" w:eastAsia="Times" w:hAnsi="Helvetica 45 Light" w:cs="Times New Roman"/>
      <w:sz w:val="12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D03906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D03906"/>
    <w:pPr>
      <w:tabs>
        <w:tab w:val="center" w:pos="4320"/>
        <w:tab w:val="right" w:pos="8640"/>
      </w:tabs>
      <w:spacing w:after="0" w:line="280" w:lineRule="exact"/>
    </w:pPr>
    <w:rPr>
      <w:rFonts w:ascii="Helvetica 45 Light" w:eastAsia="Times" w:hAnsi="Helvetica 45 Light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D03906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D03906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 w:cs="Times New Roman"/>
      <w:color w:val="000000"/>
      <w:sz w:val="15"/>
      <w:szCs w:val="20"/>
      <w:lang w:eastAsia="en-GB"/>
    </w:rPr>
  </w:style>
  <w:style w:type="paragraph" w:styleId="Revision">
    <w:name w:val="Revision"/>
    <w:hidden/>
    <w:uiPriority w:val="99"/>
    <w:semiHidden/>
    <w:rsid w:val="00400BE0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Anghel, Oana</cp:lastModifiedBy>
  <cp:revision>3</cp:revision>
  <dcterms:created xsi:type="dcterms:W3CDTF">2022-07-28T10:17:00Z</dcterms:created>
  <dcterms:modified xsi:type="dcterms:W3CDTF">2022-07-28T10:19:00Z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2022-07-26T14:35:00Z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9ff36c6d-b2b6-4d71-b0b5-12a35202af95</vt:lpwstr>
  </property>
  <property fmtid="{D5CDD505-2E9C-101B-9397-08002B2CF9AE}" pid="8" name="MSIP_Label_ea60d57e-af5b-4752-ac57-3e4f28ca11dc_ContentBits">
    <vt:lpwstr>0</vt:lpwstr>
  </property>
</Properties>
</file>