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7926" w14:textId="2D0E8775" w:rsidR="00D03906" w:rsidRDefault="00D03906" w:rsidP="00D03906">
      <w:pPr>
        <w:ind w:right="-2"/>
        <w:rPr>
          <w:rFonts w:ascii="Calibri Light" w:eastAsiaTheme="majorEastAsia" w:hAnsi="Calibri Light" w:cs="Calibri"/>
          <w:b/>
          <w:bCs/>
          <w:iCs/>
          <w:szCs w:val="20"/>
          <w:lang w:val="ro-RO"/>
        </w:rPr>
      </w:pPr>
    </w:p>
    <w:p w14:paraId="7AB3D82C" w14:textId="77777777" w:rsidR="000D7416" w:rsidRPr="00FC4BB1" w:rsidRDefault="000D7416" w:rsidP="000D7416">
      <w:pPr>
        <w:tabs>
          <w:tab w:val="left" w:pos="710"/>
        </w:tabs>
        <w:jc w:val="center"/>
        <w:rPr>
          <w:rFonts w:asciiTheme="majorHAnsi" w:hAnsiTheme="majorHAnsi" w:cstheme="majorHAnsi"/>
          <w:b/>
          <w:sz w:val="24"/>
          <w:szCs w:val="24"/>
          <w:lang w:val="ro-RO"/>
        </w:rPr>
      </w:pPr>
      <w:r w:rsidRPr="00FC4BB1">
        <w:rPr>
          <w:rFonts w:asciiTheme="majorHAnsi" w:hAnsiTheme="majorHAnsi" w:cstheme="majorHAnsi"/>
          <w:b/>
          <w:sz w:val="24"/>
          <w:szCs w:val="24"/>
          <w:lang w:val="ro-RO"/>
        </w:rPr>
        <w:t xml:space="preserve">Digitalizarea ANAF – ce obligații au contribuabilii vizați de </w:t>
      </w:r>
      <w:r w:rsidRPr="00FC4BB1">
        <w:rPr>
          <w:rFonts w:asciiTheme="majorHAnsi" w:hAnsiTheme="majorHAnsi" w:cstheme="majorHAnsi"/>
          <w:b/>
          <w:bCs/>
          <w:sz w:val="24"/>
          <w:szCs w:val="24"/>
          <w:lang w:val="ro-RO"/>
        </w:rPr>
        <w:t>RO e-Transport</w:t>
      </w:r>
      <w:r w:rsidRPr="00FC4BB1">
        <w:rPr>
          <w:rFonts w:asciiTheme="majorHAnsi" w:hAnsiTheme="majorHAnsi" w:cstheme="majorHAnsi"/>
          <w:bCs/>
          <w:sz w:val="24"/>
          <w:szCs w:val="24"/>
          <w:lang w:val="ro-RO"/>
        </w:rPr>
        <w:t>?</w:t>
      </w:r>
      <w:r w:rsidRPr="00FC4BB1">
        <w:rPr>
          <w:rFonts w:asciiTheme="majorHAnsi" w:hAnsiTheme="majorHAnsi" w:cstheme="majorHAnsi"/>
          <w:b/>
          <w:sz w:val="24"/>
          <w:szCs w:val="24"/>
          <w:lang w:val="ro-RO"/>
        </w:rPr>
        <w:t xml:space="preserve"> </w:t>
      </w:r>
    </w:p>
    <w:p w14:paraId="607903E6" w14:textId="77777777" w:rsidR="000D7416" w:rsidRPr="00346A11" w:rsidRDefault="000D7416" w:rsidP="000D7416">
      <w:pPr>
        <w:jc w:val="both"/>
        <w:rPr>
          <w:rFonts w:asciiTheme="majorHAnsi" w:hAnsiTheme="majorHAnsi" w:cstheme="majorHAnsi"/>
          <w:i/>
          <w:szCs w:val="20"/>
          <w:lang w:val="ro-RO"/>
        </w:rPr>
      </w:pPr>
      <w:r w:rsidRPr="00346A11">
        <w:rPr>
          <w:rFonts w:asciiTheme="majorHAnsi" w:hAnsiTheme="majorHAnsi" w:cstheme="majorHAnsi"/>
          <w:i/>
          <w:szCs w:val="20"/>
          <w:lang w:val="ro-RO"/>
        </w:rPr>
        <w:t xml:space="preserve">Material de opinie de Victoria Dobre, Senior Manager, și Raluca </w:t>
      </w:r>
      <w:proofErr w:type="spellStart"/>
      <w:r w:rsidRPr="00346A11">
        <w:rPr>
          <w:rFonts w:asciiTheme="majorHAnsi" w:hAnsiTheme="majorHAnsi" w:cstheme="majorHAnsi"/>
          <w:i/>
          <w:szCs w:val="20"/>
          <w:lang w:val="ro-RO"/>
        </w:rPr>
        <w:t>Ciocîia</w:t>
      </w:r>
      <w:proofErr w:type="spellEnd"/>
      <w:r w:rsidRPr="00346A11">
        <w:rPr>
          <w:rFonts w:asciiTheme="majorHAnsi" w:hAnsiTheme="majorHAnsi" w:cstheme="majorHAnsi"/>
          <w:i/>
          <w:szCs w:val="20"/>
          <w:lang w:val="ro-RO"/>
        </w:rPr>
        <w:t xml:space="preserve">, Senior Consultant, Taxe Indirecte, Deloitte România </w:t>
      </w:r>
    </w:p>
    <w:p w14:paraId="1D976865" w14:textId="77777777" w:rsidR="000D7416" w:rsidRDefault="000D7416" w:rsidP="000D7416">
      <w:pPr>
        <w:jc w:val="both"/>
        <w:rPr>
          <w:rFonts w:asciiTheme="majorHAnsi" w:hAnsiTheme="majorHAnsi" w:cstheme="majorHAnsi"/>
          <w:szCs w:val="20"/>
          <w:lang w:val="ro-RO"/>
        </w:rPr>
      </w:pPr>
      <w:r>
        <w:rPr>
          <w:rFonts w:asciiTheme="majorHAnsi" w:hAnsiTheme="majorHAnsi" w:cstheme="majorHAnsi"/>
          <w:bCs/>
          <w:szCs w:val="20"/>
          <w:lang w:val="ro-RO"/>
        </w:rPr>
        <w:t>S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istemul național care vizează monitorizarea transportului de mărfuri cu risc fisca</w:t>
      </w:r>
      <w:r>
        <w:rPr>
          <w:rFonts w:asciiTheme="majorHAnsi" w:hAnsiTheme="majorHAnsi" w:cstheme="majorHAnsi"/>
          <w:bCs/>
          <w:szCs w:val="20"/>
          <w:lang w:val="ro-RO"/>
        </w:rPr>
        <w:t>l ridicat pe teritoriul României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, RO e-Transport, implementat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de autorități în cadrul procesului de </w:t>
      </w:r>
      <w:r w:rsidRPr="00346A11">
        <w:rPr>
          <w:rFonts w:asciiTheme="majorHAnsi" w:hAnsiTheme="majorHAnsi" w:cstheme="majorHAnsi"/>
          <w:szCs w:val="20"/>
          <w:lang w:val="ro-RO"/>
        </w:rPr>
        <w:t>digitaliz</w:t>
      </w:r>
      <w:r>
        <w:rPr>
          <w:rFonts w:asciiTheme="majorHAnsi" w:hAnsiTheme="majorHAnsi" w:cstheme="majorHAnsi"/>
          <w:szCs w:val="20"/>
          <w:lang w:val="ro-RO"/>
        </w:rPr>
        <w:t xml:space="preserve">are a </w:t>
      </w:r>
      <w:r w:rsidRPr="00346A11">
        <w:rPr>
          <w:rFonts w:asciiTheme="majorHAnsi" w:hAnsiTheme="majorHAnsi" w:cstheme="majorHAnsi"/>
          <w:szCs w:val="20"/>
          <w:lang w:val="ro-RO"/>
        </w:rPr>
        <w:t>administrației fiscale</w:t>
      </w:r>
      <w:r>
        <w:rPr>
          <w:rFonts w:asciiTheme="majorHAnsi" w:hAnsiTheme="majorHAnsi" w:cstheme="majorHAnsi"/>
          <w:szCs w:val="20"/>
          <w:lang w:val="ro-RO"/>
        </w:rPr>
        <w:t xml:space="preserve">, este în vigoare de la data de </w:t>
      </w:r>
      <w:r w:rsidRPr="0094323E">
        <w:rPr>
          <w:rFonts w:asciiTheme="majorHAnsi" w:hAnsiTheme="majorHAnsi" w:cstheme="majorHAnsi"/>
          <w:b/>
          <w:szCs w:val="20"/>
          <w:lang w:val="ro-RO"/>
        </w:rPr>
        <w:t>1 iulie</w:t>
      </w:r>
      <w:r>
        <w:rPr>
          <w:rFonts w:asciiTheme="majorHAnsi" w:hAnsiTheme="majorHAnsi" w:cstheme="majorHAnsi"/>
          <w:szCs w:val="20"/>
          <w:lang w:val="ro-RO"/>
        </w:rPr>
        <w:t xml:space="preserve">, iar contribuabilii vizați trebuie să se conformeze, chiar dacă procedura a fost finalizată cu întârziere, iar termenul de aplicare a amenzilor a fost amânat până la 1 octombrie 2022. Această nouă obligație se adaugă la celelalte două măsuri majore adoptate în cadrul aceluiași proces, cu termene de conformare în iulie 2022, respectiv SAF-T și RO e-Factura. Care sunt </w:t>
      </w:r>
      <w:r w:rsidRPr="0094323E">
        <w:rPr>
          <w:rFonts w:asciiTheme="majorHAnsi" w:hAnsiTheme="majorHAnsi" w:cstheme="majorHAnsi"/>
          <w:b/>
          <w:szCs w:val="20"/>
          <w:lang w:val="ro-RO"/>
        </w:rPr>
        <w:t>pașii necesari</w:t>
      </w:r>
      <w:r>
        <w:rPr>
          <w:rFonts w:asciiTheme="majorHAnsi" w:hAnsiTheme="majorHAnsi" w:cstheme="majorHAnsi"/>
          <w:szCs w:val="20"/>
          <w:lang w:val="ro-RO"/>
        </w:rPr>
        <w:t xml:space="preserve"> pentru o raportare corectă?</w:t>
      </w:r>
    </w:p>
    <w:p w14:paraId="548CBC5D" w14:textId="77777777" w:rsidR="000D7416" w:rsidRDefault="000D7416" w:rsidP="000D7416">
      <w:pPr>
        <w:jc w:val="both"/>
        <w:rPr>
          <w:rFonts w:asciiTheme="majorHAnsi" w:hAnsiTheme="majorHAnsi" w:cstheme="majorHAnsi"/>
          <w:szCs w:val="20"/>
          <w:lang w:val="ro-RO"/>
        </w:rPr>
      </w:pPr>
      <w:r>
        <w:rPr>
          <w:rFonts w:asciiTheme="majorHAnsi" w:hAnsiTheme="majorHAnsi" w:cstheme="majorHAnsi"/>
          <w:szCs w:val="20"/>
          <w:lang w:val="ro-RO"/>
        </w:rPr>
        <w:t xml:space="preserve">Sistemul SAF-T este în vigoare de la 1 ianuarie 2022 pentru marii contribuabili încadrați în această categorie de mai multă vreme, iar aceștia au avut o perioadă de grație de șase luni, astfel încât termenul de depunere a situațiilor lunare pentru perioada ianuarie – iunie este ultima săptămână din luna iulie. În plus, de la 1 iulie intră în acest sistem de raportare și contribuabilii mari care au fost incluși pe listă la finalul anului trecut. </w:t>
      </w:r>
    </w:p>
    <w:p w14:paraId="3623152D" w14:textId="77777777" w:rsidR="000D7416" w:rsidRPr="00346A11" w:rsidRDefault="000D7416" w:rsidP="000D7416">
      <w:pPr>
        <w:jc w:val="both"/>
        <w:rPr>
          <w:rFonts w:asciiTheme="majorHAnsi" w:hAnsiTheme="majorHAnsi" w:cstheme="majorHAnsi"/>
          <w:bCs/>
          <w:szCs w:val="20"/>
          <w:lang w:val="ro-RO"/>
        </w:rPr>
      </w:pPr>
      <w:r>
        <w:rPr>
          <w:rFonts w:asciiTheme="majorHAnsi" w:hAnsiTheme="majorHAnsi" w:cstheme="majorHAnsi"/>
          <w:szCs w:val="20"/>
          <w:lang w:val="ro-RO"/>
        </w:rPr>
        <w:t xml:space="preserve">La aceeași dată a intrat în vigoare și Ro e-Factura,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sistemul pentru raportarea, stocarea și descărcarea facturilor prin intermediul serverului </w:t>
      </w:r>
      <w:r>
        <w:rPr>
          <w:rFonts w:asciiTheme="majorHAnsi" w:hAnsiTheme="majorHAnsi" w:cstheme="majorHAnsi"/>
          <w:bCs/>
          <w:szCs w:val="20"/>
          <w:lang w:val="ro-RO"/>
        </w:rPr>
        <w:t>ANAF. În p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rima tranșă de contribuabili vizați </w:t>
      </w:r>
      <w:r>
        <w:rPr>
          <w:rFonts w:asciiTheme="majorHAnsi" w:hAnsiTheme="majorHAnsi" w:cstheme="majorHAnsi"/>
          <w:bCs/>
          <w:szCs w:val="20"/>
          <w:lang w:val="ro-RO"/>
        </w:rPr>
        <w:t>sunt incluși,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pe de o parte</w:t>
      </w:r>
      <w:r>
        <w:rPr>
          <w:rFonts w:asciiTheme="majorHAnsi" w:hAnsiTheme="majorHAnsi" w:cstheme="majorHAnsi"/>
          <w:bCs/>
          <w:szCs w:val="20"/>
          <w:lang w:val="ro-RO"/>
        </w:rPr>
        <w:t>,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partenerii privați ai entităților publice și</w:t>
      </w:r>
      <w:r>
        <w:rPr>
          <w:rFonts w:asciiTheme="majorHAnsi" w:hAnsiTheme="majorHAnsi" w:cstheme="majorHAnsi"/>
          <w:bCs/>
          <w:szCs w:val="20"/>
          <w:lang w:val="ro-RO"/>
        </w:rPr>
        <w:t>, pe de altă parte, cei care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comercializează anumite bunuri considerate cu risc fiscal ridicat.</w:t>
      </w:r>
    </w:p>
    <w:p w14:paraId="7AF02D92" w14:textId="77777777" w:rsidR="000D7416" w:rsidRDefault="000D7416" w:rsidP="000D7416">
      <w:pPr>
        <w:jc w:val="both"/>
        <w:rPr>
          <w:rFonts w:asciiTheme="majorHAnsi" w:hAnsiTheme="majorHAnsi" w:cstheme="majorHAnsi"/>
          <w:szCs w:val="20"/>
          <w:lang w:val="ro-RO"/>
        </w:rPr>
      </w:pPr>
      <w:r>
        <w:rPr>
          <w:rFonts w:asciiTheme="majorHAnsi" w:hAnsiTheme="majorHAnsi" w:cstheme="majorHAnsi"/>
          <w:szCs w:val="20"/>
          <w:lang w:val="ro-RO"/>
        </w:rPr>
        <w:t xml:space="preserve">În cazul Ro e-Transport, 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obligativitatea declarării în </w:t>
      </w:r>
      <w:r>
        <w:rPr>
          <w:rFonts w:asciiTheme="majorHAnsi" w:hAnsiTheme="majorHAnsi" w:cstheme="majorHAnsi"/>
          <w:szCs w:val="20"/>
          <w:lang w:val="ro-RO"/>
        </w:rPr>
        <w:t xml:space="preserve">noul </w:t>
      </w:r>
      <w:r w:rsidRPr="00346A11">
        <w:rPr>
          <w:rFonts w:asciiTheme="majorHAnsi" w:hAnsiTheme="majorHAnsi" w:cstheme="majorHAnsi"/>
          <w:szCs w:val="20"/>
          <w:lang w:val="ro-RO"/>
        </w:rPr>
        <w:t>sistemul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 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a intervenit </w:t>
      </w:r>
      <w:r>
        <w:rPr>
          <w:rFonts w:asciiTheme="majorHAnsi" w:hAnsiTheme="majorHAnsi" w:cstheme="majorHAnsi"/>
          <w:szCs w:val="20"/>
          <w:lang w:val="ro-RO"/>
        </w:rPr>
        <w:t xml:space="preserve">tot 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de la 1 iulie, </w:t>
      </w:r>
      <w:r>
        <w:rPr>
          <w:rFonts w:asciiTheme="majorHAnsi" w:hAnsiTheme="majorHAnsi" w:cstheme="majorHAnsi"/>
          <w:szCs w:val="20"/>
          <w:lang w:val="ro-RO"/>
        </w:rPr>
        <w:t xml:space="preserve">iar 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clarificările Ministerului de Finanțe </w:t>
      </w:r>
      <w:r>
        <w:rPr>
          <w:rFonts w:asciiTheme="majorHAnsi" w:hAnsiTheme="majorHAnsi" w:cstheme="majorHAnsi"/>
          <w:szCs w:val="20"/>
          <w:lang w:val="ro-RO"/>
        </w:rPr>
        <w:t xml:space="preserve">cu privire la modalitatea de aplicare a reglementării 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au </w:t>
      </w:r>
      <w:r>
        <w:rPr>
          <w:rFonts w:asciiTheme="majorHAnsi" w:hAnsiTheme="majorHAnsi" w:cstheme="majorHAnsi"/>
          <w:szCs w:val="20"/>
          <w:lang w:val="ro-RO"/>
        </w:rPr>
        <w:t xml:space="preserve">fost publicate în luna iunie. </w:t>
      </w:r>
    </w:p>
    <w:p w14:paraId="6B112C27" w14:textId="77777777" w:rsidR="000D7416" w:rsidRDefault="000D7416" w:rsidP="000D7416">
      <w:pPr>
        <w:jc w:val="both"/>
        <w:rPr>
          <w:rFonts w:asciiTheme="majorHAnsi" w:hAnsiTheme="majorHAnsi" w:cstheme="majorHAnsi"/>
          <w:bCs/>
          <w:szCs w:val="20"/>
          <w:lang w:val="ro-RO"/>
        </w:rPr>
      </w:pPr>
      <w:r>
        <w:rPr>
          <w:rFonts w:asciiTheme="majorHAnsi" w:hAnsiTheme="majorHAnsi" w:cstheme="majorHAnsi"/>
          <w:szCs w:val="20"/>
          <w:lang w:val="ro-RO"/>
        </w:rPr>
        <w:t xml:space="preserve">Ca urmare a </w:t>
      </w:r>
      <w:r w:rsidRPr="00346A11">
        <w:rPr>
          <w:rFonts w:asciiTheme="majorHAnsi" w:hAnsiTheme="majorHAnsi" w:cstheme="majorHAnsi"/>
          <w:iCs/>
          <w:szCs w:val="20"/>
          <w:lang w:val="ro-RO"/>
        </w:rPr>
        <w:t>public</w:t>
      </w:r>
      <w:r>
        <w:rPr>
          <w:rFonts w:asciiTheme="majorHAnsi" w:hAnsiTheme="majorHAnsi" w:cstheme="majorHAnsi"/>
          <w:iCs/>
          <w:szCs w:val="20"/>
          <w:lang w:val="ro-RO"/>
        </w:rPr>
        <w:t>ării</w:t>
      </w:r>
      <w:r w:rsidRPr="00346A11">
        <w:rPr>
          <w:rFonts w:asciiTheme="majorHAnsi" w:hAnsiTheme="majorHAnsi" w:cstheme="majorHAnsi"/>
          <w:iCs/>
          <w:szCs w:val="20"/>
          <w:lang w:val="ro-RO"/>
        </w:rPr>
        <w:t xml:space="preserve"> procedurii</w:t>
      </w:r>
      <w:r>
        <w:rPr>
          <w:rFonts w:asciiTheme="majorHAnsi" w:hAnsiTheme="majorHAnsi" w:cstheme="majorHAnsi"/>
          <w:iCs/>
          <w:szCs w:val="20"/>
          <w:lang w:val="ro-RO"/>
        </w:rPr>
        <w:t xml:space="preserve"> de aplicare,</w:t>
      </w:r>
      <w:r w:rsidRPr="00346A11">
        <w:rPr>
          <w:rFonts w:asciiTheme="majorHAnsi" w:hAnsiTheme="majorHAnsi" w:cstheme="majorHAnsi"/>
          <w:iCs/>
          <w:szCs w:val="20"/>
          <w:lang w:val="ro-RO"/>
        </w:rPr>
        <w:t xml:space="preserve"> societățile t</w:t>
      </w:r>
      <w:r w:rsidRPr="005D4E46">
        <w:rPr>
          <w:rFonts w:asciiTheme="majorHAnsi" w:eastAsia="Times New Roman" w:hAnsiTheme="majorHAnsi" w:cstheme="majorHAnsi"/>
          <w:iCs/>
          <w:color w:val="282930"/>
          <w:szCs w:val="20"/>
          <w:lang w:val="ro-RO"/>
        </w:rPr>
        <w:t>rebuie să analizeze în ce măsură transporturile</w:t>
      </w:r>
      <w:r>
        <w:rPr>
          <w:rFonts w:asciiTheme="majorHAnsi" w:eastAsia="Times New Roman" w:hAnsiTheme="majorHAnsi" w:cstheme="majorHAnsi"/>
          <w:iCs/>
          <w:color w:val="282930"/>
          <w:szCs w:val="20"/>
          <w:lang w:val="ro-RO"/>
        </w:rPr>
        <w:t xml:space="preserve"> programate să fie</w:t>
      </w:r>
      <w:r w:rsidRPr="005D4E46">
        <w:rPr>
          <w:rFonts w:asciiTheme="majorHAnsi" w:eastAsia="Times New Roman" w:hAnsiTheme="majorHAnsi" w:cstheme="majorHAnsi"/>
          <w:iCs/>
          <w:color w:val="282930"/>
          <w:szCs w:val="20"/>
          <w:lang w:val="ro-RO"/>
        </w:rPr>
        <w:t xml:space="preserve"> </w:t>
      </w:r>
      <w:r w:rsidRPr="00346A11">
        <w:rPr>
          <w:rFonts w:asciiTheme="majorHAnsi" w:eastAsia="Times New Roman" w:hAnsiTheme="majorHAnsi" w:cstheme="majorHAnsi"/>
          <w:iCs/>
          <w:color w:val="282930"/>
          <w:szCs w:val="20"/>
          <w:lang w:val="ro-RO"/>
        </w:rPr>
        <w:t xml:space="preserve">desfășurate </w:t>
      </w:r>
      <w:r>
        <w:rPr>
          <w:rFonts w:asciiTheme="majorHAnsi" w:eastAsia="Times New Roman" w:hAnsiTheme="majorHAnsi" w:cstheme="majorHAnsi"/>
          <w:iCs/>
          <w:color w:val="282930"/>
          <w:szCs w:val="20"/>
          <w:lang w:val="ro-RO"/>
        </w:rPr>
        <w:t>intră sub sfera de aplicare a raportării</w:t>
      </w:r>
      <w:r w:rsidRPr="005D4E46">
        <w:rPr>
          <w:rFonts w:asciiTheme="majorHAnsi" w:hAnsiTheme="majorHAnsi" w:cstheme="majorHAnsi"/>
          <w:bCs/>
          <w:szCs w:val="20"/>
          <w:lang w:val="ro-RO"/>
        </w:rPr>
        <w:t>.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Ulterior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,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relați</w:t>
      </w:r>
      <w:r>
        <w:rPr>
          <w:rFonts w:asciiTheme="majorHAnsi" w:hAnsiTheme="majorHAnsi" w:cstheme="majorHAnsi"/>
          <w:bCs/>
          <w:szCs w:val="20"/>
          <w:lang w:val="ro-RO"/>
        </w:rPr>
        <w:t>a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</w:t>
      </w:r>
      <w:r>
        <w:rPr>
          <w:rFonts w:asciiTheme="majorHAnsi" w:hAnsiTheme="majorHAnsi" w:cstheme="majorHAnsi"/>
          <w:bCs/>
          <w:szCs w:val="20"/>
          <w:lang w:val="ro-RO"/>
        </w:rPr>
        <w:t>di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ntre contribuabilii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obligați să raporteze și transportatori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va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trebui consolidată,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având </w:t>
      </w:r>
      <w:r>
        <w:rPr>
          <w:rFonts w:asciiTheme="majorHAnsi" w:hAnsiTheme="majorHAnsi" w:cstheme="majorHAnsi"/>
          <w:bCs/>
          <w:szCs w:val="20"/>
          <w:lang w:val="ro-RO"/>
        </w:rPr>
        <w:t>î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n vedere că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declarantul va avea nevoie din start de toate datele, cum ar fi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numărul de înmatriculare a</w:t>
      </w:r>
      <w:r>
        <w:rPr>
          <w:rFonts w:asciiTheme="majorHAnsi" w:hAnsiTheme="majorHAnsi" w:cstheme="majorHAnsi"/>
          <w:bCs/>
          <w:szCs w:val="20"/>
          <w:lang w:val="ro-RO"/>
        </w:rPr>
        <w:t>l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vehiculului c</w:t>
      </w:r>
      <w:r>
        <w:rPr>
          <w:rFonts w:asciiTheme="majorHAnsi" w:hAnsiTheme="majorHAnsi" w:cstheme="majorHAnsi"/>
          <w:bCs/>
          <w:szCs w:val="20"/>
          <w:lang w:val="ro-RO"/>
        </w:rPr>
        <w:t>are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realizează transportul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și numai, pentru a le introduce în sistem. Mai mult, datele trebuie să rămână valabile pe toată durata transportului.  </w:t>
      </w:r>
    </w:p>
    <w:p w14:paraId="0CD7C696" w14:textId="77777777" w:rsidR="000D7416" w:rsidRDefault="000D7416" w:rsidP="000D7416">
      <w:pPr>
        <w:jc w:val="both"/>
        <w:rPr>
          <w:rFonts w:asciiTheme="majorHAnsi" w:hAnsiTheme="majorHAnsi" w:cstheme="majorHAnsi"/>
          <w:b/>
          <w:szCs w:val="20"/>
          <w:lang w:val="ro-RO"/>
        </w:rPr>
      </w:pPr>
      <w:r w:rsidRPr="00346A11">
        <w:rPr>
          <w:rFonts w:asciiTheme="majorHAnsi" w:hAnsiTheme="majorHAnsi" w:cstheme="majorHAnsi"/>
          <w:b/>
          <w:szCs w:val="20"/>
          <w:lang w:val="ro-RO"/>
        </w:rPr>
        <w:t xml:space="preserve">Pașii </w:t>
      </w:r>
      <w:r>
        <w:rPr>
          <w:rFonts w:asciiTheme="majorHAnsi" w:hAnsiTheme="majorHAnsi" w:cstheme="majorHAnsi"/>
          <w:b/>
          <w:szCs w:val="20"/>
          <w:lang w:val="ro-RO"/>
        </w:rPr>
        <w:t xml:space="preserve">pentru </w:t>
      </w:r>
      <w:r w:rsidRPr="00346A11">
        <w:rPr>
          <w:rFonts w:asciiTheme="majorHAnsi" w:hAnsiTheme="majorHAnsi" w:cstheme="majorHAnsi"/>
          <w:b/>
          <w:szCs w:val="20"/>
          <w:lang w:val="ro-RO"/>
        </w:rPr>
        <w:t>raportare</w:t>
      </w:r>
    </w:p>
    <w:p w14:paraId="4CEA2A0E" w14:textId="77777777" w:rsidR="000D7416" w:rsidRPr="00FC4BB1" w:rsidRDefault="000D7416" w:rsidP="000D7416">
      <w:pPr>
        <w:jc w:val="both"/>
        <w:rPr>
          <w:rFonts w:asciiTheme="majorHAnsi" w:hAnsiTheme="majorHAnsi" w:cstheme="majorHAnsi"/>
          <w:bCs/>
          <w:szCs w:val="20"/>
          <w:lang w:val="ro-RO"/>
        </w:rPr>
      </w:pPr>
      <w:r w:rsidRPr="00FC4BB1">
        <w:rPr>
          <w:rFonts w:asciiTheme="majorHAnsi" w:hAnsiTheme="majorHAnsi" w:cstheme="majorHAnsi"/>
          <w:szCs w:val="20"/>
          <w:lang w:val="ro-RO"/>
        </w:rPr>
        <w:t xml:space="preserve">Primul pas constă în accesarea sistemului </w:t>
      </w:r>
      <w:r w:rsidRPr="00B81FF4">
        <w:rPr>
          <w:rFonts w:asciiTheme="majorHAnsi" w:hAnsiTheme="majorHAnsi" w:cstheme="majorHAnsi"/>
          <w:bCs/>
          <w:szCs w:val="20"/>
          <w:lang w:val="ro-RO"/>
        </w:rPr>
        <w:t>RO e-Transport din spațiul privat virtual (SPV) al contribuabil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ului și completarea, în </w:t>
      </w:r>
      <w:r w:rsidRPr="00FC4BB1">
        <w:rPr>
          <w:rFonts w:asciiTheme="majorHAnsi" w:hAnsiTheme="majorHAnsi" w:cstheme="majorHAnsi"/>
          <w:bCs/>
          <w:szCs w:val="20"/>
          <w:lang w:val="ro-RO"/>
        </w:rPr>
        <w:t>secțiunile dedicate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, a datelor referitoare la </w:t>
      </w:r>
      <w:r w:rsidRPr="00FC4BB1">
        <w:rPr>
          <w:rFonts w:asciiTheme="majorHAnsi" w:hAnsiTheme="majorHAnsi" w:cstheme="majorHAnsi"/>
          <w:b/>
          <w:bCs/>
          <w:szCs w:val="20"/>
          <w:lang w:val="ro-RO"/>
        </w:rPr>
        <w:t>parteneri</w:t>
      </w:r>
      <w:r>
        <w:rPr>
          <w:rFonts w:asciiTheme="majorHAnsi" w:hAnsiTheme="majorHAnsi" w:cstheme="majorHAnsi"/>
          <w:b/>
          <w:bCs/>
          <w:szCs w:val="20"/>
          <w:lang w:val="ro-RO"/>
        </w:rPr>
        <w:t>i</w:t>
      </w:r>
      <w:r w:rsidRPr="00FC4BB1">
        <w:rPr>
          <w:rFonts w:asciiTheme="majorHAnsi" w:hAnsiTheme="majorHAnsi" w:cstheme="majorHAnsi"/>
          <w:b/>
          <w:bCs/>
          <w:szCs w:val="20"/>
          <w:lang w:val="ro-RO"/>
        </w:rPr>
        <w:t xml:space="preserve"> comerciali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, </w:t>
      </w:r>
      <w:r w:rsidRPr="00FC4BB1">
        <w:rPr>
          <w:rFonts w:asciiTheme="majorHAnsi" w:hAnsiTheme="majorHAnsi" w:cstheme="majorHAnsi"/>
          <w:b/>
          <w:bCs/>
          <w:szCs w:val="20"/>
          <w:lang w:val="ro-RO"/>
        </w:rPr>
        <w:t>mărfurile transportate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,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respectiv </w:t>
      </w:r>
      <w:r w:rsidRPr="00610E63">
        <w:rPr>
          <w:rFonts w:asciiTheme="majorHAnsi" w:hAnsiTheme="majorHAnsi" w:cstheme="majorHAnsi"/>
          <w:bCs/>
          <w:szCs w:val="20"/>
          <w:lang w:val="ro-RO"/>
        </w:rPr>
        <w:t xml:space="preserve">descrierea, caracteristicile, cantitățile și valoarea </w:t>
      </w:r>
      <w:r>
        <w:rPr>
          <w:rFonts w:asciiTheme="majorHAnsi" w:hAnsiTheme="majorHAnsi" w:cstheme="majorHAnsi"/>
          <w:bCs/>
          <w:szCs w:val="20"/>
          <w:lang w:val="ro-RO"/>
        </w:rPr>
        <w:t>acestora,</w:t>
      </w:r>
      <w:r w:rsidRPr="00FC4BB1">
        <w:rPr>
          <w:rFonts w:asciiTheme="majorHAnsi" w:hAnsiTheme="majorHAnsi" w:cstheme="majorHAnsi"/>
          <w:b/>
          <w:bCs/>
          <w:szCs w:val="20"/>
          <w:lang w:val="ro-RO"/>
        </w:rPr>
        <w:t xml:space="preserve"> locurile de încărcare și descărcare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 sau detalii despre </w:t>
      </w:r>
      <w:r w:rsidRPr="00FC4BB1">
        <w:rPr>
          <w:rFonts w:asciiTheme="majorHAnsi" w:hAnsiTheme="majorHAnsi" w:cstheme="majorHAnsi"/>
          <w:b/>
          <w:bCs/>
          <w:szCs w:val="20"/>
          <w:lang w:val="ro-RO"/>
        </w:rPr>
        <w:t>tipul de transport folosit</w:t>
      </w:r>
      <w:r>
        <w:rPr>
          <w:rFonts w:asciiTheme="majorHAnsi" w:hAnsiTheme="majorHAnsi" w:cstheme="majorHAnsi"/>
          <w:bCs/>
          <w:szCs w:val="20"/>
          <w:lang w:val="ro-RO"/>
        </w:rPr>
        <w:t>.</w:t>
      </w:r>
    </w:p>
    <w:p w14:paraId="4E5C3274" w14:textId="06CBA6B9" w:rsidR="000D7416" w:rsidRDefault="000D7416" w:rsidP="00794520">
      <w:pPr>
        <w:spacing w:before="75" w:after="0"/>
        <w:jc w:val="both"/>
        <w:rPr>
          <w:rFonts w:asciiTheme="majorHAnsi" w:hAnsiTheme="majorHAnsi" w:cstheme="majorHAnsi"/>
          <w:bCs/>
          <w:szCs w:val="20"/>
          <w:lang w:val="ro-RO"/>
        </w:rPr>
      </w:pPr>
      <w:r w:rsidRPr="00FC4BB1">
        <w:rPr>
          <w:rFonts w:asciiTheme="majorHAnsi" w:hAnsiTheme="majorHAnsi" w:cstheme="majorHAnsi"/>
          <w:bCs/>
          <w:szCs w:val="20"/>
          <w:lang w:val="ro-RO"/>
        </w:rPr>
        <w:t>Raportarea presupune transmiterea fișier</w:t>
      </w:r>
      <w:r>
        <w:rPr>
          <w:rFonts w:asciiTheme="majorHAnsi" w:hAnsiTheme="majorHAnsi" w:cstheme="majorHAnsi"/>
          <w:bCs/>
          <w:szCs w:val="20"/>
          <w:lang w:val="ro-RO"/>
        </w:rPr>
        <w:t>ului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 .</w:t>
      </w:r>
      <w:proofErr w:type="spellStart"/>
      <w:r w:rsidRPr="00FC4BB1">
        <w:rPr>
          <w:rFonts w:asciiTheme="majorHAnsi" w:hAnsiTheme="majorHAnsi" w:cstheme="majorHAnsi"/>
          <w:bCs/>
          <w:szCs w:val="20"/>
          <w:lang w:val="ro-RO"/>
        </w:rPr>
        <w:t>xml</w:t>
      </w:r>
      <w:proofErr w:type="spellEnd"/>
      <w:r>
        <w:rPr>
          <w:rFonts w:asciiTheme="majorHAnsi" w:hAnsiTheme="majorHAnsi" w:cstheme="majorHAnsi"/>
          <w:bCs/>
          <w:szCs w:val="20"/>
          <w:lang w:val="ro-RO"/>
        </w:rPr>
        <w:t>, cu datele menționare,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 care, similar celorlalte raportări no</w:t>
      </w:r>
      <w:r w:rsidR="00287D07">
        <w:rPr>
          <w:rFonts w:asciiTheme="majorHAnsi" w:hAnsiTheme="majorHAnsi" w:cstheme="majorHAnsi"/>
          <w:bCs/>
          <w:szCs w:val="20"/>
          <w:lang w:val="ro-RO"/>
        </w:rPr>
        <w:t>u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 introduse, va fi supus unei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</w:t>
      </w:r>
      <w:r w:rsidRPr="00FC4BB1">
        <w:rPr>
          <w:rFonts w:asciiTheme="majorHAnsi" w:hAnsiTheme="majorHAnsi" w:cstheme="majorHAnsi"/>
          <w:bCs/>
          <w:szCs w:val="20"/>
          <w:lang w:val="ro-RO"/>
        </w:rPr>
        <w:t>serii de validări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de către autoritatea fiscală</w:t>
      </w:r>
      <w:r w:rsidRPr="00FC4BB1">
        <w:rPr>
          <w:rFonts w:asciiTheme="majorHAnsi" w:hAnsiTheme="majorHAnsi" w:cstheme="majorHAnsi"/>
          <w:bCs/>
          <w:szCs w:val="20"/>
          <w:lang w:val="ro-RO"/>
        </w:rPr>
        <w:t>. Ulterior verificărilor</w:t>
      </w:r>
      <w:r>
        <w:rPr>
          <w:rFonts w:asciiTheme="majorHAnsi" w:hAnsiTheme="majorHAnsi" w:cstheme="majorHAnsi"/>
          <w:bCs/>
          <w:szCs w:val="20"/>
          <w:lang w:val="ro-RO"/>
        </w:rPr>
        <w:t>,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 </w:t>
      </w:r>
      <w:r>
        <w:rPr>
          <w:rFonts w:asciiTheme="majorHAnsi" w:hAnsiTheme="majorHAnsi" w:cstheme="majorHAnsi"/>
          <w:bCs/>
          <w:szCs w:val="20"/>
          <w:lang w:val="ro-RO"/>
        </w:rPr>
        <w:t>sistemul fie va aplica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 semnătura electronică a Ministerului Finanțelor, care atestă primirea declarației,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fie va considera că </w:t>
      </w:r>
      <w:r w:rsidRPr="007E08A4">
        <w:rPr>
          <w:rFonts w:asciiTheme="majorHAnsi" w:hAnsiTheme="majorHAnsi" w:cstheme="majorHAnsi"/>
          <w:bCs/>
          <w:szCs w:val="20"/>
          <w:lang w:val="ro-RO"/>
        </w:rPr>
        <w:t>declarați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a </w:t>
      </w:r>
      <w:r w:rsidRPr="007E08A4">
        <w:rPr>
          <w:rFonts w:asciiTheme="majorHAnsi" w:hAnsiTheme="majorHAnsi" w:cstheme="majorHAnsi"/>
          <w:bCs/>
          <w:szCs w:val="20"/>
          <w:lang w:val="ro-RO"/>
        </w:rPr>
        <w:t xml:space="preserve">nu se consideră transmisă în sistem, </w:t>
      </w:r>
      <w:r>
        <w:rPr>
          <w:rFonts w:asciiTheme="majorHAnsi" w:hAnsiTheme="majorHAnsi" w:cstheme="majorHAnsi"/>
          <w:bCs/>
          <w:szCs w:val="20"/>
          <w:lang w:val="ro-RO"/>
        </w:rPr>
        <w:t>iar contribuabilul</w:t>
      </w:r>
      <w:r w:rsidRPr="007E08A4">
        <w:rPr>
          <w:rFonts w:asciiTheme="majorHAnsi" w:hAnsiTheme="majorHAnsi" w:cstheme="majorHAnsi"/>
          <w:bCs/>
          <w:szCs w:val="20"/>
          <w:lang w:val="ro-RO"/>
        </w:rPr>
        <w:t xml:space="preserve">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va </w:t>
      </w:r>
      <w:r w:rsidRPr="007E08A4">
        <w:rPr>
          <w:rFonts w:asciiTheme="majorHAnsi" w:hAnsiTheme="majorHAnsi" w:cstheme="majorHAnsi"/>
          <w:bCs/>
          <w:szCs w:val="20"/>
          <w:lang w:val="ro-RO"/>
        </w:rPr>
        <w:t>prim</w:t>
      </w:r>
      <w:r>
        <w:rPr>
          <w:rFonts w:asciiTheme="majorHAnsi" w:hAnsiTheme="majorHAnsi" w:cstheme="majorHAnsi"/>
          <w:bCs/>
          <w:szCs w:val="20"/>
          <w:lang w:val="ro-RO"/>
        </w:rPr>
        <w:t>i</w:t>
      </w:r>
      <w:r w:rsidRPr="007E08A4">
        <w:rPr>
          <w:rFonts w:asciiTheme="majorHAnsi" w:hAnsiTheme="majorHAnsi" w:cstheme="majorHAnsi"/>
          <w:bCs/>
          <w:szCs w:val="20"/>
          <w:lang w:val="ro-RO"/>
        </w:rPr>
        <w:t xml:space="preserve"> un fișier de tip </w:t>
      </w:r>
      <w:r>
        <w:rPr>
          <w:rFonts w:asciiTheme="majorHAnsi" w:hAnsiTheme="majorHAnsi" w:cstheme="majorHAnsi"/>
          <w:bCs/>
          <w:szCs w:val="20"/>
          <w:lang w:val="ro-RO"/>
        </w:rPr>
        <w:t>.</w:t>
      </w:r>
      <w:proofErr w:type="spellStart"/>
      <w:r>
        <w:rPr>
          <w:rFonts w:asciiTheme="majorHAnsi" w:hAnsiTheme="majorHAnsi" w:cstheme="majorHAnsi"/>
          <w:bCs/>
          <w:szCs w:val="20"/>
          <w:lang w:val="ro-RO"/>
        </w:rPr>
        <w:t>xml</w:t>
      </w:r>
      <w:proofErr w:type="spellEnd"/>
      <w:r w:rsidRPr="007E08A4">
        <w:rPr>
          <w:rFonts w:asciiTheme="majorHAnsi" w:hAnsiTheme="majorHAnsi" w:cstheme="majorHAnsi"/>
          <w:bCs/>
          <w:szCs w:val="20"/>
          <w:lang w:val="ro-RO"/>
        </w:rPr>
        <w:t xml:space="preserve"> ce conține erorile identificate</w:t>
      </w:r>
      <w:r>
        <w:rPr>
          <w:rFonts w:asciiTheme="majorHAnsi" w:hAnsiTheme="majorHAnsi" w:cstheme="majorHAnsi"/>
          <w:bCs/>
          <w:szCs w:val="20"/>
          <w:lang w:val="ro-RO"/>
        </w:rPr>
        <w:t>.</w:t>
      </w:r>
    </w:p>
    <w:p w14:paraId="42085E0A" w14:textId="77777777" w:rsidR="000D7416" w:rsidRPr="007E08A4" w:rsidRDefault="000D7416" w:rsidP="000D7416">
      <w:pPr>
        <w:spacing w:before="75" w:after="0"/>
        <w:rPr>
          <w:rFonts w:asciiTheme="majorHAnsi" w:hAnsiTheme="majorHAnsi" w:cstheme="majorHAnsi"/>
          <w:bCs/>
          <w:szCs w:val="20"/>
          <w:lang w:val="ro-RO"/>
        </w:rPr>
      </w:pPr>
    </w:p>
    <w:p w14:paraId="560C6D90" w14:textId="77777777" w:rsidR="000D7416" w:rsidRDefault="000D7416" w:rsidP="000D7416">
      <w:pPr>
        <w:jc w:val="both"/>
        <w:rPr>
          <w:rFonts w:asciiTheme="majorHAnsi" w:hAnsiTheme="majorHAnsi" w:cstheme="majorHAnsi"/>
          <w:bCs/>
          <w:szCs w:val="20"/>
          <w:lang w:val="ro-RO"/>
        </w:rPr>
      </w:pP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În urma transmiterii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și validării </w:t>
      </w:r>
      <w:r w:rsidRPr="00FC4BB1">
        <w:rPr>
          <w:rFonts w:asciiTheme="majorHAnsi" w:hAnsiTheme="majorHAnsi" w:cstheme="majorHAnsi"/>
          <w:bCs/>
          <w:szCs w:val="20"/>
          <w:lang w:val="ro-RO"/>
        </w:rPr>
        <w:t xml:space="preserve">datelor, sistemul RO e-Transport atribuie automat un număr unic de identificare (UIT), utilizat ca referință în cadrul proceselor și operațiunilor specifice sistemului. Codul UIT se transmite către transportator pentru a fi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aplicat </w:t>
      </w:r>
      <w:r w:rsidRPr="00FC4BB1">
        <w:rPr>
          <w:rFonts w:asciiTheme="majorHAnsi" w:hAnsiTheme="majorHAnsi" w:cstheme="majorHAnsi"/>
          <w:bCs/>
          <w:szCs w:val="20"/>
          <w:lang w:val="ro-RO"/>
        </w:rPr>
        <w:t>pe documentația de transport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. </w:t>
      </w:r>
    </w:p>
    <w:p w14:paraId="35D4158A" w14:textId="77777777" w:rsidR="000D7416" w:rsidRPr="00346A11" w:rsidRDefault="000D7416" w:rsidP="000D7416">
      <w:pPr>
        <w:jc w:val="both"/>
        <w:rPr>
          <w:rFonts w:asciiTheme="majorHAnsi" w:hAnsiTheme="majorHAnsi" w:cstheme="majorHAnsi"/>
          <w:bCs/>
          <w:szCs w:val="20"/>
          <w:lang w:val="ro-RO"/>
        </w:rPr>
      </w:pPr>
      <w:r>
        <w:rPr>
          <w:rFonts w:asciiTheme="majorHAnsi" w:hAnsiTheme="majorHAnsi" w:cstheme="majorHAnsi"/>
          <w:b/>
          <w:szCs w:val="20"/>
          <w:lang w:val="ro-RO"/>
        </w:rPr>
        <w:t>Totodată, este i</w:t>
      </w:r>
      <w:r w:rsidRPr="00513C00">
        <w:rPr>
          <w:rFonts w:asciiTheme="majorHAnsi" w:hAnsiTheme="majorHAnsi" w:cstheme="majorHAnsi"/>
          <w:b/>
          <w:szCs w:val="20"/>
          <w:lang w:val="ro-RO"/>
        </w:rPr>
        <w:t>mportant de subliniat</w:t>
      </w:r>
      <w:r>
        <w:rPr>
          <w:rFonts w:asciiTheme="majorHAnsi" w:hAnsiTheme="majorHAnsi" w:cstheme="majorHAnsi"/>
          <w:b/>
          <w:szCs w:val="20"/>
          <w:lang w:val="ro-RO"/>
        </w:rPr>
        <w:t xml:space="preserve"> faptul că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în RO e-Transport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trebuie declarate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inclusiv transporturi</w:t>
      </w:r>
      <w:r>
        <w:rPr>
          <w:rFonts w:asciiTheme="majorHAnsi" w:hAnsiTheme="majorHAnsi" w:cstheme="majorHAnsi"/>
          <w:bCs/>
          <w:szCs w:val="20"/>
          <w:lang w:val="ro-RO"/>
        </w:rPr>
        <w:t>le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c</w:t>
      </w:r>
      <w:r>
        <w:rPr>
          <w:rFonts w:asciiTheme="majorHAnsi" w:hAnsiTheme="majorHAnsi" w:cstheme="majorHAnsi"/>
          <w:bCs/>
          <w:szCs w:val="20"/>
          <w:lang w:val="ro-RO"/>
        </w:rPr>
        <w:t>are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conțin atât bunuri cu risc fiscal ridicat, cât </w:t>
      </w:r>
      <w:r>
        <w:rPr>
          <w:rFonts w:asciiTheme="majorHAnsi" w:hAnsiTheme="majorHAnsi" w:cstheme="majorHAnsi"/>
          <w:bCs/>
          <w:szCs w:val="20"/>
          <w:lang w:val="ro-RO"/>
        </w:rPr>
        <w:t>ș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i alte tipuri de bunuri, 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iar sistemul va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genera un singur cod UIT pentru întreg</w:t>
      </w:r>
      <w:r>
        <w:rPr>
          <w:rFonts w:asciiTheme="majorHAnsi" w:hAnsiTheme="majorHAnsi" w:cstheme="majorHAnsi"/>
          <w:bCs/>
          <w:szCs w:val="20"/>
          <w:lang w:val="ro-RO"/>
        </w:rPr>
        <w:t>ul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transport.</w:t>
      </w:r>
    </w:p>
    <w:p w14:paraId="244B1C03" w14:textId="77777777" w:rsidR="000D7416" w:rsidRPr="00FC4BB1" w:rsidRDefault="000D7416" w:rsidP="000D7416">
      <w:pPr>
        <w:jc w:val="both"/>
        <w:rPr>
          <w:rFonts w:asciiTheme="majorHAnsi" w:hAnsiTheme="majorHAnsi" w:cstheme="majorHAnsi"/>
          <w:szCs w:val="20"/>
          <w:shd w:val="clear" w:color="auto" w:fill="FFFFFF"/>
          <w:lang w:val="ro-RO"/>
        </w:rPr>
      </w:pPr>
      <w:r>
        <w:rPr>
          <w:rFonts w:asciiTheme="majorHAnsi" w:hAnsiTheme="majorHAnsi" w:cstheme="majorHAnsi"/>
          <w:szCs w:val="20"/>
          <w:lang w:val="ro-RO"/>
        </w:rPr>
        <w:t xml:space="preserve">Decizia autorităților de a amâna aplicarea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amenzilor </w:t>
      </w:r>
      <w:r>
        <w:rPr>
          <w:rFonts w:asciiTheme="majorHAnsi" w:hAnsiTheme="majorHAnsi" w:cstheme="majorHAnsi"/>
          <w:bCs/>
          <w:szCs w:val="20"/>
          <w:lang w:val="ro-RO"/>
        </w:rPr>
        <w:t>pentru neconformare până la 1 octombrie 2022 oferă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un răgaz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binevenit pentru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contribuabili</w:t>
      </w:r>
      <w:r>
        <w:rPr>
          <w:rFonts w:asciiTheme="majorHAnsi" w:hAnsiTheme="majorHAnsi" w:cstheme="majorHAnsi"/>
          <w:bCs/>
          <w:szCs w:val="20"/>
          <w:lang w:val="ro-RO"/>
        </w:rPr>
        <w:t>, care au astfel un interval de trei</w:t>
      </w:r>
      <w:r w:rsidRPr="00346A11">
        <w:rPr>
          <w:rFonts w:asciiTheme="majorHAnsi" w:hAnsiTheme="majorHAnsi" w:cstheme="majorHAnsi"/>
          <w:bCs/>
          <w:szCs w:val="20"/>
          <w:lang w:val="ro-RO"/>
        </w:rPr>
        <w:t xml:space="preserve"> luni în care își pot pune ordine în sistemele informatice</w:t>
      </w:r>
      <w:r>
        <w:rPr>
          <w:rFonts w:asciiTheme="majorHAnsi" w:hAnsiTheme="majorHAnsi" w:cstheme="majorHAnsi"/>
          <w:bCs/>
          <w:szCs w:val="20"/>
          <w:lang w:val="ro-RO"/>
        </w:rPr>
        <w:t xml:space="preserve"> interne, dar demersurile trebuie </w:t>
      </w:r>
      <w:r w:rsidRPr="00610E63">
        <w:rPr>
          <w:rFonts w:asciiTheme="majorHAnsi" w:hAnsiTheme="majorHAnsi" w:cstheme="majorHAnsi"/>
          <w:bCs/>
          <w:szCs w:val="20"/>
          <w:lang w:val="ro-RO"/>
        </w:rPr>
        <w:t xml:space="preserve">urgentate pentru a se asigura că la acea dată totul va funcționa corespunzător. În caz de neconformare, amenda este cuprinsă </w:t>
      </w:r>
      <w:r w:rsidRPr="00610E63">
        <w:rPr>
          <w:rFonts w:asciiTheme="majorHAnsi" w:hAnsiTheme="majorHAnsi" w:cstheme="majorHAnsi"/>
          <w:szCs w:val="20"/>
          <w:shd w:val="clear" w:color="auto" w:fill="FFFFFF"/>
          <w:lang w:val="ro-RO"/>
        </w:rPr>
        <w:t xml:space="preserve">între 10.000 </w:t>
      </w:r>
      <w:proofErr w:type="spellStart"/>
      <w:r w:rsidRPr="00610E63">
        <w:rPr>
          <w:rFonts w:asciiTheme="majorHAnsi" w:hAnsiTheme="majorHAnsi" w:cstheme="majorHAnsi"/>
          <w:szCs w:val="20"/>
          <w:shd w:val="clear" w:color="auto" w:fill="FFFFFF"/>
          <w:lang w:val="ro-RO"/>
        </w:rPr>
        <w:t>şi</w:t>
      </w:r>
      <w:proofErr w:type="spellEnd"/>
      <w:r w:rsidRPr="00610E63">
        <w:rPr>
          <w:rFonts w:asciiTheme="majorHAnsi" w:hAnsiTheme="majorHAnsi" w:cstheme="majorHAnsi"/>
          <w:szCs w:val="20"/>
          <w:shd w:val="clear" w:color="auto" w:fill="FFFFFF"/>
          <w:lang w:val="ro-RO"/>
        </w:rPr>
        <w:t xml:space="preserve"> 50.000 lei, pentru persoane fizice, sau între 20.000 </w:t>
      </w:r>
      <w:proofErr w:type="spellStart"/>
      <w:r w:rsidRPr="00610E63">
        <w:rPr>
          <w:rFonts w:asciiTheme="majorHAnsi" w:hAnsiTheme="majorHAnsi" w:cstheme="majorHAnsi"/>
          <w:szCs w:val="20"/>
          <w:shd w:val="clear" w:color="auto" w:fill="FFFFFF"/>
          <w:lang w:val="ro-RO"/>
        </w:rPr>
        <w:t>şi</w:t>
      </w:r>
      <w:proofErr w:type="spellEnd"/>
      <w:r w:rsidRPr="00610E63">
        <w:rPr>
          <w:rFonts w:asciiTheme="majorHAnsi" w:hAnsiTheme="majorHAnsi" w:cstheme="majorHAnsi"/>
          <w:szCs w:val="20"/>
          <w:shd w:val="clear" w:color="auto" w:fill="FFFFFF"/>
          <w:lang w:val="ro-RO"/>
        </w:rPr>
        <w:t xml:space="preserve"> 100.000 lei, pentru persoane juridice (plus confiscarea contravalorii bunurilor nedeclarate). </w:t>
      </w:r>
    </w:p>
    <w:p w14:paraId="707E6080" w14:textId="77777777" w:rsidR="000D7416" w:rsidRPr="00346A11" w:rsidRDefault="000D7416" w:rsidP="000D7416">
      <w:pPr>
        <w:jc w:val="both"/>
        <w:rPr>
          <w:rFonts w:asciiTheme="majorHAnsi" w:hAnsiTheme="majorHAnsi" w:cstheme="majorHAnsi"/>
          <w:szCs w:val="20"/>
          <w:lang w:val="ro-RO"/>
        </w:rPr>
      </w:pPr>
      <w:r>
        <w:rPr>
          <w:rFonts w:asciiTheme="majorHAnsi" w:hAnsiTheme="majorHAnsi" w:cstheme="majorHAnsi"/>
          <w:bCs/>
          <w:szCs w:val="20"/>
          <w:lang w:val="ro-RO"/>
        </w:rPr>
        <w:lastRenderedPageBreak/>
        <w:t xml:space="preserve">Așadar, </w:t>
      </w:r>
      <w:r w:rsidRPr="00346A11">
        <w:rPr>
          <w:rFonts w:asciiTheme="majorHAnsi" w:hAnsiTheme="majorHAnsi" w:cstheme="majorHAnsi"/>
          <w:bCs/>
          <w:szCs w:val="20"/>
          <w:lang w:val="ro-RO"/>
        </w:rPr>
        <w:t>s</w:t>
      </w:r>
      <w:r w:rsidRPr="00346A11">
        <w:rPr>
          <w:rFonts w:asciiTheme="majorHAnsi" w:hAnsiTheme="majorHAnsi" w:cstheme="majorHAnsi"/>
          <w:szCs w:val="20"/>
          <w:lang w:val="ro-RO"/>
        </w:rPr>
        <w:t>copul implementării sistemului RO e-Transport este unul benefic</w:t>
      </w:r>
      <w:r>
        <w:rPr>
          <w:rFonts w:asciiTheme="majorHAnsi" w:hAnsiTheme="majorHAnsi" w:cstheme="majorHAnsi"/>
          <w:szCs w:val="20"/>
          <w:lang w:val="ro-RO"/>
        </w:rPr>
        <w:t xml:space="preserve">, pentru că </w:t>
      </w:r>
      <w:r w:rsidRPr="00346A11">
        <w:rPr>
          <w:rFonts w:asciiTheme="majorHAnsi" w:hAnsiTheme="majorHAnsi" w:cstheme="majorHAnsi"/>
          <w:szCs w:val="20"/>
          <w:lang w:val="ro-RO"/>
        </w:rPr>
        <w:t>asigur</w:t>
      </w:r>
      <w:r>
        <w:rPr>
          <w:rFonts w:asciiTheme="majorHAnsi" w:hAnsiTheme="majorHAnsi" w:cstheme="majorHAnsi"/>
          <w:szCs w:val="20"/>
          <w:lang w:val="ro-RO"/>
        </w:rPr>
        <w:t>ă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trasabilit</w:t>
      </w:r>
      <w:r>
        <w:rPr>
          <w:rFonts w:asciiTheme="majorHAnsi" w:hAnsiTheme="majorHAnsi" w:cstheme="majorHAnsi"/>
          <w:szCs w:val="20"/>
          <w:lang w:val="ro-RO"/>
        </w:rPr>
        <w:t>atea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bunurilor </w:t>
      </w:r>
      <w:r>
        <w:rPr>
          <w:rFonts w:asciiTheme="majorHAnsi" w:hAnsiTheme="majorHAnsi" w:cstheme="majorHAnsi"/>
          <w:szCs w:val="20"/>
          <w:lang w:val="ro-RO"/>
        </w:rPr>
        <w:t xml:space="preserve">și, astfel, contribuie la reducerea evaziunii fiscale și implicit la </w:t>
      </w:r>
      <w:r w:rsidRPr="00346A11">
        <w:rPr>
          <w:rFonts w:asciiTheme="majorHAnsi" w:hAnsiTheme="majorHAnsi" w:cstheme="majorHAnsi"/>
          <w:szCs w:val="20"/>
          <w:lang w:val="ro-RO"/>
        </w:rPr>
        <w:t>creșter</w:t>
      </w:r>
      <w:r>
        <w:rPr>
          <w:rFonts w:asciiTheme="majorHAnsi" w:hAnsiTheme="majorHAnsi" w:cstheme="majorHAnsi"/>
          <w:szCs w:val="20"/>
          <w:lang w:val="ro-RO"/>
        </w:rPr>
        <w:t>ea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gradului de colectare a impozitelor și taxelor datorate bugetului de stat, </w:t>
      </w:r>
      <w:r>
        <w:rPr>
          <w:rFonts w:asciiTheme="majorHAnsi" w:hAnsiTheme="majorHAnsi" w:cstheme="majorHAnsi"/>
          <w:szCs w:val="20"/>
          <w:lang w:val="ro-RO"/>
        </w:rPr>
        <w:t xml:space="preserve">dar întârzierea definitivării procedurilor necesare de către </w:t>
      </w:r>
      <w:r w:rsidRPr="00346A11">
        <w:rPr>
          <w:rFonts w:asciiTheme="majorHAnsi" w:hAnsiTheme="majorHAnsi" w:cstheme="majorHAnsi"/>
          <w:szCs w:val="20"/>
          <w:lang w:val="ro-RO"/>
        </w:rPr>
        <w:t>autoritățil</w:t>
      </w:r>
      <w:r>
        <w:rPr>
          <w:rFonts w:asciiTheme="majorHAnsi" w:hAnsiTheme="majorHAnsi" w:cstheme="majorHAnsi"/>
          <w:szCs w:val="20"/>
          <w:lang w:val="ro-RO"/>
        </w:rPr>
        <w:t>e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fiscale a pus o presiune </w:t>
      </w:r>
      <w:r>
        <w:rPr>
          <w:rFonts w:asciiTheme="majorHAnsi" w:hAnsiTheme="majorHAnsi" w:cstheme="majorHAnsi"/>
          <w:szCs w:val="20"/>
          <w:lang w:val="ro-RO"/>
        </w:rPr>
        <w:t>ridicată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pe contribuabilii vizați, mare parte dintre aceștia fiind</w:t>
      </w:r>
      <w:r>
        <w:rPr>
          <w:rFonts w:asciiTheme="majorHAnsi" w:hAnsiTheme="majorHAnsi" w:cstheme="majorHAnsi"/>
          <w:szCs w:val="20"/>
          <w:lang w:val="ro-RO"/>
        </w:rPr>
        <w:t>,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Cs w:val="20"/>
          <w:lang w:val="ro-RO"/>
        </w:rPr>
        <w:t>în același timp,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împovărați cu implementarea raportări</w:t>
      </w:r>
      <w:r>
        <w:rPr>
          <w:rFonts w:asciiTheme="majorHAnsi" w:hAnsiTheme="majorHAnsi" w:cstheme="majorHAnsi"/>
          <w:szCs w:val="20"/>
          <w:lang w:val="ro-RO"/>
        </w:rPr>
        <w:t>lor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SAF-T și RO e-Factura. </w:t>
      </w:r>
    </w:p>
    <w:p w14:paraId="3B48FE4B" w14:textId="77777777" w:rsidR="000D7416" w:rsidRPr="00346A11" w:rsidRDefault="000D7416" w:rsidP="000D7416">
      <w:pPr>
        <w:jc w:val="both"/>
        <w:rPr>
          <w:rFonts w:asciiTheme="majorHAnsi" w:hAnsiTheme="majorHAnsi" w:cstheme="majorHAnsi"/>
          <w:szCs w:val="20"/>
          <w:lang w:val="ro-RO"/>
        </w:rPr>
      </w:pPr>
      <w:r>
        <w:rPr>
          <w:rFonts w:asciiTheme="majorHAnsi" w:hAnsiTheme="majorHAnsi" w:cstheme="majorHAnsi"/>
          <w:szCs w:val="20"/>
          <w:lang w:val="ro-RO"/>
        </w:rPr>
        <w:t xml:space="preserve">În concluzie, este incontestabil faptul că </w:t>
      </w:r>
      <w:r w:rsidRPr="00346A11">
        <w:rPr>
          <w:rFonts w:asciiTheme="majorHAnsi" w:hAnsiTheme="majorHAnsi" w:cstheme="majorHAnsi"/>
          <w:szCs w:val="20"/>
          <w:lang w:val="ro-RO"/>
        </w:rPr>
        <w:t>toate aceste schimbări legislative creează un nivel ridicat de transparență între contribuabili și autoritățile fiscale</w:t>
      </w:r>
      <w:r>
        <w:rPr>
          <w:rFonts w:asciiTheme="majorHAnsi" w:hAnsiTheme="majorHAnsi" w:cstheme="majorHAnsi"/>
          <w:szCs w:val="20"/>
          <w:lang w:val="ro-RO"/>
        </w:rPr>
        <w:t xml:space="preserve">, astfel că, </w:t>
      </w:r>
      <w:r w:rsidRPr="00346A11">
        <w:rPr>
          <w:rFonts w:asciiTheme="majorHAnsi" w:hAnsiTheme="majorHAnsi" w:cstheme="majorHAnsi"/>
          <w:szCs w:val="20"/>
          <w:lang w:val="ro-RO"/>
        </w:rPr>
        <w:t>pe termen lung</w:t>
      </w:r>
      <w:r>
        <w:rPr>
          <w:rFonts w:asciiTheme="majorHAnsi" w:hAnsiTheme="majorHAnsi" w:cstheme="majorHAnsi"/>
          <w:szCs w:val="20"/>
          <w:lang w:val="ro-RO"/>
        </w:rPr>
        <w:t>,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inspecțiile fiscale ar trebui să fie cu mult simplificate</w:t>
      </w:r>
      <w:r>
        <w:rPr>
          <w:rFonts w:asciiTheme="majorHAnsi" w:hAnsiTheme="majorHAnsi" w:cstheme="majorHAnsi"/>
          <w:szCs w:val="20"/>
          <w:lang w:val="ro-RO"/>
        </w:rPr>
        <w:t xml:space="preserve">, în beneficiul ambelor părți. Pe de altă parte, însă, există și 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consecințe </w:t>
      </w:r>
      <w:r>
        <w:rPr>
          <w:rFonts w:asciiTheme="majorHAnsi" w:hAnsiTheme="majorHAnsi" w:cstheme="majorHAnsi"/>
          <w:szCs w:val="20"/>
          <w:lang w:val="ro-RO"/>
        </w:rPr>
        <w:t xml:space="preserve">nefaste </w:t>
      </w:r>
      <w:r w:rsidRPr="00346A11">
        <w:rPr>
          <w:rFonts w:asciiTheme="majorHAnsi" w:hAnsiTheme="majorHAnsi" w:cstheme="majorHAnsi"/>
          <w:szCs w:val="20"/>
          <w:lang w:val="ro-RO"/>
        </w:rPr>
        <w:t>pe termen scurt</w:t>
      </w:r>
      <w:r>
        <w:rPr>
          <w:rFonts w:asciiTheme="majorHAnsi" w:hAnsiTheme="majorHAnsi" w:cstheme="majorHAnsi"/>
          <w:szCs w:val="20"/>
          <w:lang w:val="ro-RO"/>
        </w:rPr>
        <w:t xml:space="preserve">, având în vedere dificultățile întâmpinate de contribuabili pentru o conformare </w:t>
      </w:r>
      <w:r w:rsidRPr="00346A11">
        <w:rPr>
          <w:rFonts w:asciiTheme="majorHAnsi" w:hAnsiTheme="majorHAnsi" w:cstheme="majorHAnsi"/>
          <w:szCs w:val="20"/>
          <w:lang w:val="ro-RO"/>
        </w:rPr>
        <w:t>corect</w:t>
      </w:r>
      <w:r>
        <w:rPr>
          <w:rFonts w:asciiTheme="majorHAnsi" w:hAnsiTheme="majorHAnsi" w:cstheme="majorHAnsi"/>
          <w:szCs w:val="20"/>
          <w:lang w:val="ro-RO"/>
        </w:rPr>
        <w:t>ă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și complet</w:t>
      </w:r>
      <w:r>
        <w:rPr>
          <w:rFonts w:asciiTheme="majorHAnsi" w:hAnsiTheme="majorHAnsi" w:cstheme="majorHAnsi"/>
          <w:szCs w:val="20"/>
          <w:lang w:val="ro-RO"/>
        </w:rPr>
        <w:t>ă,</w:t>
      </w:r>
      <w:r w:rsidRPr="00346A11">
        <w:rPr>
          <w:rFonts w:asciiTheme="majorHAnsi" w:hAnsiTheme="majorHAnsi" w:cstheme="majorHAnsi"/>
          <w:szCs w:val="20"/>
          <w:lang w:val="ro-RO"/>
        </w:rPr>
        <w:t xml:space="preserve"> dar mai ales </w:t>
      </w:r>
      <w:r>
        <w:rPr>
          <w:rFonts w:asciiTheme="majorHAnsi" w:hAnsiTheme="majorHAnsi" w:cstheme="majorHAnsi"/>
          <w:szCs w:val="20"/>
          <w:lang w:val="ro-RO"/>
        </w:rPr>
        <w:t>î</w:t>
      </w:r>
      <w:r w:rsidRPr="00346A11">
        <w:rPr>
          <w:rFonts w:asciiTheme="majorHAnsi" w:hAnsiTheme="majorHAnsi" w:cstheme="majorHAnsi"/>
          <w:szCs w:val="20"/>
          <w:lang w:val="ro-RO"/>
        </w:rPr>
        <w:t>n timp uti</w:t>
      </w:r>
      <w:r>
        <w:rPr>
          <w:rFonts w:asciiTheme="majorHAnsi" w:hAnsiTheme="majorHAnsi" w:cstheme="majorHAnsi"/>
          <w:szCs w:val="20"/>
          <w:lang w:val="ro-RO"/>
        </w:rPr>
        <w:t>l.</w:t>
      </w:r>
    </w:p>
    <w:p w14:paraId="56987290" w14:textId="77777777" w:rsidR="0077150E" w:rsidRPr="00D03906" w:rsidRDefault="0077150E" w:rsidP="000D7416">
      <w:pPr>
        <w:ind w:right="-2"/>
        <w:jc w:val="center"/>
        <w:rPr>
          <w:rFonts w:asciiTheme="majorHAnsi" w:eastAsiaTheme="majorEastAsia" w:hAnsiTheme="majorHAnsi" w:cstheme="majorHAnsi"/>
          <w:iCs/>
          <w:szCs w:val="20"/>
          <w:lang w:val="ro-RO"/>
        </w:rPr>
      </w:pPr>
    </w:p>
    <w:sectPr w:rsidR="0077150E" w:rsidRPr="00D03906" w:rsidSect="007C7B0C">
      <w:headerReference w:type="default" r:id="rId7"/>
      <w:headerReference w:type="first" r:id="rId8"/>
      <w:footerReference w:type="first" r:id="rId9"/>
      <w:pgSz w:w="11901" w:h="16840" w:code="9"/>
      <w:pgMar w:top="1440" w:right="1134" w:bottom="454" w:left="1418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D470" w14:textId="77777777" w:rsidR="00D85652" w:rsidRDefault="00D85652" w:rsidP="00432C48">
      <w:pPr>
        <w:spacing w:after="0"/>
      </w:pPr>
      <w:r>
        <w:separator/>
      </w:r>
    </w:p>
  </w:endnote>
  <w:endnote w:type="continuationSeparator" w:id="0">
    <w:p w14:paraId="7B7DA008" w14:textId="77777777" w:rsidR="00D85652" w:rsidRDefault="00D85652" w:rsidP="00432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A6DA" w14:textId="77777777" w:rsidR="001615F5" w:rsidRPr="001615F5" w:rsidRDefault="00D85652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1E5B" w14:textId="77777777" w:rsidR="00D85652" w:rsidRDefault="00D85652" w:rsidP="00432C48">
      <w:pPr>
        <w:spacing w:after="0"/>
      </w:pPr>
      <w:r>
        <w:separator/>
      </w:r>
    </w:p>
  </w:footnote>
  <w:footnote w:type="continuationSeparator" w:id="0">
    <w:p w14:paraId="08B07CA2" w14:textId="77777777" w:rsidR="00D85652" w:rsidRDefault="00D85652" w:rsidP="00432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1EB" w14:textId="77777777" w:rsidR="003A0D61" w:rsidRDefault="002A0ECE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6E0863F" wp14:editId="0E8AF32F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97C4" w14:textId="77777777" w:rsidR="006A0423" w:rsidRDefault="00D8565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A122B7F" w14:textId="77777777" w:rsidR="006A0423" w:rsidRDefault="002A0EC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3A012D1" wp14:editId="2EFE8D01">
          <wp:simplePos x="0" y="0"/>
          <wp:positionH relativeFrom="column">
            <wp:posOffset>3868420</wp:posOffset>
          </wp:positionH>
          <wp:positionV relativeFrom="paragraph">
            <wp:posOffset>12700</wp:posOffset>
          </wp:positionV>
          <wp:extent cx="2221230" cy="1663700"/>
          <wp:effectExtent l="0" t="0" r="762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1B7331" w14:textId="77777777" w:rsidR="006A0423" w:rsidRDefault="002A0EC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674383A" wp14:editId="639DF33E">
          <wp:simplePos x="0" y="0"/>
          <wp:positionH relativeFrom="column">
            <wp:posOffset>-287020</wp:posOffset>
          </wp:positionH>
          <wp:positionV relativeFrom="paragraph">
            <wp:posOffset>230505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EE04A" w14:textId="77777777" w:rsidR="006A0423" w:rsidRDefault="002A0EC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</w:p>
  <w:p w14:paraId="598F4748" w14:textId="77777777" w:rsidR="00AF6CE1" w:rsidRDefault="00D8565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8AE6B2C" w14:textId="77777777" w:rsidR="00BD4912" w:rsidRDefault="00D8565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65264E8" w14:textId="77777777" w:rsidR="00BD4912" w:rsidRDefault="00D8565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1F5DDAB" w14:textId="77777777" w:rsidR="00BD4912" w:rsidRDefault="00D8565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045A43D" w14:textId="77777777" w:rsidR="005443B3" w:rsidRPr="001615F5" w:rsidRDefault="002A0ECE">
    <w:pPr>
      <w:pStyle w:val="Header"/>
      <w:rPr>
        <w:sz w:val="11"/>
        <w:szCs w:val="1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3D897A33" wp14:editId="5E21C6D9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A9739" w14:textId="77777777" w:rsidR="006679A3" w:rsidRPr="00E57B68" w:rsidRDefault="00D85652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97A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7ewIAAP4E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" o:allowincell="f" stroked="f">
              <v:textbox inset="0,0,0,0">
                <w:txbxContent>
                  <w:p w14:paraId="68CA9739" w14:textId="77777777" w:rsidR="006679A3" w:rsidRPr="00E57B68" w:rsidRDefault="002A0ECE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F9E"/>
    <w:multiLevelType w:val="hybridMultilevel"/>
    <w:tmpl w:val="F5E85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2FA"/>
    <w:multiLevelType w:val="hybridMultilevel"/>
    <w:tmpl w:val="4C3E67A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5FD2025"/>
    <w:multiLevelType w:val="hybridMultilevel"/>
    <w:tmpl w:val="BEDEF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353731">
    <w:abstractNumId w:val="0"/>
  </w:num>
  <w:num w:numId="2" w16cid:durableId="20673871">
    <w:abstractNumId w:val="1"/>
  </w:num>
  <w:num w:numId="3" w16cid:durableId="123431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7F"/>
    <w:rsid w:val="0003551A"/>
    <w:rsid w:val="000D7416"/>
    <w:rsid w:val="00283D99"/>
    <w:rsid w:val="00287D07"/>
    <w:rsid w:val="002A0ECE"/>
    <w:rsid w:val="00340DD7"/>
    <w:rsid w:val="003B2531"/>
    <w:rsid w:val="00432C48"/>
    <w:rsid w:val="004A47C2"/>
    <w:rsid w:val="00511A71"/>
    <w:rsid w:val="0064053B"/>
    <w:rsid w:val="00734717"/>
    <w:rsid w:val="00752720"/>
    <w:rsid w:val="0077150E"/>
    <w:rsid w:val="00794520"/>
    <w:rsid w:val="008A5007"/>
    <w:rsid w:val="008D17A1"/>
    <w:rsid w:val="00985044"/>
    <w:rsid w:val="00B63AE8"/>
    <w:rsid w:val="00C62EA0"/>
    <w:rsid w:val="00CB587F"/>
    <w:rsid w:val="00CE0041"/>
    <w:rsid w:val="00D03906"/>
    <w:rsid w:val="00D85652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7E461"/>
  <w15:chartTrackingRefBased/>
  <w15:docId w15:val="{762BE32D-53D2-4CC7-8137-221C651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7F"/>
    <w:pPr>
      <w:spacing w:line="240" w:lineRule="auto"/>
    </w:pPr>
    <w:rPr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8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B587F"/>
    <w:rPr>
      <w:sz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B58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4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04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04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44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semiHidden/>
    <w:rsid w:val="00D03906"/>
    <w:pPr>
      <w:tabs>
        <w:tab w:val="left" w:pos="1985"/>
        <w:tab w:val="left" w:pos="3119"/>
        <w:tab w:val="left" w:pos="4253"/>
      </w:tabs>
      <w:spacing w:after="0" w:line="160" w:lineRule="exact"/>
    </w:pPr>
    <w:rPr>
      <w:rFonts w:ascii="Helvetica 45 Light" w:eastAsia="Times" w:hAnsi="Helvetica 45 Light" w:cs="Times New Roman"/>
      <w:sz w:val="1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D03906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D03906"/>
    <w:pPr>
      <w:tabs>
        <w:tab w:val="center" w:pos="4320"/>
        <w:tab w:val="right" w:pos="8640"/>
      </w:tabs>
      <w:spacing w:after="0" w:line="280" w:lineRule="exact"/>
    </w:pPr>
    <w:rPr>
      <w:rFonts w:ascii="Helvetica 45 Light" w:eastAsia="Times" w:hAnsi="Helvetica 45 Light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D03906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D03906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Marcu, Cristina</cp:lastModifiedBy>
  <cp:revision>3</cp:revision>
  <dcterms:created xsi:type="dcterms:W3CDTF">2022-07-27T08:36:00Z</dcterms:created>
  <dcterms:modified xsi:type="dcterms:W3CDTF">2022-07-27T09:09:00Z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2022-07-26T14:35:00Z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9ff36c6d-b2b6-4d71-b0b5-12a35202af95</vt:lpwstr>
  </property>
  <property fmtid="{D5CDD505-2E9C-101B-9397-08002B2CF9AE}" pid="8" name="MSIP_Label_ea60d57e-af5b-4752-ac57-3e4f28ca11dc_ContentBits">
    <vt:lpwstr>0</vt:lpwstr>
  </property>
</Properties>
</file>