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79" w:rsidRPr="00A764A7" w:rsidRDefault="00744BA5" w:rsidP="006A2E4E">
      <w:pPr>
        <w:pStyle w:val="Title"/>
        <w:tabs>
          <w:tab w:val="left" w:pos="90"/>
        </w:tabs>
        <w:spacing w:after="120" w:line="240" w:lineRule="auto"/>
        <w:rPr>
          <w:sz w:val="24"/>
          <w:szCs w:val="24"/>
        </w:rPr>
      </w:pPr>
      <w:r w:rsidRPr="00A764A7">
        <w:rPr>
          <w:sz w:val="24"/>
          <w:szCs w:val="24"/>
        </w:rPr>
        <w:t>EXPUNERE DE MOTIVE</w:t>
      </w:r>
    </w:p>
    <w:p w:rsidR="00E45146" w:rsidRPr="00A764A7" w:rsidRDefault="00E45146" w:rsidP="006A2E4E">
      <w:pPr>
        <w:pStyle w:val="Title"/>
        <w:tabs>
          <w:tab w:val="left" w:pos="90"/>
        </w:tabs>
        <w:spacing w:after="120" w:line="240" w:lineRule="auto"/>
        <w:rPr>
          <w:sz w:val="16"/>
          <w:szCs w:val="16"/>
        </w:rPr>
      </w:pPr>
    </w:p>
    <w:p w:rsidR="00670C79" w:rsidRPr="00A764A7" w:rsidRDefault="00670C79" w:rsidP="006A2E4E">
      <w:pPr>
        <w:pStyle w:val="Heading6"/>
        <w:tabs>
          <w:tab w:val="left" w:pos="90"/>
        </w:tabs>
        <w:spacing w:before="0" w:line="240" w:lineRule="auto"/>
        <w:rPr>
          <w:sz w:val="24"/>
        </w:rPr>
      </w:pPr>
      <w:r w:rsidRPr="00A764A7">
        <w:rPr>
          <w:sz w:val="24"/>
        </w:rPr>
        <w:t>Secţiunea 1 Titlul proiectului de act normativ</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70C79" w:rsidRPr="00A764A7" w:rsidTr="00A65D25">
        <w:tc>
          <w:tcPr>
            <w:tcW w:w="10206" w:type="dxa"/>
          </w:tcPr>
          <w:p w:rsidR="00670C79" w:rsidRPr="00A764A7" w:rsidRDefault="00744BA5" w:rsidP="00507900">
            <w:pPr>
              <w:widowControl w:val="0"/>
              <w:spacing w:after="120"/>
              <w:jc w:val="both"/>
            </w:pPr>
            <w:r w:rsidRPr="00A764A7">
              <w:t>Lege</w:t>
            </w:r>
            <w:r w:rsidR="00072AE7" w:rsidRPr="00A764A7">
              <w:t xml:space="preserve"> </w:t>
            </w:r>
            <w:r w:rsidR="009220F9" w:rsidRPr="00A764A7">
              <w:t xml:space="preserve">pentru </w:t>
            </w:r>
            <w:r w:rsidR="00507900" w:rsidRPr="00A764A7">
              <w:t>modificarea și completarea unor acte normative din domeniul fondurilor europene</w:t>
            </w:r>
          </w:p>
        </w:tc>
      </w:tr>
    </w:tbl>
    <w:p w:rsidR="00E45146" w:rsidRPr="00A764A7" w:rsidRDefault="00E45146" w:rsidP="006A2E4E">
      <w:pPr>
        <w:tabs>
          <w:tab w:val="left" w:pos="90"/>
        </w:tabs>
        <w:spacing w:after="120"/>
        <w:rPr>
          <w:b/>
          <w:sz w:val="16"/>
          <w:szCs w:val="16"/>
        </w:rPr>
      </w:pPr>
    </w:p>
    <w:p w:rsidR="00670C79" w:rsidRPr="00A764A7" w:rsidRDefault="00670C79" w:rsidP="006A2E4E">
      <w:pPr>
        <w:tabs>
          <w:tab w:val="left" w:pos="90"/>
        </w:tabs>
        <w:spacing w:after="120"/>
        <w:rPr>
          <w:b/>
        </w:rPr>
      </w:pPr>
      <w:r w:rsidRPr="00A764A7">
        <w:rPr>
          <w:b/>
        </w:rPr>
        <w:t>Secţiunea a 2-a  Motivul emiterii actului normativ</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7513"/>
      </w:tblGrid>
      <w:tr w:rsidR="00BF6431" w:rsidRPr="00A764A7" w:rsidTr="00A65D25">
        <w:tc>
          <w:tcPr>
            <w:tcW w:w="2684" w:type="dxa"/>
          </w:tcPr>
          <w:p w:rsidR="00BF6431" w:rsidRPr="00A764A7" w:rsidRDefault="00BF6431" w:rsidP="00BF6431">
            <w:pPr>
              <w:pStyle w:val="BodyText2"/>
              <w:tabs>
                <w:tab w:val="left" w:pos="90"/>
              </w:tabs>
              <w:spacing w:after="120"/>
              <w:rPr>
                <w:sz w:val="24"/>
              </w:rPr>
            </w:pPr>
          </w:p>
          <w:p w:rsidR="00BF6431" w:rsidRPr="00A764A7" w:rsidRDefault="00BF6431" w:rsidP="00BF6431">
            <w:pPr>
              <w:pStyle w:val="BodyText2"/>
              <w:tabs>
                <w:tab w:val="left" w:pos="90"/>
              </w:tabs>
              <w:spacing w:after="120"/>
              <w:jc w:val="left"/>
              <w:rPr>
                <w:sz w:val="24"/>
              </w:rPr>
            </w:pPr>
            <w:r w:rsidRPr="00A764A7">
              <w:rPr>
                <w:sz w:val="24"/>
              </w:rPr>
              <w:t>1.Descrierea situaţiei actuale</w:t>
            </w:r>
          </w:p>
        </w:tc>
        <w:tc>
          <w:tcPr>
            <w:tcW w:w="7513" w:type="dxa"/>
          </w:tcPr>
          <w:p w:rsidR="00100FA3" w:rsidRPr="00A764A7" w:rsidRDefault="00100FA3" w:rsidP="00100FA3">
            <w:pPr>
              <w:widowControl w:val="0"/>
              <w:autoSpaceDE w:val="0"/>
              <w:autoSpaceDN w:val="0"/>
              <w:adjustRightInd w:val="0"/>
              <w:jc w:val="both"/>
            </w:pPr>
            <w:r w:rsidRPr="00A764A7">
              <w:t xml:space="preserve">Având în vedere că programele de preaderare - PHARE, </w:t>
            </w:r>
            <w:r w:rsidR="00884EC3" w:rsidRPr="00A764A7">
              <w:t>ISPA și SAPARD au fost închise/</w:t>
            </w:r>
            <w:r w:rsidRPr="00A764A7">
              <w:t>se află în faza finală de închidere cu Comisia Europeană (CE), este necesară efectuarea de reglaje financiare cu bugetul de stat.</w:t>
            </w:r>
          </w:p>
          <w:p w:rsidR="00100FA3" w:rsidRPr="00A764A7" w:rsidRDefault="00100FA3" w:rsidP="00BF6431">
            <w:pPr>
              <w:widowControl w:val="0"/>
              <w:autoSpaceDE w:val="0"/>
              <w:autoSpaceDN w:val="0"/>
              <w:adjustRightInd w:val="0"/>
              <w:jc w:val="both"/>
              <w:rPr>
                <w:sz w:val="16"/>
                <w:szCs w:val="16"/>
              </w:rPr>
            </w:pPr>
          </w:p>
          <w:p w:rsidR="00BF6431" w:rsidRPr="00A764A7" w:rsidRDefault="00BF6431" w:rsidP="00BF6431">
            <w:pPr>
              <w:widowControl w:val="0"/>
              <w:autoSpaceDE w:val="0"/>
              <w:autoSpaceDN w:val="0"/>
              <w:adjustRightInd w:val="0"/>
              <w:jc w:val="both"/>
            </w:pPr>
            <w:r w:rsidRPr="00A764A7">
              <w:t xml:space="preserve">Principala dificultate cu care se confruntă structurile de implementare pentru Programul ex-ISPA constă în identificarea unor surse de </w:t>
            </w:r>
            <w:r w:rsidR="008C3A89" w:rsidRPr="00A764A7">
              <w:t>finanțare</w:t>
            </w:r>
            <w:r w:rsidR="004F17F5" w:rsidRPr="00A764A7">
              <w:t xml:space="preserve"> pentru reîntregirea sumelor de la bugetul de stat</w:t>
            </w:r>
            <w:r w:rsidRPr="00A764A7">
              <w:t xml:space="preserve">, utilizat în situația indisponibilității temporare a fondurilor de la CE, rămas nereîntregit după primirea de la CE a sumelor aferente soldurilor finale.    </w:t>
            </w:r>
          </w:p>
          <w:p w:rsidR="00BF6431" w:rsidRPr="00A764A7" w:rsidRDefault="00BF6431" w:rsidP="00BF6431">
            <w:pPr>
              <w:widowControl w:val="0"/>
              <w:autoSpaceDE w:val="0"/>
              <w:autoSpaceDN w:val="0"/>
              <w:adjustRightInd w:val="0"/>
              <w:jc w:val="both"/>
              <w:rPr>
                <w:sz w:val="16"/>
                <w:szCs w:val="16"/>
              </w:rPr>
            </w:pPr>
          </w:p>
          <w:p w:rsidR="00BF6431" w:rsidRPr="00A764A7" w:rsidRDefault="00BF6431" w:rsidP="00BF6431">
            <w:pPr>
              <w:pStyle w:val="ListParagraph"/>
              <w:ind w:left="0"/>
              <w:jc w:val="both"/>
              <w:rPr>
                <w:rFonts w:ascii="Times New Roman" w:eastAsia="Times New Roman" w:hAnsi="Times New Roman"/>
              </w:rPr>
            </w:pPr>
            <w:r w:rsidRPr="00A764A7">
              <w:rPr>
                <w:rFonts w:ascii="Times New Roman" w:eastAsia="Times New Roman" w:hAnsi="Times New Roman"/>
              </w:rPr>
              <w:t xml:space="preserve">Astfel, </w:t>
            </w:r>
            <w:r w:rsidR="004F17F5" w:rsidRPr="00A764A7">
              <w:rPr>
                <w:rFonts w:ascii="Times New Roman" w:eastAsia="Times New Roman" w:hAnsi="Times New Roman"/>
              </w:rPr>
              <w:t>această operațiune de re</w:t>
            </w:r>
            <w:r w:rsidR="002168D4" w:rsidRPr="00A764A7">
              <w:rPr>
                <w:rFonts w:ascii="Times New Roman" w:eastAsia="Times New Roman" w:hAnsi="Times New Roman"/>
              </w:rPr>
              <w:t>î</w:t>
            </w:r>
            <w:r w:rsidR="004F17F5" w:rsidRPr="00A764A7">
              <w:rPr>
                <w:rFonts w:ascii="Times New Roman" w:eastAsia="Times New Roman" w:hAnsi="Times New Roman"/>
              </w:rPr>
              <w:t xml:space="preserve">ntregire se va realiza prin includerea </w:t>
            </w:r>
            <w:r w:rsidRPr="00A764A7">
              <w:rPr>
                <w:rFonts w:ascii="Times New Roman" w:eastAsia="Times New Roman" w:hAnsi="Times New Roman"/>
              </w:rPr>
              <w:t>în bugetele proprii ale ordonatorilor principali de credite cu rol de structură de implementare pentru măsurile ex-ISPA, a sumelor:</w:t>
            </w:r>
          </w:p>
          <w:p w:rsidR="00BF6431" w:rsidRPr="00A764A7" w:rsidRDefault="00BF6431" w:rsidP="00BF6431">
            <w:pPr>
              <w:pStyle w:val="ListParagraph"/>
              <w:ind w:left="70" w:hanging="90"/>
              <w:jc w:val="both"/>
              <w:rPr>
                <w:rFonts w:ascii="Times New Roman" w:eastAsia="Times New Roman" w:hAnsi="Times New Roman"/>
              </w:rPr>
            </w:pPr>
            <w:r w:rsidRPr="00A764A7">
              <w:rPr>
                <w:rFonts w:ascii="Times New Roman" w:eastAsia="Times New Roman" w:hAnsi="Times New Roman"/>
              </w:rPr>
              <w:t xml:space="preserve">  - aferente cheltuielilor constatate neeligibile de către autoritățile de audit și care sunt în imposibilitate de recuperare, inclusiv ca urmare a </w:t>
            </w:r>
            <w:r w:rsidRPr="00A764A7">
              <w:rPr>
                <w:rFonts w:ascii="Times New Roman" w:hAnsi="Times New Roman"/>
              </w:rPr>
              <w:t xml:space="preserve">anulării titlurilor de creanță prin </w:t>
            </w:r>
            <w:r w:rsidRPr="00A764A7">
              <w:rPr>
                <w:rFonts w:ascii="Times New Roman" w:eastAsia="Times New Roman" w:hAnsi="Times New Roman"/>
              </w:rPr>
              <w:t xml:space="preserve">hotărâri judecătorești, </w:t>
            </w:r>
          </w:p>
          <w:p w:rsidR="00BF6431" w:rsidRPr="00A764A7" w:rsidRDefault="00BF6431" w:rsidP="00BF6431">
            <w:pPr>
              <w:pStyle w:val="ListParagraph"/>
              <w:ind w:left="0"/>
              <w:jc w:val="both"/>
              <w:rPr>
                <w:rFonts w:ascii="Times New Roman" w:eastAsia="Times New Roman" w:hAnsi="Times New Roman"/>
              </w:rPr>
            </w:pPr>
            <w:r w:rsidRPr="00A764A7">
              <w:rPr>
                <w:rFonts w:ascii="Times New Roman" w:eastAsia="Times New Roman" w:hAnsi="Times New Roman"/>
              </w:rPr>
              <w:t xml:space="preserve">  - rezultate din debalansarea surselor de finanțare a proiectelor ca urmare a efectuării plăților către contractori/furnizori din fondurile de cofinanțare paralela î</w:t>
            </w:r>
            <w:r w:rsidRPr="00A764A7">
              <w:rPr>
                <w:rFonts w:ascii="Times New Roman" w:hAnsi="Times New Roman"/>
              </w:rPr>
              <w:t>n procente diferite față de cele stabilite în memorandumurile de finanțare pentru măsurile ex-ISPA.</w:t>
            </w:r>
          </w:p>
          <w:p w:rsidR="00BF6431" w:rsidRPr="00A764A7" w:rsidRDefault="00BF6431" w:rsidP="00BF6431">
            <w:pPr>
              <w:pStyle w:val="ListParagraph"/>
              <w:ind w:left="0"/>
              <w:jc w:val="both"/>
              <w:rPr>
                <w:rFonts w:ascii="Times New Roman" w:eastAsia="Times New Roman" w:hAnsi="Times New Roman"/>
                <w:sz w:val="16"/>
                <w:szCs w:val="16"/>
              </w:rPr>
            </w:pPr>
          </w:p>
          <w:p w:rsidR="00BF6431" w:rsidRPr="00A764A7" w:rsidRDefault="00BF6431" w:rsidP="00BF6431">
            <w:pPr>
              <w:pStyle w:val="ListParagraph"/>
              <w:ind w:left="0"/>
              <w:jc w:val="both"/>
              <w:rPr>
                <w:rFonts w:ascii="Times New Roman" w:eastAsia="Times New Roman" w:hAnsi="Times New Roman"/>
              </w:rPr>
            </w:pPr>
            <w:r w:rsidRPr="00A764A7">
              <w:rPr>
                <w:rFonts w:ascii="Times New Roman" w:eastAsia="Times New Roman" w:hAnsi="Times New Roman"/>
              </w:rPr>
              <w:t xml:space="preserve">De asemenea, se impune necesitatea introducerii unor prevederi care să permită restituirea la bugetul de stat a sumelor disponibile în contul </w:t>
            </w:r>
            <w:r w:rsidRPr="00A764A7">
              <w:rPr>
                <w:rFonts w:ascii="Times New Roman" w:hAnsi="Times New Roman"/>
                <w:color w:val="000000"/>
              </w:rPr>
              <w:t xml:space="preserve">50.29 </w:t>
            </w:r>
            <w:r w:rsidRPr="00A764A7">
              <w:rPr>
                <w:rFonts w:ascii="Times New Roman" w:hAnsi="Times New Roman"/>
                <w:i/>
                <w:iCs/>
                <w:color w:val="000000"/>
              </w:rPr>
              <w:t>Disponibil din sume de la bugetul de stat pentru finanțare proiecte în cazul indisponibilității temporare de fonduri ISPA</w:t>
            </w:r>
            <w:r w:rsidRPr="00A764A7">
              <w:rPr>
                <w:rFonts w:ascii="Times New Roman" w:eastAsia="Times New Roman" w:hAnsi="Times New Roman"/>
              </w:rPr>
              <w:t xml:space="preserve">, precum și a sumelor disponibile în contul </w:t>
            </w:r>
            <w:r w:rsidRPr="00A764A7">
              <w:rPr>
                <w:rFonts w:ascii="Times New Roman" w:hAnsi="Times New Roman"/>
                <w:color w:val="000000"/>
              </w:rPr>
              <w:t xml:space="preserve">54.01.03.00 </w:t>
            </w:r>
            <w:r w:rsidRPr="00A764A7">
              <w:rPr>
                <w:rFonts w:ascii="Times New Roman" w:hAnsi="Times New Roman"/>
                <w:i/>
                <w:iCs/>
                <w:color w:val="000000"/>
              </w:rPr>
              <w:t>Disponibil de la bugetul de stat reprezentând prefinanțări și fonduri în cazul indisponibilităților temporare aferente instrumentelor structurale,</w:t>
            </w:r>
            <w:r w:rsidRPr="00A764A7">
              <w:rPr>
                <w:rFonts w:ascii="Times New Roman" w:eastAsia="Times New Roman" w:hAnsi="Times New Roman"/>
              </w:rPr>
              <w:t xml:space="preserve"> ca urmare a reîntregirii sumelor în aceste conturi din alocările bugetare ale ordonatorilor principali de credite.</w:t>
            </w:r>
          </w:p>
          <w:p w:rsidR="000A19DE" w:rsidRPr="00A764A7" w:rsidRDefault="000A19DE" w:rsidP="00BF6431">
            <w:pPr>
              <w:pStyle w:val="ListParagraph"/>
              <w:ind w:left="0"/>
              <w:jc w:val="both"/>
              <w:rPr>
                <w:rFonts w:ascii="Times New Roman" w:eastAsia="Times New Roman" w:hAnsi="Times New Roman"/>
                <w:sz w:val="16"/>
                <w:szCs w:val="16"/>
              </w:rPr>
            </w:pPr>
          </w:p>
          <w:p w:rsidR="006E3116" w:rsidRDefault="00744695" w:rsidP="003115EC">
            <w:pPr>
              <w:pStyle w:val="ListParagraph"/>
              <w:ind w:left="0"/>
              <w:jc w:val="both"/>
              <w:rPr>
                <w:rFonts w:ascii="Times New Roman" w:eastAsia="Times New Roman" w:hAnsi="Times New Roman"/>
              </w:rPr>
            </w:pPr>
            <w:r w:rsidRPr="00A764A7">
              <w:rPr>
                <w:rFonts w:ascii="Times New Roman" w:eastAsia="Times New Roman" w:hAnsi="Times New Roman"/>
              </w:rPr>
              <w:t xml:space="preserve">Precizăm că, în prezent, nu există prevederi care să stabilească destinația sumelor rămase disponibile în conturile aferente fondurilor </w:t>
            </w:r>
            <w:r w:rsidR="00885E1D" w:rsidRPr="00A764A7">
              <w:rPr>
                <w:rFonts w:ascii="Times New Roman" w:eastAsia="Times New Roman" w:hAnsi="Times New Roman"/>
              </w:rPr>
              <w:t>de preaderare</w:t>
            </w:r>
            <w:r w:rsidRPr="00A764A7">
              <w:rPr>
                <w:rFonts w:ascii="Times New Roman" w:eastAsia="Times New Roman" w:hAnsi="Times New Roman"/>
              </w:rPr>
              <w:t xml:space="preserve"> deschise la banca comercia</w:t>
            </w:r>
            <w:r w:rsidR="003115EC" w:rsidRPr="00A764A7">
              <w:rPr>
                <w:rFonts w:ascii="Times New Roman" w:eastAsia="Times New Roman" w:hAnsi="Times New Roman"/>
              </w:rPr>
              <w:t xml:space="preserve">lă și la Trezoreria Statului. </w:t>
            </w:r>
            <w:r w:rsidR="00885E1D" w:rsidRPr="00A764A7">
              <w:rPr>
                <w:rFonts w:ascii="Times New Roman" w:eastAsia="Times New Roman" w:hAnsi="Times New Roman"/>
              </w:rPr>
              <w:t xml:space="preserve">Astfel, </w:t>
            </w:r>
            <w:r w:rsidR="00D11188" w:rsidRPr="00A764A7">
              <w:rPr>
                <w:rFonts w:ascii="Times New Roman" w:eastAsia="Times New Roman" w:hAnsi="Times New Roman"/>
              </w:rPr>
              <w:t>se impune reglementarea în cuprinsul actului</w:t>
            </w:r>
            <w:r w:rsidR="00885E1D" w:rsidRPr="00A764A7">
              <w:rPr>
                <w:rFonts w:ascii="Times New Roman" w:eastAsia="Times New Roman" w:hAnsi="Times New Roman"/>
              </w:rPr>
              <w:t xml:space="preserve"> normativ a</w:t>
            </w:r>
            <w:r w:rsidR="00D11188" w:rsidRPr="00A764A7">
              <w:rPr>
                <w:rFonts w:ascii="Times New Roman" w:eastAsia="Times New Roman" w:hAnsi="Times New Roman"/>
              </w:rPr>
              <w:t xml:space="preserve"> destinației sumelor care rămân disponibile </w:t>
            </w:r>
            <w:r w:rsidR="00885E1D" w:rsidRPr="00A764A7">
              <w:rPr>
                <w:rFonts w:ascii="Times New Roman" w:eastAsia="Times New Roman" w:hAnsi="Times New Roman"/>
              </w:rPr>
              <w:t>în conturile deschise pe numele M</w:t>
            </w:r>
            <w:r w:rsidR="00F11C2E" w:rsidRPr="00A764A7">
              <w:rPr>
                <w:rFonts w:ascii="Times New Roman" w:eastAsia="Times New Roman" w:hAnsi="Times New Roman"/>
              </w:rPr>
              <w:t>inisterului Finanțelor (MF)</w:t>
            </w:r>
            <w:r w:rsidR="00A764A7">
              <w:rPr>
                <w:rFonts w:ascii="Times New Roman" w:eastAsia="Times New Roman" w:hAnsi="Times New Roman"/>
              </w:rPr>
              <w:t xml:space="preserve"> </w:t>
            </w:r>
            <w:r w:rsidR="00885E1D" w:rsidRPr="00A764A7">
              <w:rPr>
                <w:rFonts w:ascii="Times New Roman" w:eastAsia="Times New Roman" w:hAnsi="Times New Roman"/>
              </w:rPr>
              <w:t>-</w:t>
            </w:r>
            <w:r w:rsidR="00A764A7">
              <w:rPr>
                <w:rFonts w:ascii="Times New Roman" w:eastAsia="Times New Roman" w:hAnsi="Times New Roman"/>
              </w:rPr>
              <w:t xml:space="preserve"> </w:t>
            </w:r>
            <w:r w:rsidR="00885E1D" w:rsidRPr="00A764A7">
              <w:rPr>
                <w:rFonts w:ascii="Times New Roman" w:eastAsia="Times New Roman" w:hAnsi="Times New Roman"/>
              </w:rPr>
              <w:t>A</w:t>
            </w:r>
            <w:r w:rsidR="00F11C2E" w:rsidRPr="00A764A7">
              <w:rPr>
                <w:rFonts w:ascii="Times New Roman" w:eastAsia="Times New Roman" w:hAnsi="Times New Roman"/>
              </w:rPr>
              <w:t>utoritatea de Certificare și Plată (ACP)</w:t>
            </w:r>
            <w:r w:rsidR="00885E1D" w:rsidRPr="00A764A7">
              <w:rPr>
                <w:rFonts w:ascii="Times New Roman" w:eastAsia="Times New Roman" w:hAnsi="Times New Roman"/>
              </w:rPr>
              <w:t xml:space="preserve">, inclusiv a celor provenite din sumele utilizate de </w:t>
            </w:r>
            <w:r w:rsidR="00E42F66" w:rsidRPr="00A764A7">
              <w:rPr>
                <w:rFonts w:ascii="Times New Roman" w:eastAsia="Times New Roman" w:hAnsi="Times New Roman"/>
              </w:rPr>
              <w:t>la poziția distinctă ”Transferuri aferente Fondului Național de Preaderare” din bugetul Ministerulu</w:t>
            </w:r>
            <w:r w:rsidR="00885E1D" w:rsidRPr="00A764A7">
              <w:rPr>
                <w:rFonts w:ascii="Times New Roman" w:eastAsia="Times New Roman" w:hAnsi="Times New Roman"/>
              </w:rPr>
              <w:t>i Finanțelor - Acțiuni generale</w:t>
            </w:r>
            <w:r w:rsidR="00072AE7" w:rsidRPr="00A764A7">
              <w:rPr>
                <w:rFonts w:ascii="Times New Roman" w:eastAsia="Times New Roman" w:hAnsi="Times New Roman"/>
              </w:rPr>
              <w:t xml:space="preserve"> (MF-AG)</w:t>
            </w:r>
            <w:r w:rsidR="00885E1D" w:rsidRPr="00A764A7">
              <w:rPr>
                <w:rFonts w:ascii="Times New Roman" w:eastAsia="Times New Roman" w:hAnsi="Times New Roman"/>
              </w:rPr>
              <w:t>,</w:t>
            </w:r>
            <w:r w:rsidR="00072AE7" w:rsidRPr="00A764A7">
              <w:rPr>
                <w:rFonts w:ascii="Times New Roman" w:eastAsia="Times New Roman" w:hAnsi="Times New Roman"/>
              </w:rPr>
              <w:t xml:space="preserve"> </w:t>
            </w:r>
            <w:r w:rsidR="00D11188" w:rsidRPr="00A764A7">
              <w:rPr>
                <w:rFonts w:ascii="Times New Roman" w:eastAsia="Times New Roman" w:hAnsi="Times New Roman"/>
              </w:rPr>
              <w:t xml:space="preserve">după achitarea notelor de debit către CE, </w:t>
            </w:r>
            <w:r w:rsidR="00F146A1" w:rsidRPr="00A764A7">
              <w:rPr>
                <w:rFonts w:ascii="Times New Roman" w:eastAsia="Times New Roman" w:hAnsi="Times New Roman"/>
              </w:rPr>
              <w:t>cu ocazia închiderii</w:t>
            </w:r>
            <w:r w:rsidR="00D11188" w:rsidRPr="00A764A7">
              <w:rPr>
                <w:rFonts w:ascii="Times New Roman" w:eastAsia="Times New Roman" w:hAnsi="Times New Roman"/>
              </w:rPr>
              <w:t xml:space="preserve"> pr</w:t>
            </w:r>
            <w:r w:rsidR="002168D4" w:rsidRPr="00A764A7">
              <w:rPr>
                <w:rFonts w:ascii="Times New Roman" w:eastAsia="Times New Roman" w:hAnsi="Times New Roman"/>
              </w:rPr>
              <w:t>ogramelor PHARE, ISPA și SAPARD.</w:t>
            </w:r>
          </w:p>
          <w:p w:rsidR="00D11188" w:rsidRPr="00A764A7" w:rsidRDefault="007846F9" w:rsidP="003115EC">
            <w:pPr>
              <w:pStyle w:val="ListParagraph"/>
              <w:ind w:left="0"/>
              <w:jc w:val="both"/>
              <w:rPr>
                <w:rFonts w:ascii="Times New Roman" w:eastAsia="Times New Roman" w:hAnsi="Times New Roman"/>
              </w:rPr>
            </w:pPr>
            <w:r w:rsidRPr="00A764A7">
              <w:rPr>
                <w:rFonts w:ascii="Times New Roman" w:eastAsia="Times New Roman" w:hAnsi="Times New Roman"/>
              </w:rPr>
              <w:t xml:space="preserve">Transferul sumelor la bugetul de stat, </w:t>
            </w:r>
            <w:r w:rsidR="001C0B7B" w:rsidRPr="00A764A7">
              <w:rPr>
                <w:rFonts w:ascii="Times New Roman" w:eastAsia="Times New Roman" w:hAnsi="Times New Roman"/>
              </w:rPr>
              <w:t xml:space="preserve">pe </w:t>
            </w:r>
            <w:r w:rsidR="00F11C2E" w:rsidRPr="00A764A7">
              <w:rPr>
                <w:rFonts w:ascii="Times New Roman" w:eastAsia="Times New Roman" w:hAnsi="Times New Roman"/>
              </w:rPr>
              <w:t>codul de identificare fiscală</w:t>
            </w:r>
            <w:r w:rsidR="005F3AFE" w:rsidRPr="00A764A7">
              <w:rPr>
                <w:rFonts w:ascii="Times New Roman" w:eastAsia="Times New Roman" w:hAnsi="Times New Roman"/>
              </w:rPr>
              <w:t xml:space="preserve"> al MF</w:t>
            </w:r>
            <w:r w:rsidR="00072AE7" w:rsidRPr="00A764A7">
              <w:rPr>
                <w:rFonts w:ascii="Times New Roman" w:eastAsia="Times New Roman" w:hAnsi="Times New Roman"/>
              </w:rPr>
              <w:t xml:space="preserve"> </w:t>
            </w:r>
            <w:r w:rsidRPr="00A764A7">
              <w:rPr>
                <w:rFonts w:ascii="Times New Roman" w:eastAsia="Times New Roman" w:hAnsi="Times New Roman"/>
              </w:rPr>
              <w:t>în aplicarea prevederii legale propuse</w:t>
            </w:r>
            <w:r w:rsidR="001C0B7B" w:rsidRPr="00A764A7">
              <w:rPr>
                <w:rFonts w:ascii="Times New Roman" w:eastAsia="Times New Roman" w:hAnsi="Times New Roman"/>
              </w:rPr>
              <w:t>,</w:t>
            </w:r>
            <w:r w:rsidR="00072AE7" w:rsidRPr="00A764A7">
              <w:rPr>
                <w:rFonts w:ascii="Times New Roman" w:eastAsia="Times New Roman" w:hAnsi="Times New Roman"/>
              </w:rPr>
              <w:t xml:space="preserve"> </w:t>
            </w:r>
            <w:r w:rsidR="00513791" w:rsidRPr="00A764A7">
              <w:rPr>
                <w:rFonts w:ascii="Times New Roman" w:eastAsia="Times New Roman" w:hAnsi="Times New Roman"/>
              </w:rPr>
              <w:t xml:space="preserve">poate fi </w:t>
            </w:r>
            <w:r w:rsidRPr="00A764A7">
              <w:rPr>
                <w:rFonts w:ascii="Times New Roman" w:eastAsia="Times New Roman" w:hAnsi="Times New Roman"/>
              </w:rPr>
              <w:t>efectuat</w:t>
            </w:r>
            <w:r w:rsidR="00513791" w:rsidRPr="00A764A7">
              <w:rPr>
                <w:rFonts w:ascii="Times New Roman" w:eastAsia="Times New Roman" w:hAnsi="Times New Roman"/>
              </w:rPr>
              <w:t xml:space="preserve"> atât de ACP din cadrul M</w:t>
            </w:r>
            <w:r w:rsidR="00873BED" w:rsidRPr="00A764A7">
              <w:rPr>
                <w:rFonts w:ascii="Times New Roman" w:eastAsia="Times New Roman" w:hAnsi="Times New Roman"/>
              </w:rPr>
              <w:t>F</w:t>
            </w:r>
            <w:r w:rsidRPr="00A764A7">
              <w:rPr>
                <w:rFonts w:ascii="Times New Roman" w:eastAsia="Times New Roman" w:hAnsi="Times New Roman"/>
              </w:rPr>
              <w:t xml:space="preserve">, cât și de structurile de implementare </w:t>
            </w:r>
            <w:r w:rsidR="00873BED" w:rsidRPr="00A764A7">
              <w:rPr>
                <w:rFonts w:ascii="Times New Roman" w:eastAsia="Times New Roman" w:hAnsi="Times New Roman"/>
              </w:rPr>
              <w:t>(</w:t>
            </w:r>
            <w:r w:rsidR="005F3AFE" w:rsidRPr="00A764A7">
              <w:rPr>
                <w:rFonts w:ascii="Times New Roman" w:eastAsia="Times New Roman" w:hAnsi="Times New Roman"/>
              </w:rPr>
              <w:t xml:space="preserve">adică de </w:t>
            </w:r>
            <w:r w:rsidR="00873BED" w:rsidRPr="00A764A7">
              <w:rPr>
                <w:rFonts w:ascii="Times New Roman" w:eastAsia="Times New Roman" w:hAnsi="Times New Roman"/>
              </w:rPr>
              <w:t>agențiile de implementare care funcționează în cadrul sau în subordinea, după caz, a MIPE, MDLPA, MT, MADR</w:t>
            </w:r>
            <w:r w:rsidR="00FE3679" w:rsidRPr="00A764A7">
              <w:rPr>
                <w:rFonts w:ascii="Times New Roman" w:eastAsia="Times New Roman" w:hAnsi="Times New Roman"/>
              </w:rPr>
              <w:t>)</w:t>
            </w:r>
            <w:r w:rsidR="00072AE7" w:rsidRPr="00A764A7">
              <w:rPr>
                <w:rFonts w:ascii="Times New Roman" w:eastAsia="Times New Roman" w:hAnsi="Times New Roman"/>
              </w:rPr>
              <w:t xml:space="preserve"> </w:t>
            </w:r>
            <w:r w:rsidRPr="00A764A7">
              <w:rPr>
                <w:rFonts w:ascii="Times New Roman" w:eastAsia="Times New Roman" w:hAnsi="Times New Roman"/>
              </w:rPr>
              <w:t>ale programelor PHARE, ISPA, SAPARD</w:t>
            </w:r>
            <w:r w:rsidR="001C0B7B" w:rsidRPr="00A764A7">
              <w:rPr>
                <w:rFonts w:ascii="Times New Roman" w:eastAsia="Times New Roman" w:hAnsi="Times New Roman"/>
              </w:rPr>
              <w:t xml:space="preserve">, </w:t>
            </w:r>
            <w:r w:rsidR="001C0B7B" w:rsidRPr="00A764A7">
              <w:rPr>
                <w:rFonts w:ascii="Times New Roman" w:eastAsia="Times New Roman" w:hAnsi="Times New Roman"/>
              </w:rPr>
              <w:lastRenderedPageBreak/>
              <w:t>fiecare pentru propriile conturi</w:t>
            </w:r>
            <w:r w:rsidR="00FE3679" w:rsidRPr="00A764A7">
              <w:rPr>
                <w:rFonts w:ascii="Times New Roman" w:eastAsia="Times New Roman" w:hAnsi="Times New Roman"/>
              </w:rPr>
              <w:t xml:space="preserve"> deschise in ba</w:t>
            </w:r>
            <w:r w:rsidR="005F3AFE" w:rsidRPr="00A764A7">
              <w:rPr>
                <w:rFonts w:ascii="Times New Roman" w:eastAsia="Times New Roman" w:hAnsi="Times New Roman"/>
              </w:rPr>
              <w:t>n</w:t>
            </w:r>
            <w:r w:rsidR="00FE3679" w:rsidRPr="00A764A7">
              <w:rPr>
                <w:rFonts w:ascii="Times New Roman" w:eastAsia="Times New Roman" w:hAnsi="Times New Roman"/>
              </w:rPr>
              <w:t>ca comercială</w:t>
            </w:r>
            <w:r w:rsidR="001C0B7B" w:rsidRPr="00A764A7">
              <w:rPr>
                <w:rFonts w:ascii="Times New Roman" w:eastAsia="Times New Roman" w:hAnsi="Times New Roman"/>
              </w:rPr>
              <w:t>, dar</w:t>
            </w:r>
            <w:r w:rsidR="00072AE7" w:rsidRPr="00A764A7">
              <w:rPr>
                <w:rFonts w:ascii="Times New Roman" w:eastAsia="Times New Roman" w:hAnsi="Times New Roman"/>
              </w:rPr>
              <w:t xml:space="preserve"> </w:t>
            </w:r>
            <w:r w:rsidR="00FE3679" w:rsidRPr="00A764A7">
              <w:rPr>
                <w:rFonts w:ascii="Times New Roman" w:eastAsia="Times New Roman" w:hAnsi="Times New Roman"/>
              </w:rPr>
              <w:t>pentru care ACP-MF este titular de cont, iar respectivele agenții au drept de operare în conturile deschise pentru acestea</w:t>
            </w:r>
            <w:r w:rsidR="001C0B7B" w:rsidRPr="00A764A7">
              <w:rPr>
                <w:rFonts w:ascii="Times New Roman" w:eastAsia="Times New Roman" w:hAnsi="Times New Roman"/>
              </w:rPr>
              <w:t xml:space="preserve"> din urmă</w:t>
            </w:r>
            <w:r w:rsidR="00FE3679" w:rsidRPr="00A764A7">
              <w:rPr>
                <w:rFonts w:ascii="Times New Roman" w:eastAsia="Times New Roman" w:hAnsi="Times New Roman"/>
              </w:rPr>
              <w:t>.</w:t>
            </w:r>
          </w:p>
          <w:p w:rsidR="00D11188" w:rsidRPr="00A764A7" w:rsidRDefault="00D11188" w:rsidP="00744695">
            <w:pPr>
              <w:pStyle w:val="Default"/>
              <w:jc w:val="both"/>
              <w:rPr>
                <w:sz w:val="12"/>
                <w:szCs w:val="12"/>
                <w:lang w:val="ro-RO"/>
              </w:rPr>
            </w:pPr>
          </w:p>
          <w:p w:rsidR="00744695" w:rsidRPr="00A764A7" w:rsidRDefault="00744695" w:rsidP="00744695">
            <w:pPr>
              <w:pStyle w:val="Default"/>
              <w:jc w:val="both"/>
              <w:rPr>
                <w:lang w:val="ro-RO"/>
              </w:rPr>
            </w:pPr>
            <w:r w:rsidRPr="00A764A7">
              <w:rPr>
                <w:lang w:val="ro-RO"/>
              </w:rPr>
              <w:t xml:space="preserve">Totodată, menționăm că, având în vedere închiderea programului SAPARD, este necesară reglementarea obligativității de alocare a sumelor în bugetul MADR (ordonator de credite pentru structura de implementare a programului) pentru a fi returnate la bugetul de stat-bugetul MF-AG. Din acesta din urmă au fost inițial plătite sume pentru a reîntregi Contul Euro SAPARD cu debite nerecuperate de la beneficiarii debitori în termen de doi ani de la constituire. Ca urmare a deciziilor definitive ale instanțelor de judecată în favoarea beneficiarilor rezultă imposibilitatea recuperării sumelor datorate MF-AG, fiind necesară alocarea acestora în bugetul </w:t>
            </w:r>
            <w:r w:rsidR="00072AE7" w:rsidRPr="00A764A7">
              <w:rPr>
                <w:lang w:val="ro-RO"/>
              </w:rPr>
              <w:t>Ministerului Agriculturii și Dezvoltării Rurale</w:t>
            </w:r>
            <w:r w:rsidRPr="00A764A7">
              <w:rPr>
                <w:lang w:val="ro-RO"/>
              </w:rPr>
              <w:t xml:space="preserve"> în scopul reîntregirii bugetului MF-AG. </w:t>
            </w:r>
          </w:p>
          <w:p w:rsidR="00744695" w:rsidRPr="00A764A7" w:rsidRDefault="00744695" w:rsidP="00744695">
            <w:pPr>
              <w:pStyle w:val="Default"/>
              <w:jc w:val="both"/>
              <w:rPr>
                <w:sz w:val="12"/>
                <w:szCs w:val="12"/>
                <w:lang w:val="ro-RO"/>
              </w:rPr>
            </w:pPr>
          </w:p>
          <w:p w:rsidR="00483E6F" w:rsidRPr="00A764A7" w:rsidRDefault="00156646" w:rsidP="00744695">
            <w:pPr>
              <w:pStyle w:val="Default"/>
              <w:jc w:val="both"/>
              <w:rPr>
                <w:lang w:val="ro-RO"/>
              </w:rPr>
            </w:pPr>
            <w:r w:rsidRPr="00A764A7">
              <w:rPr>
                <w:lang w:val="ro-RO"/>
              </w:rPr>
              <w:t>În conformitate cu prevederile art. 14.2.8 din Secțiunea A a</w:t>
            </w:r>
            <w:r w:rsidR="00072AE7" w:rsidRPr="00A764A7">
              <w:rPr>
                <w:lang w:val="ro-RO"/>
              </w:rPr>
              <w:t xml:space="preserve"> </w:t>
            </w:r>
            <w:r w:rsidR="000B00B0" w:rsidRPr="00A764A7">
              <w:rPr>
                <w:lang w:val="ro-RO"/>
              </w:rPr>
              <w:t xml:space="preserve">Anexei </w:t>
            </w:r>
            <w:r w:rsidRPr="00A764A7">
              <w:rPr>
                <w:lang w:val="ro-RO"/>
              </w:rPr>
              <w:t>Acordului Multianual de Finanțare</w:t>
            </w:r>
            <w:r w:rsidR="003107D9" w:rsidRPr="00A764A7">
              <w:rPr>
                <w:lang w:val="ro-RO"/>
              </w:rPr>
              <w:t xml:space="preserve"> (MAFA)</w:t>
            </w:r>
            <w:r w:rsidRPr="00A764A7">
              <w:rPr>
                <w:lang w:val="ro-RO"/>
              </w:rPr>
              <w:t xml:space="preserve">, aprobat prin Legea </w:t>
            </w:r>
            <w:r w:rsidR="00201B47" w:rsidRPr="00A764A7">
              <w:rPr>
                <w:lang w:val="ro-RO"/>
              </w:rPr>
              <w:t xml:space="preserve">nr. </w:t>
            </w:r>
            <w:r w:rsidRPr="00A764A7">
              <w:rPr>
                <w:lang w:val="ro-RO"/>
              </w:rPr>
              <w:t xml:space="preserve">316/2001 pentru ratificarea Acordului multianual de finanțare dintre Guvernul României şi Comisia Comunităților Europene, semnat la Bruxelles la 2 februarie 2001, cu modificările și completările ulterioare, </w:t>
            </w:r>
            <w:r w:rsidR="00F028AF" w:rsidRPr="00A764A7">
              <w:rPr>
                <w:lang w:val="ro-RO"/>
              </w:rPr>
              <w:t>referitoare la</w:t>
            </w:r>
            <w:r w:rsidRPr="00A764A7">
              <w:rPr>
                <w:lang w:val="ro-RO"/>
              </w:rPr>
              <w:t xml:space="preserve"> anularea contribuției comunitare la împlinirea a doi ani de la constituirea debitelor</w:t>
            </w:r>
            <w:r w:rsidR="00F028AF" w:rsidRPr="00A764A7">
              <w:rPr>
                <w:lang w:val="ro-RO"/>
              </w:rPr>
              <w:t xml:space="preserve">, aceasta presupune în practică </w:t>
            </w:r>
            <w:r w:rsidR="002B6F5C" w:rsidRPr="00A764A7">
              <w:rPr>
                <w:lang w:val="ro-RO"/>
              </w:rPr>
              <w:t xml:space="preserve">reîntregirea </w:t>
            </w:r>
            <w:r w:rsidR="003051B2" w:rsidRPr="00A764A7">
              <w:rPr>
                <w:lang w:val="ro-RO"/>
              </w:rPr>
              <w:t xml:space="preserve">de la bugetul de stat a </w:t>
            </w:r>
            <w:r w:rsidR="002B6F5C" w:rsidRPr="00A764A7">
              <w:rPr>
                <w:lang w:val="ro-RO"/>
              </w:rPr>
              <w:t xml:space="preserve">contului aferent contribuției comunitare datorate Comisiei Europene </w:t>
            </w:r>
            <w:r w:rsidR="002D715F" w:rsidRPr="00A764A7">
              <w:rPr>
                <w:lang w:val="ro-RO"/>
              </w:rPr>
              <w:t xml:space="preserve">(ESA) </w:t>
            </w:r>
            <w:r w:rsidR="002B6F5C" w:rsidRPr="00A764A7">
              <w:rPr>
                <w:lang w:val="ro-RO"/>
              </w:rPr>
              <w:t>pentru respectivele debite nerecuperate de la beneficiari</w:t>
            </w:r>
            <w:r w:rsidR="00072AE7" w:rsidRPr="00A764A7">
              <w:rPr>
                <w:lang w:val="ro-RO"/>
              </w:rPr>
              <w:t xml:space="preserve"> </w:t>
            </w:r>
            <w:r w:rsidR="00201B47" w:rsidRPr="00A764A7">
              <w:rPr>
                <w:lang w:val="ro-RO"/>
              </w:rPr>
              <w:t>î</w:t>
            </w:r>
            <w:r w:rsidR="003051B2" w:rsidRPr="00A764A7">
              <w:rPr>
                <w:lang w:val="ro-RO"/>
              </w:rPr>
              <w:t>n termenul menționat</w:t>
            </w:r>
            <w:r w:rsidR="00C50F3F" w:rsidRPr="00A764A7">
              <w:rPr>
                <w:lang w:val="ro-RO"/>
              </w:rPr>
              <w:t xml:space="preserve">. </w:t>
            </w:r>
            <w:r w:rsidR="00A111D2" w:rsidRPr="00A764A7">
              <w:rPr>
                <w:lang w:val="ro-RO"/>
              </w:rPr>
              <w:t>Ulterior recuperării de la debitori</w:t>
            </w:r>
            <w:r w:rsidR="00201B47" w:rsidRPr="00A764A7">
              <w:rPr>
                <w:lang w:val="ro-RO"/>
              </w:rPr>
              <w:t>,</w:t>
            </w:r>
            <w:r w:rsidR="00D93993" w:rsidRPr="00A764A7">
              <w:rPr>
                <w:lang w:val="ro-RO"/>
              </w:rPr>
              <w:t xml:space="preserve"> sumele respective se restituie bugetului de stat.</w:t>
            </w:r>
          </w:p>
          <w:p w:rsidR="00100FA3" w:rsidRPr="00A764A7" w:rsidRDefault="005B5D81" w:rsidP="00100FA3">
            <w:pPr>
              <w:jc w:val="both"/>
            </w:pPr>
            <w:r w:rsidRPr="00A764A7">
              <w:t xml:space="preserve">În procesul de închidere a programului SAPARD, ca urmare a corespondenței cu autoritățile române, CE a emis </w:t>
            </w:r>
            <w:r w:rsidRPr="00A764A7">
              <w:rPr>
                <w:i/>
              </w:rPr>
              <w:t>Decizia de punere în aplicare nr. 8019/23.11.2020 privind cheltuielile imputabile Programului SAPARD de către România în perioada 2001-2009 și de stabilire a soldului final care trebuie plătit sau recuperat</w:t>
            </w:r>
            <w:r w:rsidRPr="00A764A7">
              <w:t xml:space="preserve">. </w:t>
            </w:r>
          </w:p>
          <w:p w:rsidR="005B5D81" w:rsidRPr="00A764A7" w:rsidRDefault="005B5D81" w:rsidP="00100FA3">
            <w:pPr>
              <w:jc w:val="both"/>
            </w:pPr>
            <w:r w:rsidRPr="00A764A7">
              <w:t>Sumele datorate de România conform Deciziei menționate:</w:t>
            </w:r>
          </w:p>
          <w:p w:rsidR="005B5D81" w:rsidRPr="00A764A7" w:rsidRDefault="005B5D81" w:rsidP="00201B47">
            <w:pPr>
              <w:pStyle w:val="ListParagraph"/>
              <w:numPr>
                <w:ilvl w:val="0"/>
                <w:numId w:val="14"/>
              </w:numPr>
              <w:jc w:val="both"/>
              <w:rPr>
                <w:rFonts w:ascii="Times New Roman" w:hAnsi="Times New Roman" w:cs="Times New Roman"/>
                <w:lang w:val="en-US"/>
              </w:rPr>
            </w:pPr>
            <w:r w:rsidRPr="00A764A7">
              <w:rPr>
                <w:rFonts w:ascii="Times New Roman" w:hAnsi="Times New Roman" w:cs="Times New Roman"/>
              </w:rPr>
              <w:t>au fost achitate integral în data de 25 martie 2021, ca urmare a notei de debit finale emisă de CE;</w:t>
            </w:r>
          </w:p>
          <w:p w:rsidR="005B5D81" w:rsidRPr="00A764A7" w:rsidRDefault="005B5D81" w:rsidP="00201B47">
            <w:pPr>
              <w:pStyle w:val="ListParagraph"/>
              <w:numPr>
                <w:ilvl w:val="0"/>
                <w:numId w:val="14"/>
              </w:numPr>
              <w:jc w:val="both"/>
              <w:rPr>
                <w:rFonts w:ascii="Times New Roman" w:hAnsi="Times New Roman" w:cs="Times New Roman"/>
              </w:rPr>
            </w:pPr>
            <w:r w:rsidRPr="00A764A7">
              <w:rPr>
                <w:rFonts w:ascii="Times New Roman" w:hAnsi="Times New Roman" w:cs="Times New Roman"/>
              </w:rPr>
              <w:t>iau în considerare si debitele cărora li s-au aplicat prevederile art</w:t>
            </w:r>
            <w:r w:rsidR="00201B47" w:rsidRPr="00A764A7">
              <w:rPr>
                <w:rFonts w:ascii="Times New Roman" w:hAnsi="Times New Roman" w:cs="Times New Roman"/>
              </w:rPr>
              <w:t>.</w:t>
            </w:r>
            <w:r w:rsidRPr="00A764A7">
              <w:rPr>
                <w:rFonts w:ascii="Times New Roman" w:hAnsi="Times New Roman" w:cs="Times New Roman"/>
              </w:rPr>
              <w:t xml:space="preserve"> 14.2.8 mai sus amintit, însă numai până la data de 31.12</w:t>
            </w:r>
            <w:r w:rsidR="00201B47" w:rsidRPr="00A764A7">
              <w:rPr>
                <w:rFonts w:ascii="Times New Roman" w:hAnsi="Times New Roman" w:cs="Times New Roman"/>
              </w:rPr>
              <w:t>.</w:t>
            </w:r>
            <w:r w:rsidRPr="00A764A7">
              <w:rPr>
                <w:rFonts w:ascii="Times New Roman" w:hAnsi="Times New Roman" w:cs="Times New Roman"/>
              </w:rPr>
              <w:t>2016, conform clarificărilor primite de la CE în 2020.</w:t>
            </w:r>
          </w:p>
          <w:p w:rsidR="00CB78B0" w:rsidRPr="00A764A7" w:rsidRDefault="00072AE7" w:rsidP="00744695">
            <w:pPr>
              <w:pStyle w:val="Default"/>
              <w:jc w:val="both"/>
              <w:rPr>
                <w:lang w:val="ro-RO"/>
              </w:rPr>
            </w:pPr>
            <w:r w:rsidRPr="00A764A7">
              <w:rPr>
                <w:lang w:val="ro-RO"/>
              </w:rPr>
              <w:t>Totuși</w:t>
            </w:r>
            <w:r w:rsidR="00CB78B0" w:rsidRPr="00A764A7">
              <w:rPr>
                <w:lang w:val="ro-RO"/>
              </w:rPr>
              <w:t xml:space="preserve">, în lipsa unor reglementări detaliate/specifice din punctul de vedere al termenului </w:t>
            </w:r>
            <w:r w:rsidR="00E33BEC" w:rsidRPr="00A764A7">
              <w:rPr>
                <w:lang w:val="ro-RO"/>
              </w:rPr>
              <w:t xml:space="preserve">limită </w:t>
            </w:r>
            <w:r w:rsidR="00CB78B0" w:rsidRPr="00A764A7">
              <w:rPr>
                <w:lang w:val="ro-RO"/>
              </w:rPr>
              <w:t xml:space="preserve">de aplicare a </w:t>
            </w:r>
            <w:r w:rsidR="00E33BEC" w:rsidRPr="00A764A7">
              <w:rPr>
                <w:lang w:val="ro-RO"/>
              </w:rPr>
              <w:t xml:space="preserve">prevederilor </w:t>
            </w:r>
            <w:r w:rsidR="00CB78B0" w:rsidRPr="00A764A7">
              <w:rPr>
                <w:lang w:val="ro-RO"/>
              </w:rPr>
              <w:t>art</w:t>
            </w:r>
            <w:r w:rsidR="00201B47" w:rsidRPr="00A764A7">
              <w:rPr>
                <w:lang w:val="ro-RO"/>
              </w:rPr>
              <w:t>.</w:t>
            </w:r>
            <w:r w:rsidR="00CB78B0" w:rsidRPr="00A764A7">
              <w:rPr>
                <w:lang w:val="ro-RO"/>
              </w:rPr>
              <w:t xml:space="preserve"> 14.2.8</w:t>
            </w:r>
            <w:r w:rsidR="00E33BEC" w:rsidRPr="00A764A7">
              <w:rPr>
                <w:lang w:val="ro-RO"/>
              </w:rPr>
              <w:t>, acestea au continuat să fie aplicate</w:t>
            </w:r>
            <w:r w:rsidR="005B5D81" w:rsidRPr="00A764A7">
              <w:rPr>
                <w:lang w:val="ro-RO"/>
              </w:rPr>
              <w:t xml:space="preserve"> de structurile naționale de implementare a programului</w:t>
            </w:r>
            <w:r w:rsidR="00E33BEC" w:rsidRPr="00A764A7">
              <w:rPr>
                <w:lang w:val="ro-RO"/>
              </w:rPr>
              <w:t>, conform cadrului legal si procedural, și după data de 31.12.2</w:t>
            </w:r>
            <w:r w:rsidR="002D715F" w:rsidRPr="00A764A7">
              <w:rPr>
                <w:lang w:val="ro-RO"/>
              </w:rPr>
              <w:t>0</w:t>
            </w:r>
            <w:r w:rsidR="00E33BEC" w:rsidRPr="00A764A7">
              <w:rPr>
                <w:lang w:val="ro-RO"/>
              </w:rPr>
              <w:t>16</w:t>
            </w:r>
            <w:r w:rsidR="002D715F" w:rsidRPr="00A764A7">
              <w:rPr>
                <w:lang w:val="ro-RO"/>
              </w:rPr>
              <w:t>,</w:t>
            </w:r>
            <w:r w:rsidR="00D619C3" w:rsidRPr="00A764A7">
              <w:rPr>
                <w:lang w:val="ro-RO"/>
              </w:rPr>
              <w:t xml:space="preserve"> iar</w:t>
            </w:r>
            <w:r w:rsidR="002D715F" w:rsidRPr="00A764A7">
              <w:rPr>
                <w:lang w:val="ro-RO"/>
              </w:rPr>
              <w:t xml:space="preserve"> sumele cu care a fost reîntregit ESA și care nu au mai fost solic</w:t>
            </w:r>
            <w:r w:rsidR="002F7B79" w:rsidRPr="00A764A7">
              <w:rPr>
                <w:lang w:val="ro-RO"/>
              </w:rPr>
              <w:t xml:space="preserve">itate spre returnare de către CE sunt parte a disponibilului acestui cont </w:t>
            </w:r>
            <w:r w:rsidR="00D619C3" w:rsidRPr="00A764A7">
              <w:rPr>
                <w:lang w:val="ro-RO"/>
              </w:rPr>
              <w:t>rămas</w:t>
            </w:r>
            <w:r w:rsidR="002F7B79" w:rsidRPr="00A764A7">
              <w:rPr>
                <w:lang w:val="ro-RO"/>
              </w:rPr>
              <w:t xml:space="preserve"> după achitarea notei de debit și pentru care este necesară stabilirea destinației prin prezentul proiect de lege.</w:t>
            </w:r>
          </w:p>
          <w:p w:rsidR="002F7B79" w:rsidRPr="00A764A7" w:rsidRDefault="002F7B79" w:rsidP="00201B47">
            <w:pPr>
              <w:autoSpaceDE w:val="0"/>
              <w:autoSpaceDN w:val="0"/>
              <w:adjustRightInd w:val="0"/>
              <w:jc w:val="both"/>
            </w:pPr>
            <w:r w:rsidRPr="00A764A7">
              <w:t>În același timp</w:t>
            </w:r>
            <w:r w:rsidR="001575DC" w:rsidRPr="00A764A7">
              <w:t xml:space="preserve">, pentru debitele constituite sau care vor fi constituite în cadrul programului, în baza prevederilor OUG </w:t>
            </w:r>
            <w:r w:rsidR="00201B47" w:rsidRPr="00A764A7">
              <w:t xml:space="preserve">nr. </w:t>
            </w:r>
            <w:r w:rsidR="001575DC" w:rsidRPr="00A764A7">
              <w:t xml:space="preserve">66/2011 </w:t>
            </w:r>
            <w:r w:rsidR="00201B47" w:rsidRPr="00A764A7">
              <w:t>privind prevenirea, constatarea şi</w:t>
            </w:r>
            <w:r w:rsidR="00072AE7" w:rsidRPr="00A764A7">
              <w:t xml:space="preserve"> </w:t>
            </w:r>
            <w:r w:rsidR="00201B47" w:rsidRPr="00A764A7">
              <w:t>sancţionarea neregulilor apărute în obţinerea</w:t>
            </w:r>
            <w:r w:rsidR="00072AE7" w:rsidRPr="00A764A7">
              <w:t xml:space="preserve"> </w:t>
            </w:r>
            <w:r w:rsidR="00201B47" w:rsidRPr="00A764A7">
              <w:t xml:space="preserve">şi utilizarea fondurilor europene şi/sau a fondurilor publice naţionale aferente acestora, </w:t>
            </w:r>
            <w:r w:rsidR="001575DC" w:rsidRPr="00A764A7">
              <w:t xml:space="preserve">cu modificările și completările ulterioare, </w:t>
            </w:r>
            <w:r w:rsidR="00E840D1" w:rsidRPr="00A764A7">
              <w:t xml:space="preserve">pentru care termenul de doi ani nu s-a împlinit înainte de intrarea în vigoare a prezentei propuneri de modificare a OUG 63/1999, </w:t>
            </w:r>
            <w:r w:rsidR="003107D9" w:rsidRPr="00A764A7">
              <w:t>nu mai este necesară aplicarea prevederilor art</w:t>
            </w:r>
            <w:r w:rsidR="00201B47" w:rsidRPr="00A764A7">
              <w:t>.</w:t>
            </w:r>
            <w:r w:rsidR="003107D9" w:rsidRPr="00A764A7">
              <w:t xml:space="preserve"> 14.2.8 al MAFA</w:t>
            </w:r>
            <w:r w:rsidR="00072AE7" w:rsidRPr="00A764A7">
              <w:t xml:space="preserve"> </w:t>
            </w:r>
            <w:r w:rsidR="007570E9" w:rsidRPr="00A764A7">
              <w:t>(reîntregirea ESA din sume de la bugetul de stat)</w:t>
            </w:r>
            <w:r w:rsidR="003107D9" w:rsidRPr="00A764A7">
              <w:t xml:space="preserve"> întrucât</w:t>
            </w:r>
            <w:r w:rsidR="00072AE7" w:rsidRPr="00A764A7">
              <w:t xml:space="preserve"> </w:t>
            </w:r>
            <w:r w:rsidR="005737A7" w:rsidRPr="00A764A7">
              <w:t>debitele</w:t>
            </w:r>
            <w:r w:rsidR="00072AE7" w:rsidRPr="00A764A7">
              <w:t xml:space="preserve"> </w:t>
            </w:r>
            <w:r w:rsidR="00491ACE" w:rsidRPr="00A764A7">
              <w:t xml:space="preserve">respective nu mai sunt datorate CE, </w:t>
            </w:r>
            <w:r w:rsidR="007570E9" w:rsidRPr="00A764A7">
              <w:t xml:space="preserve">iar </w:t>
            </w:r>
            <w:r w:rsidR="005737A7" w:rsidRPr="00A764A7">
              <w:t>după</w:t>
            </w:r>
            <w:r w:rsidR="007570E9" w:rsidRPr="00A764A7">
              <w:t xml:space="preserve"> recuperarea efectivă de la beneficiari </w:t>
            </w:r>
            <w:r w:rsidR="005737A7" w:rsidRPr="00A764A7">
              <w:t>destinația acestora</w:t>
            </w:r>
            <w:r w:rsidR="00072AE7" w:rsidRPr="00A764A7">
              <w:t xml:space="preserve"> </w:t>
            </w:r>
            <w:r w:rsidR="007570E9" w:rsidRPr="00A764A7">
              <w:t>trebuie stabilit</w:t>
            </w:r>
            <w:r w:rsidR="005737A7" w:rsidRPr="00A764A7">
              <w:t>ă</w:t>
            </w:r>
            <w:r w:rsidR="007570E9" w:rsidRPr="00A764A7">
              <w:t xml:space="preserve"> în prezentul proiect de act normativ</w:t>
            </w:r>
            <w:r w:rsidR="005737A7" w:rsidRPr="00A764A7">
              <w:t>.</w:t>
            </w:r>
          </w:p>
          <w:p w:rsidR="005737A7" w:rsidRPr="00A764A7" w:rsidRDefault="005737A7" w:rsidP="00744695">
            <w:pPr>
              <w:pStyle w:val="Default"/>
              <w:jc w:val="both"/>
              <w:rPr>
                <w:sz w:val="12"/>
                <w:szCs w:val="12"/>
                <w:lang w:val="ro-RO"/>
              </w:rPr>
            </w:pPr>
          </w:p>
          <w:p w:rsidR="002E5D64" w:rsidRPr="00A764A7" w:rsidRDefault="00072AE7" w:rsidP="00744695">
            <w:pPr>
              <w:pStyle w:val="Default"/>
              <w:jc w:val="both"/>
              <w:rPr>
                <w:lang w:val="ro-RO"/>
              </w:rPr>
            </w:pPr>
            <w:r w:rsidRPr="00A764A7">
              <w:rPr>
                <w:lang w:val="ro-RO"/>
              </w:rPr>
              <w:t>Prin urmare, deș</w:t>
            </w:r>
            <w:r w:rsidR="0088093A" w:rsidRPr="00A764A7">
              <w:rPr>
                <w:lang w:val="ro-RO"/>
              </w:rPr>
              <w:t>i</w:t>
            </w:r>
            <w:r w:rsidRPr="00A764A7">
              <w:rPr>
                <w:lang w:val="ro-RO"/>
              </w:rPr>
              <w:t xml:space="preserve"> </w:t>
            </w:r>
            <w:r w:rsidR="0088093A" w:rsidRPr="00A764A7">
              <w:rPr>
                <w:lang w:val="ro-RO"/>
              </w:rPr>
              <w:t>MAFA</w:t>
            </w:r>
            <w:r w:rsidRPr="00A764A7">
              <w:rPr>
                <w:lang w:val="ro-RO"/>
              </w:rPr>
              <w:t xml:space="preserve"> </w:t>
            </w:r>
            <w:r w:rsidR="0088093A" w:rsidRPr="00A764A7">
              <w:rPr>
                <w:lang w:val="ro-RO"/>
              </w:rPr>
              <w:t xml:space="preserve">este un acord internațional </w:t>
            </w:r>
            <w:r w:rsidR="00772C8C" w:rsidRPr="00A764A7">
              <w:rPr>
                <w:lang w:val="ro-RO"/>
              </w:rPr>
              <w:t xml:space="preserve">a cărui valabilitate nu s-a încheiat, </w:t>
            </w:r>
            <w:r w:rsidR="008973A3" w:rsidRPr="00A764A7">
              <w:rPr>
                <w:lang w:val="ro-RO"/>
              </w:rPr>
              <w:t xml:space="preserve">reglajele cu CE sunt deja finalizate, </w:t>
            </w:r>
            <w:r w:rsidR="002E5D64" w:rsidRPr="00A764A7">
              <w:rPr>
                <w:lang w:val="ro-RO"/>
              </w:rPr>
              <w:t xml:space="preserve">programul SAPARD </w:t>
            </w:r>
            <w:r w:rsidR="008973A3" w:rsidRPr="00A764A7">
              <w:rPr>
                <w:lang w:val="ro-RO"/>
              </w:rPr>
              <w:t>fiind</w:t>
            </w:r>
            <w:r w:rsidR="002E5D64" w:rsidRPr="00A764A7">
              <w:rPr>
                <w:lang w:val="ro-RO"/>
              </w:rPr>
              <w:t xml:space="preserve"> considerat închis de către CE după achitarea notei finale de debit (25.03.2021</w:t>
            </w:r>
            <w:r w:rsidR="008973A3" w:rsidRPr="00A764A7">
              <w:rPr>
                <w:lang w:val="ro-RO"/>
              </w:rPr>
              <w:t>)</w:t>
            </w:r>
            <w:r w:rsidR="000B00B0" w:rsidRPr="00A764A7">
              <w:rPr>
                <w:lang w:val="ro-RO"/>
              </w:rPr>
              <w:t>.</w:t>
            </w:r>
            <w:r w:rsidR="005D3F36">
              <w:rPr>
                <w:lang w:val="ro-RO"/>
              </w:rPr>
              <w:t xml:space="preserve"> </w:t>
            </w:r>
            <w:r w:rsidR="000B00B0" w:rsidRPr="00A764A7">
              <w:rPr>
                <w:lang w:val="ro-RO"/>
              </w:rPr>
              <w:t xml:space="preserve">De aceea, prevederile </w:t>
            </w:r>
            <w:r w:rsidR="008973A3" w:rsidRPr="00A764A7">
              <w:rPr>
                <w:lang w:val="ro-RO"/>
              </w:rPr>
              <w:t>art</w:t>
            </w:r>
            <w:r w:rsidR="00201B47" w:rsidRPr="00A764A7">
              <w:rPr>
                <w:lang w:val="ro-RO"/>
              </w:rPr>
              <w:t>.</w:t>
            </w:r>
            <w:r w:rsidR="008973A3" w:rsidRPr="00A764A7">
              <w:rPr>
                <w:lang w:val="ro-RO"/>
              </w:rPr>
              <w:t xml:space="preserve"> 14.</w:t>
            </w:r>
            <w:r w:rsidRPr="00A764A7">
              <w:rPr>
                <w:lang w:val="ro-RO"/>
              </w:rPr>
              <w:t>2.8 din secți</w:t>
            </w:r>
            <w:r w:rsidR="008973A3" w:rsidRPr="00A764A7">
              <w:rPr>
                <w:lang w:val="ro-RO"/>
              </w:rPr>
              <w:t>unea A a</w:t>
            </w:r>
            <w:r w:rsidRPr="00A764A7">
              <w:rPr>
                <w:lang w:val="ro-RO"/>
              </w:rPr>
              <w:t xml:space="preserve"> </w:t>
            </w:r>
            <w:r w:rsidR="000B00B0" w:rsidRPr="00A764A7">
              <w:rPr>
                <w:lang w:val="ro-RO"/>
              </w:rPr>
              <w:t xml:space="preserve">Anexei </w:t>
            </w:r>
            <w:r w:rsidR="008973A3" w:rsidRPr="00A764A7">
              <w:rPr>
                <w:lang w:val="ro-RO"/>
              </w:rPr>
              <w:t>acestuia nu mai a</w:t>
            </w:r>
            <w:r w:rsidR="000B00B0" w:rsidRPr="00A764A7">
              <w:rPr>
                <w:lang w:val="ro-RO"/>
              </w:rPr>
              <w:t>u</w:t>
            </w:r>
            <w:r w:rsidR="008973A3" w:rsidRPr="00A764A7">
              <w:rPr>
                <w:lang w:val="ro-RO"/>
              </w:rPr>
              <w:t xml:space="preserve"> practic obiect/aplicabilitate, fiind necesară</w:t>
            </w:r>
            <w:r w:rsidRPr="00A764A7">
              <w:rPr>
                <w:lang w:val="ro-RO"/>
              </w:rPr>
              <w:t xml:space="preserve"> </w:t>
            </w:r>
            <w:r w:rsidR="008B6B82" w:rsidRPr="00A764A7">
              <w:rPr>
                <w:lang w:val="ro-RO"/>
              </w:rPr>
              <w:t>reglementarea expresă a</w:t>
            </w:r>
            <w:r w:rsidRPr="00A764A7">
              <w:rPr>
                <w:lang w:val="ro-RO"/>
              </w:rPr>
              <w:t xml:space="preserve"> </w:t>
            </w:r>
            <w:r w:rsidR="008973A3" w:rsidRPr="00A764A7">
              <w:rPr>
                <w:lang w:val="ro-RO"/>
              </w:rPr>
              <w:t>acestui aspect</w:t>
            </w:r>
            <w:r w:rsidRPr="00A764A7">
              <w:rPr>
                <w:lang w:val="ro-RO"/>
              </w:rPr>
              <w:t xml:space="preserve"> </w:t>
            </w:r>
            <w:r w:rsidR="008B6B82" w:rsidRPr="00A764A7">
              <w:rPr>
                <w:lang w:val="ro-RO"/>
              </w:rPr>
              <w:t xml:space="preserve">prin prezenta propunere de lege, având în vedere că MAFA a devenit aplicabil în urma ratificării prin Legea </w:t>
            </w:r>
            <w:r w:rsidR="00201B47" w:rsidRPr="00A764A7">
              <w:rPr>
                <w:lang w:val="ro-RO"/>
              </w:rPr>
              <w:t>nr.</w:t>
            </w:r>
            <w:r w:rsidR="008B6B82" w:rsidRPr="00A764A7">
              <w:rPr>
                <w:lang w:val="ro-RO"/>
              </w:rPr>
              <w:t>316/2001</w:t>
            </w:r>
            <w:r w:rsidR="008B56CD" w:rsidRPr="00A764A7">
              <w:rPr>
                <w:lang w:val="ro-RO"/>
              </w:rPr>
              <w:t>.</w:t>
            </w:r>
          </w:p>
          <w:p w:rsidR="00744695" w:rsidRPr="006E3116" w:rsidRDefault="00744695" w:rsidP="00744695">
            <w:pPr>
              <w:pStyle w:val="Default"/>
              <w:jc w:val="both"/>
              <w:rPr>
                <w:sz w:val="12"/>
                <w:szCs w:val="12"/>
                <w:lang w:val="ro-RO"/>
              </w:rPr>
            </w:pPr>
          </w:p>
          <w:p w:rsidR="00744695" w:rsidRPr="00A764A7" w:rsidRDefault="00744695" w:rsidP="00744695">
            <w:pPr>
              <w:pStyle w:val="Default"/>
              <w:jc w:val="both"/>
              <w:rPr>
                <w:lang w:val="ro-RO"/>
              </w:rPr>
            </w:pPr>
            <w:r w:rsidRPr="00A764A7">
              <w:rPr>
                <w:lang w:val="ro-RO"/>
              </w:rPr>
              <w:t xml:space="preserve">Menționăm că, luând în considerare închiderea programelor operaționale aferente perioadei de programare 2007-2013, nu mai este necesar a fi realocate sume pentru plata prefinanţării/continuării finanțării proiectelor în cadrul programelor operaționale, în cazul indisponibilității temporare a fondurilor din instrumentele structurale din disponibilitățile aflate în contul 50.29 </w:t>
            </w:r>
            <w:r w:rsidRPr="00A764A7">
              <w:rPr>
                <w:i/>
                <w:iCs/>
                <w:lang w:val="ro-RO"/>
              </w:rPr>
              <w:t>Disponibil din sume de la bugetul de stat pentru finanțare proiecte în cazul indisponibilității temporare de fonduri ISPA</w:t>
            </w:r>
            <w:r w:rsidRPr="00A764A7">
              <w:rPr>
                <w:lang w:val="ro-RO"/>
              </w:rPr>
              <w:t xml:space="preserve">. Astfel, aceste sume pot fi virate la bugetul de stat. </w:t>
            </w:r>
          </w:p>
          <w:p w:rsidR="00744695" w:rsidRPr="00A764A7" w:rsidRDefault="00744695" w:rsidP="00744695">
            <w:pPr>
              <w:pStyle w:val="Default"/>
              <w:jc w:val="both"/>
              <w:rPr>
                <w:sz w:val="12"/>
                <w:szCs w:val="12"/>
                <w:lang w:val="ro-RO"/>
              </w:rPr>
            </w:pPr>
          </w:p>
          <w:p w:rsidR="00BF6431" w:rsidRPr="00A764A7" w:rsidRDefault="00744695" w:rsidP="00744695">
            <w:pPr>
              <w:widowControl w:val="0"/>
              <w:autoSpaceDE w:val="0"/>
              <w:autoSpaceDN w:val="0"/>
              <w:adjustRightInd w:val="0"/>
              <w:jc w:val="both"/>
            </w:pPr>
            <w:r w:rsidRPr="00A764A7">
              <w:t xml:space="preserve">De asemenea, s-a constatat necesitatea reîntregirii sumelor utilizate din fondul de indisponibilități temporare aferent perioadei de programare 2007-2013 și pentru care nu se mai primesc rambursări de la CE. Ca urmare se impune elaborarea unor reglementări care să asigure o justă repartizare a responsabilităților în cadrul sistemului de implementare a fondurilor europene 2007-2013. </w:t>
            </w:r>
          </w:p>
        </w:tc>
      </w:tr>
      <w:tr w:rsidR="00BF6431" w:rsidRPr="00A764A7" w:rsidTr="00A65D25">
        <w:tc>
          <w:tcPr>
            <w:tcW w:w="2684" w:type="dxa"/>
          </w:tcPr>
          <w:p w:rsidR="00BF6431" w:rsidRPr="00A764A7" w:rsidRDefault="00BF6431" w:rsidP="00BF6431">
            <w:pPr>
              <w:pStyle w:val="BodyText2"/>
              <w:tabs>
                <w:tab w:val="left" w:pos="90"/>
              </w:tabs>
              <w:spacing w:after="120"/>
              <w:rPr>
                <w:sz w:val="24"/>
              </w:rPr>
            </w:pPr>
            <w:r w:rsidRPr="00A764A7">
              <w:rPr>
                <w:sz w:val="24"/>
              </w:rPr>
              <w:lastRenderedPageBreak/>
              <w:t>1</w:t>
            </w:r>
            <w:r w:rsidRPr="00A764A7">
              <w:rPr>
                <w:sz w:val="24"/>
                <w:vertAlign w:val="superscript"/>
              </w:rPr>
              <w:t>1</w:t>
            </w:r>
            <w:r w:rsidRPr="00A764A7">
              <w:rPr>
                <w:sz w:val="24"/>
              </w:rPr>
              <w:t xml:space="preserve">. În cazul proiectelor de acte normative care transpun legislaţie comunitară sau anexa </w:t>
            </w:r>
            <w:r w:rsidR="00A764A7" w:rsidRPr="00A764A7">
              <w:rPr>
                <w:sz w:val="24"/>
              </w:rPr>
              <w:t>creează</w:t>
            </w:r>
            <w:r w:rsidRPr="00A764A7">
              <w:rPr>
                <w:sz w:val="24"/>
              </w:rPr>
              <w:t xml:space="preserve"> cadrul pentru aplicarea directă a acesteia</w:t>
            </w:r>
          </w:p>
        </w:tc>
        <w:tc>
          <w:tcPr>
            <w:tcW w:w="7513" w:type="dxa"/>
          </w:tcPr>
          <w:p w:rsidR="00BF6431" w:rsidRPr="00A764A7" w:rsidRDefault="00BF6431" w:rsidP="00BF6431">
            <w:pPr>
              <w:tabs>
                <w:tab w:val="left" w:pos="90"/>
              </w:tabs>
              <w:spacing w:after="120"/>
              <w:jc w:val="both"/>
              <w:rPr>
                <w:rFonts w:eastAsia="Calibri"/>
                <w:bCs/>
              </w:rPr>
            </w:pPr>
            <w:r w:rsidRPr="00A764A7">
              <w:rPr>
                <w:rFonts w:eastAsia="Calibri"/>
                <w:bCs/>
              </w:rPr>
              <w:t>Proiectul de act normativ nu se referă la acest subiect.</w:t>
            </w:r>
          </w:p>
        </w:tc>
      </w:tr>
      <w:tr w:rsidR="00CA63C6" w:rsidRPr="00A764A7" w:rsidTr="00A65D25">
        <w:tc>
          <w:tcPr>
            <w:tcW w:w="2684" w:type="dxa"/>
          </w:tcPr>
          <w:p w:rsidR="00CA63C6" w:rsidRPr="00A764A7" w:rsidRDefault="00CA63C6" w:rsidP="00CA63C6">
            <w:pPr>
              <w:tabs>
                <w:tab w:val="left" w:pos="90"/>
              </w:tabs>
              <w:spacing w:after="120"/>
              <w:jc w:val="both"/>
            </w:pPr>
            <w:r w:rsidRPr="00A764A7">
              <w:t>2.Schimbări preconizate</w:t>
            </w:r>
          </w:p>
        </w:tc>
        <w:tc>
          <w:tcPr>
            <w:tcW w:w="7513" w:type="dxa"/>
          </w:tcPr>
          <w:p w:rsidR="00F146A1" w:rsidRPr="00A764A7" w:rsidRDefault="00CA63C6" w:rsidP="00CA63C6">
            <w:pPr>
              <w:autoSpaceDE w:val="0"/>
              <w:autoSpaceDN w:val="0"/>
              <w:adjustRightInd w:val="0"/>
              <w:jc w:val="both"/>
            </w:pPr>
            <w:r w:rsidRPr="00A764A7">
              <w:t xml:space="preserve">Prezentul act normativ modifică prevederile Ordonanței de urgență a Guvernului nr. 63/1999 cu privire la gestionarea fondurilor nerambursabile alocate României de către Comunitatea Europeană, precum şi a fondurilor de cofinanțare aferente acestora și ale Ordonanței de urgență a Guvernului nr. 64/2009 privind gestionarea financiară a instrumentelor structurale şi utilizarea acestora pentru obiectivul convergență. </w:t>
            </w:r>
          </w:p>
          <w:p w:rsidR="00F146A1" w:rsidRPr="00A764A7" w:rsidRDefault="00F146A1" w:rsidP="00CA63C6">
            <w:pPr>
              <w:autoSpaceDE w:val="0"/>
              <w:autoSpaceDN w:val="0"/>
              <w:adjustRightInd w:val="0"/>
              <w:jc w:val="both"/>
              <w:rPr>
                <w:sz w:val="16"/>
                <w:szCs w:val="16"/>
              </w:rPr>
            </w:pPr>
          </w:p>
          <w:p w:rsidR="00CA63C6" w:rsidRPr="00A764A7" w:rsidRDefault="00CA63C6" w:rsidP="00CA63C6">
            <w:pPr>
              <w:autoSpaceDE w:val="0"/>
              <w:autoSpaceDN w:val="0"/>
              <w:adjustRightInd w:val="0"/>
              <w:jc w:val="both"/>
            </w:pPr>
            <w:r w:rsidRPr="00A764A7">
              <w:t>Principalele aspecte reglementate sunt:</w:t>
            </w:r>
          </w:p>
          <w:p w:rsidR="00CA63C6" w:rsidRPr="00A764A7" w:rsidRDefault="00CA63C6" w:rsidP="00CA63C6">
            <w:pPr>
              <w:jc w:val="both"/>
              <w:rPr>
                <w:sz w:val="12"/>
                <w:szCs w:val="12"/>
              </w:rPr>
            </w:pPr>
          </w:p>
          <w:p w:rsidR="00744695" w:rsidRPr="00A764A7" w:rsidRDefault="009D7815" w:rsidP="00744695">
            <w:pPr>
              <w:pStyle w:val="Default"/>
              <w:numPr>
                <w:ilvl w:val="0"/>
                <w:numId w:val="12"/>
              </w:numPr>
              <w:tabs>
                <w:tab w:val="left" w:pos="402"/>
                <w:tab w:val="left" w:pos="539"/>
                <w:tab w:val="left" w:pos="727"/>
                <w:tab w:val="left" w:pos="940"/>
              </w:tabs>
              <w:ind w:left="0" w:firstLine="0"/>
              <w:jc w:val="both"/>
              <w:rPr>
                <w:lang w:val="ro-RO"/>
              </w:rPr>
            </w:pPr>
            <w:r w:rsidRPr="00A764A7">
              <w:rPr>
                <w:lang w:val="ro-RO"/>
              </w:rPr>
              <w:t xml:space="preserve">crearea temeiul legal de asigurare de sume de la bugetul de stat prin </w:t>
            </w:r>
            <w:bookmarkStart w:id="0" w:name="_GoBack"/>
            <w:bookmarkEnd w:id="0"/>
            <w:r w:rsidR="00744695" w:rsidRPr="00A764A7">
              <w:rPr>
                <w:lang w:val="ro-RO"/>
              </w:rPr>
              <w:t xml:space="preserve"> bugetele ordonatorilor principali de credite cu rol de structuri de implementare </w:t>
            </w:r>
            <w:r w:rsidR="00100FA3" w:rsidRPr="00A764A7">
              <w:rPr>
                <w:lang w:val="ro-RO"/>
              </w:rPr>
              <w:t>a</w:t>
            </w:r>
            <w:r w:rsidR="00201B47" w:rsidRPr="00A764A7">
              <w:rPr>
                <w:lang w:val="ro-RO"/>
              </w:rPr>
              <w:t>le</w:t>
            </w:r>
            <w:r w:rsidR="00100FA3" w:rsidRPr="00A764A7">
              <w:rPr>
                <w:lang w:val="ro-RO"/>
              </w:rPr>
              <w:t xml:space="preserve"> programelor ISPA și SAPARD</w:t>
            </w:r>
            <w:r w:rsidR="00201B47" w:rsidRPr="00A764A7">
              <w:rPr>
                <w:lang w:val="ro-RO"/>
              </w:rPr>
              <w:t>,</w:t>
            </w:r>
            <w:r w:rsidR="00A764A7" w:rsidRPr="00A764A7">
              <w:rPr>
                <w:lang w:val="ro-RO"/>
              </w:rPr>
              <w:t xml:space="preserve"> </w:t>
            </w:r>
            <w:r w:rsidR="00744695" w:rsidRPr="00A764A7">
              <w:rPr>
                <w:lang w:val="ro-RO"/>
              </w:rPr>
              <w:t>necesare regularizării fondurilor plătite în primă instanță de la poziția bugetară a MF – AG, rămase nereîntregite</w:t>
            </w:r>
            <w:r w:rsidR="00100FA3" w:rsidRPr="00A764A7">
              <w:rPr>
                <w:lang w:val="ro-RO"/>
              </w:rPr>
              <w:t>, precum și sume care nu au fost</w:t>
            </w:r>
            <w:r w:rsidR="00A764A7" w:rsidRPr="00A764A7">
              <w:rPr>
                <w:lang w:val="ro-RO"/>
              </w:rPr>
              <w:t xml:space="preserve"> </w:t>
            </w:r>
            <w:r w:rsidR="00744695" w:rsidRPr="00A764A7">
              <w:rPr>
                <w:lang w:val="ro-RO"/>
              </w:rPr>
              <w:t xml:space="preserve">recuperate de la debitori </w:t>
            </w:r>
            <w:r w:rsidR="00753DB8" w:rsidRPr="00A764A7">
              <w:rPr>
                <w:lang w:val="ro-RO"/>
              </w:rPr>
              <w:t>și</w:t>
            </w:r>
            <w:r w:rsidR="00A764A7" w:rsidRPr="00A764A7">
              <w:rPr>
                <w:lang w:val="ro-RO"/>
              </w:rPr>
              <w:t xml:space="preserve"> </w:t>
            </w:r>
            <w:r w:rsidR="00744695" w:rsidRPr="00A764A7">
              <w:rPr>
                <w:lang w:val="ro-RO"/>
              </w:rPr>
              <w:t xml:space="preserve">care au fost achitate Comisiei Europene, în vederea returnării/restituirii acestora la bugetul MF - AG, din care au fost achitate; </w:t>
            </w:r>
          </w:p>
          <w:p w:rsidR="00885E1D" w:rsidRPr="00A764A7" w:rsidRDefault="00885E1D" w:rsidP="00744695">
            <w:pPr>
              <w:pStyle w:val="Default"/>
              <w:jc w:val="both"/>
              <w:rPr>
                <w:lang w:val="ro-RO"/>
              </w:rPr>
            </w:pPr>
            <w:r w:rsidRPr="00A764A7">
              <w:rPr>
                <w:rFonts w:ascii="Wingdings" w:hAnsi="Wingdings" w:cs="Wingdings"/>
                <w:lang w:val="ro-RO"/>
              </w:rPr>
              <w:t></w:t>
            </w:r>
            <w:r w:rsidRPr="00A764A7">
              <w:rPr>
                <w:rFonts w:ascii="Wingdings" w:hAnsi="Wingdings" w:cs="Wingdings"/>
                <w:lang w:val="ro-RO"/>
              </w:rPr>
              <w:t></w:t>
            </w:r>
            <w:r w:rsidR="009D7815" w:rsidRPr="00A764A7">
              <w:rPr>
                <w:lang w:val="ro-RO"/>
              </w:rPr>
              <w:t xml:space="preserve">crearea temeiul legal de asigurare a sumelor de la bugetul de stat prin </w:t>
            </w:r>
            <w:r w:rsidRPr="00A764A7">
              <w:rPr>
                <w:lang w:val="ro-RO"/>
              </w:rPr>
              <w:t>bugetul ordonatorului de credite cu rol de autoritate de mana</w:t>
            </w:r>
            <w:r w:rsidR="00A764A7" w:rsidRPr="00A764A7">
              <w:rPr>
                <w:lang w:val="ro-RO"/>
              </w:rPr>
              <w:t xml:space="preserve">gement necesare </w:t>
            </w:r>
            <w:r w:rsidRPr="00A764A7">
              <w:rPr>
                <w:lang w:val="ro-RO"/>
              </w:rPr>
              <w:t xml:space="preserve">restituirii fondurilor utilizate temporar din fondul de indisponibilități temporare aferent instrumentelor structurale 2007-2013, care ulterior vor fi transferate în contul 54.01.03.00 </w:t>
            </w:r>
            <w:r w:rsidRPr="00A764A7">
              <w:rPr>
                <w:iCs/>
                <w:lang w:val="ro-RO"/>
              </w:rPr>
              <w:t>Disponibil de la bugetul de stat reprezentând prefinanțări și fonduri în cazul indisponibilităților temporare aferente instrumentelor structurale</w:t>
            </w:r>
            <w:r w:rsidRPr="00A764A7">
              <w:rPr>
                <w:lang w:val="ro-RO"/>
              </w:rPr>
              <w:t xml:space="preserve">; </w:t>
            </w:r>
          </w:p>
          <w:p w:rsidR="00744695" w:rsidRPr="00A764A7" w:rsidRDefault="00744695" w:rsidP="00744695">
            <w:pPr>
              <w:pStyle w:val="Default"/>
              <w:jc w:val="both"/>
              <w:rPr>
                <w:lang w:val="ro-RO"/>
              </w:rPr>
            </w:pPr>
            <w:r w:rsidRPr="00A764A7">
              <w:rPr>
                <w:rFonts w:ascii="Wingdings" w:hAnsi="Wingdings" w:cs="Wingdings"/>
                <w:lang w:val="ro-RO"/>
              </w:rPr>
              <w:t></w:t>
            </w:r>
            <w:r w:rsidRPr="00A764A7">
              <w:rPr>
                <w:rFonts w:ascii="Wingdings" w:hAnsi="Wingdings" w:cs="Wingdings"/>
                <w:lang w:val="ro-RO"/>
              </w:rPr>
              <w:t></w:t>
            </w:r>
            <w:r w:rsidRPr="00A764A7">
              <w:rPr>
                <w:lang w:val="ro-RO"/>
              </w:rPr>
              <w:t xml:space="preserve">introducerea unor mecanisme prin care să se asigure transferul la bugetul de stat al sumelor disponibile în conturile aferente fondului de indisponibilități temporare aferent ISPA și fondului de indisponibilități temporare aferent instrumentelor structurale 2007-2013 deschise la nivelul Ministerului Finanțelor, urmare a reîntregirii sumelor în aceste conturi; </w:t>
            </w:r>
          </w:p>
          <w:p w:rsidR="004D717B" w:rsidRPr="00A764A7" w:rsidRDefault="00744695">
            <w:pPr>
              <w:pStyle w:val="Default"/>
              <w:jc w:val="both"/>
              <w:rPr>
                <w:rFonts w:eastAsia="Times New Roman"/>
                <w:b/>
                <w:bCs/>
                <w:lang w:val="ro-RO"/>
              </w:rPr>
            </w:pPr>
            <w:r w:rsidRPr="00A764A7">
              <w:rPr>
                <w:rFonts w:ascii="Wingdings" w:hAnsi="Wingdings" w:cs="Wingdings"/>
                <w:lang w:val="ro-RO"/>
              </w:rPr>
              <w:t></w:t>
            </w:r>
            <w:r w:rsidRPr="00A764A7">
              <w:rPr>
                <w:rFonts w:ascii="Wingdings" w:hAnsi="Wingdings" w:cs="Wingdings"/>
                <w:lang w:val="ro-RO"/>
              </w:rPr>
              <w:t></w:t>
            </w:r>
            <w:r w:rsidR="00201B47" w:rsidRPr="00A764A7">
              <w:rPr>
                <w:lang w:val="ro-RO"/>
              </w:rPr>
              <w:t>posibilitatea</w:t>
            </w:r>
            <w:r w:rsidRPr="00A764A7">
              <w:rPr>
                <w:lang w:val="ro-RO"/>
              </w:rPr>
              <w:t xml:space="preserve"> transferul</w:t>
            </w:r>
            <w:r w:rsidR="00201B47" w:rsidRPr="00A764A7">
              <w:rPr>
                <w:lang w:val="ro-RO"/>
              </w:rPr>
              <w:t>ui</w:t>
            </w:r>
            <w:r w:rsidRPr="00A764A7">
              <w:rPr>
                <w:lang w:val="ro-RO"/>
              </w:rPr>
              <w:t xml:space="preserve"> la bugetul de stat a sumelor disponibile în conturile deschise </w:t>
            </w:r>
            <w:r w:rsidR="00A60881" w:rsidRPr="00A764A7">
              <w:rPr>
                <w:lang w:val="ro-RO"/>
              </w:rPr>
              <w:t xml:space="preserve">pe numele MF-ACP </w:t>
            </w:r>
            <w:r w:rsidR="0072338D" w:rsidRPr="00A764A7">
              <w:rPr>
                <w:lang w:val="ro-RO"/>
              </w:rPr>
              <w:t>după</w:t>
            </w:r>
            <w:r w:rsidR="00A764A7" w:rsidRPr="00A764A7">
              <w:rPr>
                <w:lang w:val="ro-RO"/>
              </w:rPr>
              <w:t xml:space="preserve"> </w:t>
            </w:r>
            <w:r w:rsidR="0072338D" w:rsidRPr="00A764A7">
              <w:rPr>
                <w:lang w:val="ro-RO"/>
              </w:rPr>
              <w:t>achitarea</w:t>
            </w:r>
            <w:r w:rsidR="00A764A7" w:rsidRPr="00A764A7">
              <w:rPr>
                <w:lang w:val="ro-RO"/>
              </w:rPr>
              <w:t xml:space="preserve"> </w:t>
            </w:r>
            <w:r w:rsidR="0072338D" w:rsidRPr="00A764A7">
              <w:rPr>
                <w:lang w:val="ro-RO"/>
              </w:rPr>
              <w:t>ultimelor note de debit ale CE pentru</w:t>
            </w:r>
            <w:r w:rsidR="00A764A7" w:rsidRPr="00A764A7">
              <w:rPr>
                <w:lang w:val="ro-RO"/>
              </w:rPr>
              <w:t xml:space="preserve"> </w:t>
            </w:r>
            <w:r w:rsidR="0072338D" w:rsidRPr="00A764A7">
              <w:rPr>
                <w:lang w:val="ro-RO"/>
              </w:rPr>
              <w:t>programele</w:t>
            </w:r>
            <w:r w:rsidR="00A764A7" w:rsidRPr="00A764A7">
              <w:rPr>
                <w:lang w:val="ro-RO"/>
              </w:rPr>
              <w:t xml:space="preserve"> </w:t>
            </w:r>
            <w:r w:rsidRPr="00A764A7">
              <w:rPr>
                <w:lang w:val="ro-RO"/>
              </w:rPr>
              <w:t xml:space="preserve">pentru </w:t>
            </w:r>
            <w:r w:rsidR="00A60881" w:rsidRPr="00A764A7">
              <w:rPr>
                <w:lang w:val="ro-RO"/>
              </w:rPr>
              <w:t>programele PHARE si ISPA</w:t>
            </w:r>
            <w:r w:rsidR="00A764A7" w:rsidRPr="00A764A7">
              <w:rPr>
                <w:lang w:val="ro-RO"/>
              </w:rPr>
              <w:t xml:space="preserve"> </w:t>
            </w:r>
            <w:r w:rsidRPr="00A764A7">
              <w:rPr>
                <w:lang w:val="ro-RO"/>
              </w:rPr>
              <w:t>la bancă comerc</w:t>
            </w:r>
            <w:r w:rsidR="001E33F2" w:rsidRPr="00A764A7">
              <w:rPr>
                <w:lang w:val="ro-RO"/>
              </w:rPr>
              <w:t>ială și la Trezoreria Statului</w:t>
            </w:r>
            <w:r w:rsidRPr="00A764A7">
              <w:rPr>
                <w:lang w:val="ro-RO"/>
              </w:rPr>
              <w:t xml:space="preserve">, </w:t>
            </w:r>
          </w:p>
          <w:p w:rsidR="00744695" w:rsidRPr="00A764A7" w:rsidRDefault="00744695" w:rsidP="00744695">
            <w:pPr>
              <w:pStyle w:val="Default"/>
              <w:jc w:val="both"/>
              <w:rPr>
                <w:lang w:val="ro-RO"/>
              </w:rPr>
            </w:pPr>
            <w:r w:rsidRPr="00A764A7">
              <w:rPr>
                <w:rFonts w:ascii="Wingdings" w:hAnsi="Wingdings" w:cs="Wingdings"/>
                <w:lang w:val="ro-RO"/>
              </w:rPr>
              <w:t></w:t>
            </w:r>
            <w:r w:rsidRPr="00A764A7">
              <w:rPr>
                <w:rFonts w:ascii="Wingdings" w:hAnsi="Wingdings" w:cs="Wingdings"/>
                <w:lang w:val="ro-RO"/>
              </w:rPr>
              <w:t></w:t>
            </w:r>
            <w:r w:rsidRPr="00A764A7">
              <w:rPr>
                <w:lang w:val="ro-RO"/>
              </w:rPr>
              <w:t>începând cu data de închidere a programului SAPARD comunicată de Comisia Europeană, nu se mai aplica prevederile art. 14</w:t>
            </w:r>
            <w:r w:rsidR="00201B47" w:rsidRPr="00A764A7">
              <w:rPr>
                <w:lang w:val="ro-RO"/>
              </w:rPr>
              <w:t>.</w:t>
            </w:r>
            <w:r w:rsidRPr="00A764A7">
              <w:rPr>
                <w:lang w:val="ro-RO"/>
              </w:rPr>
              <w:t xml:space="preserve">2.8 din Secțiunea A – Management Financiar din Acordul Multianual de Finanțare, aprobat prin Legea nr. 316/2001, cu modificările și completările ulterioare, în ceea ce privește anularea contribuției comunitare la împlinirea a doi ani de la constituirea debitelor. </w:t>
            </w:r>
          </w:p>
          <w:p w:rsidR="00744695" w:rsidRPr="00A764A7" w:rsidRDefault="00744695" w:rsidP="00744695">
            <w:pPr>
              <w:pStyle w:val="Default"/>
              <w:jc w:val="both"/>
              <w:rPr>
                <w:sz w:val="12"/>
                <w:szCs w:val="12"/>
                <w:lang w:val="ro-RO"/>
              </w:rPr>
            </w:pPr>
          </w:p>
          <w:p w:rsidR="00CA63C6" w:rsidRPr="00A764A7" w:rsidRDefault="00744695" w:rsidP="001E33F2">
            <w:pPr>
              <w:jc w:val="both"/>
            </w:pPr>
            <w:r w:rsidRPr="00A764A7">
              <w:t xml:space="preserve">Prezentul proiect de act normativ conține măsuri care conduc la efectuarea de reglaje la nivelul bugetului de stat, ținând cont de rolul si responsabilitățile fiecărui ordonator principal de credite stabilite în cadrul mecanismelor utilizării sumelor aferente fondului de indisponibilități temporare, atât pentru fondurile aferente programelor </w:t>
            </w:r>
            <w:r w:rsidR="001E33F2" w:rsidRPr="00A764A7">
              <w:t xml:space="preserve">PHARE, </w:t>
            </w:r>
            <w:r w:rsidRPr="00A764A7">
              <w:t xml:space="preserve">ex-ISPA, SAPARD cât și pentru programele aferente perioadei de programare 2007-2013. </w:t>
            </w:r>
          </w:p>
        </w:tc>
      </w:tr>
      <w:tr w:rsidR="00B416CB" w:rsidRPr="00A764A7" w:rsidTr="0077640D">
        <w:trPr>
          <w:trHeight w:val="369"/>
        </w:trPr>
        <w:tc>
          <w:tcPr>
            <w:tcW w:w="2684" w:type="dxa"/>
          </w:tcPr>
          <w:p w:rsidR="00B416CB" w:rsidRPr="00A764A7" w:rsidRDefault="00B416CB" w:rsidP="00B416CB">
            <w:pPr>
              <w:tabs>
                <w:tab w:val="left" w:pos="90"/>
              </w:tabs>
              <w:spacing w:after="120"/>
              <w:jc w:val="both"/>
            </w:pPr>
            <w:r w:rsidRPr="00A764A7">
              <w:t>3.Alte informații</w:t>
            </w:r>
          </w:p>
        </w:tc>
        <w:tc>
          <w:tcPr>
            <w:tcW w:w="7513" w:type="dxa"/>
          </w:tcPr>
          <w:p w:rsidR="00FD1AAA" w:rsidRPr="00A764A7" w:rsidRDefault="001E33F2" w:rsidP="001E33F2">
            <w:pPr>
              <w:jc w:val="both"/>
            </w:pPr>
            <w:r w:rsidRPr="00A764A7">
              <w:t>Nu este cazul.</w:t>
            </w:r>
          </w:p>
        </w:tc>
      </w:tr>
    </w:tbl>
    <w:p w:rsidR="009F2530" w:rsidRPr="00A764A7" w:rsidRDefault="009F2530" w:rsidP="006A2E4E">
      <w:pPr>
        <w:tabs>
          <w:tab w:val="left" w:pos="90"/>
        </w:tabs>
        <w:spacing w:after="120"/>
        <w:rPr>
          <w:b/>
          <w:sz w:val="16"/>
          <w:szCs w:val="16"/>
        </w:rPr>
      </w:pPr>
    </w:p>
    <w:p w:rsidR="00670C79" w:rsidRPr="00A764A7" w:rsidRDefault="00670C79" w:rsidP="006A2E4E">
      <w:pPr>
        <w:tabs>
          <w:tab w:val="left" w:pos="90"/>
        </w:tabs>
        <w:spacing w:after="120"/>
        <w:rPr>
          <w:b/>
        </w:rPr>
      </w:pPr>
      <w:r w:rsidRPr="00A764A7">
        <w:rPr>
          <w:b/>
        </w:rPr>
        <w:t>Secţiunea a 3-a - Impactul socio-economic al proiectului de act normativ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7556"/>
      </w:tblGrid>
      <w:tr w:rsidR="00670C79" w:rsidRPr="00A764A7" w:rsidTr="005D3F36">
        <w:trPr>
          <w:trHeight w:val="549"/>
        </w:trPr>
        <w:tc>
          <w:tcPr>
            <w:tcW w:w="2684" w:type="dxa"/>
          </w:tcPr>
          <w:p w:rsidR="00670C79" w:rsidRPr="00A764A7" w:rsidRDefault="00670C79" w:rsidP="006A2E4E">
            <w:pPr>
              <w:tabs>
                <w:tab w:val="left" w:pos="90"/>
              </w:tabs>
              <w:spacing w:after="120"/>
            </w:pPr>
            <w:r w:rsidRPr="00A764A7">
              <w:t>1. Impactul macroeconomic</w:t>
            </w:r>
          </w:p>
        </w:tc>
        <w:tc>
          <w:tcPr>
            <w:tcW w:w="7556" w:type="dxa"/>
            <w:vAlign w:val="center"/>
          </w:tcPr>
          <w:p w:rsidR="00670C79" w:rsidRPr="00A764A7" w:rsidRDefault="00670C79" w:rsidP="006A2E4E">
            <w:pPr>
              <w:tabs>
                <w:tab w:val="left" w:pos="90"/>
              </w:tabs>
              <w:spacing w:after="120"/>
            </w:pPr>
            <w:r w:rsidRPr="00A764A7">
              <w:t>Proiectul de act normativ nu se referă la acest subiect.</w:t>
            </w:r>
          </w:p>
        </w:tc>
      </w:tr>
      <w:tr w:rsidR="00670C79" w:rsidRPr="00A764A7" w:rsidTr="00A65D25">
        <w:tc>
          <w:tcPr>
            <w:tcW w:w="2684" w:type="dxa"/>
          </w:tcPr>
          <w:p w:rsidR="00670C79" w:rsidRPr="00A764A7" w:rsidRDefault="00670C79" w:rsidP="006A2E4E">
            <w:pPr>
              <w:tabs>
                <w:tab w:val="left" w:pos="90"/>
              </w:tabs>
              <w:spacing w:after="120"/>
            </w:pPr>
            <w:r w:rsidRPr="00A764A7">
              <w:t>1</w:t>
            </w:r>
            <w:r w:rsidRPr="00A764A7">
              <w:rPr>
                <w:vertAlign w:val="superscript"/>
              </w:rPr>
              <w:t>1</w:t>
            </w:r>
            <w:r w:rsidRPr="00A764A7">
              <w:t>. Impactul asupra mediului concurenţial</w:t>
            </w:r>
            <w:r w:rsidR="00A764A7">
              <w:t xml:space="preserve"> </w:t>
            </w:r>
            <w:r w:rsidRPr="00A764A7">
              <w:t>şi domeniului ajutoarelor de stat</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r w:rsidR="005D3F36">
              <w:t>.</w:t>
            </w:r>
          </w:p>
        </w:tc>
      </w:tr>
      <w:tr w:rsidR="00670C79" w:rsidRPr="00A764A7" w:rsidTr="00A65D25">
        <w:tc>
          <w:tcPr>
            <w:tcW w:w="2684" w:type="dxa"/>
          </w:tcPr>
          <w:p w:rsidR="00670C79" w:rsidRPr="00A764A7" w:rsidRDefault="00670C79" w:rsidP="006A2E4E">
            <w:pPr>
              <w:tabs>
                <w:tab w:val="left" w:pos="90"/>
              </w:tabs>
              <w:spacing w:after="120"/>
            </w:pPr>
            <w:r w:rsidRPr="00A764A7">
              <w:t>2. Impact asupra mediului de afaceri</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2684" w:type="dxa"/>
          </w:tcPr>
          <w:p w:rsidR="00670C79" w:rsidRPr="00A764A7" w:rsidRDefault="00670C79" w:rsidP="006A2E4E">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rsidRPr="00A764A7">
              <w:rPr>
                <w:lang w:eastAsia="ro-RO"/>
              </w:rPr>
              <w:t>2^1. Impactul asupra sarcinilor administrative</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5D3F36">
        <w:trPr>
          <w:trHeight w:val="1044"/>
        </w:trPr>
        <w:tc>
          <w:tcPr>
            <w:tcW w:w="2684" w:type="dxa"/>
          </w:tcPr>
          <w:p w:rsidR="00670C79" w:rsidRPr="00A764A7" w:rsidRDefault="00670C79" w:rsidP="006A2E4E">
            <w:pPr>
              <w:pStyle w:val="HTMLPreformatted"/>
              <w:shd w:val="clear" w:color="auto" w:fill="FFFFFF"/>
              <w:tabs>
                <w:tab w:val="left" w:pos="90"/>
              </w:tabs>
              <w:spacing w:after="120"/>
              <w:rPr>
                <w:rFonts w:ascii="Times New Roman" w:hAnsi="Times New Roman" w:cs="Times New Roman"/>
                <w:sz w:val="24"/>
                <w:szCs w:val="24"/>
              </w:rPr>
            </w:pPr>
            <w:r w:rsidRPr="00A764A7">
              <w:rPr>
                <w:rFonts w:ascii="Times New Roman" w:hAnsi="Times New Roman" w:cs="Times New Roman"/>
                <w:sz w:val="24"/>
                <w:szCs w:val="24"/>
              </w:rPr>
              <w:t>2^2. Impactul asupra întreprinderilor mici și mijlocii</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5D3F36">
        <w:trPr>
          <w:trHeight w:val="531"/>
        </w:trPr>
        <w:tc>
          <w:tcPr>
            <w:tcW w:w="2684" w:type="dxa"/>
          </w:tcPr>
          <w:p w:rsidR="00670C79" w:rsidRPr="00A764A7" w:rsidRDefault="00670C79" w:rsidP="006A2E4E">
            <w:pPr>
              <w:tabs>
                <w:tab w:val="left" w:pos="90"/>
              </w:tabs>
              <w:spacing w:after="120"/>
            </w:pPr>
            <w:r w:rsidRPr="00A764A7">
              <w:t>3. Implicaţii sociale</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2684" w:type="dxa"/>
          </w:tcPr>
          <w:p w:rsidR="00670C79" w:rsidRPr="00A764A7" w:rsidRDefault="00670C79" w:rsidP="006A2E4E">
            <w:pPr>
              <w:tabs>
                <w:tab w:val="left" w:pos="90"/>
              </w:tabs>
              <w:spacing w:after="120"/>
            </w:pPr>
            <w:r w:rsidRPr="00A764A7">
              <w:t>4. Impact asupra mediului</w:t>
            </w:r>
          </w:p>
        </w:tc>
        <w:tc>
          <w:tcPr>
            <w:tcW w:w="7556"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2684" w:type="dxa"/>
          </w:tcPr>
          <w:p w:rsidR="00670C79" w:rsidRPr="00A764A7" w:rsidRDefault="00670C79" w:rsidP="006A2E4E">
            <w:pPr>
              <w:tabs>
                <w:tab w:val="left" w:pos="90"/>
              </w:tabs>
              <w:spacing w:after="120"/>
            </w:pPr>
            <w:r w:rsidRPr="00A764A7">
              <w:t>5. Alte informaţii</w:t>
            </w:r>
          </w:p>
        </w:tc>
        <w:tc>
          <w:tcPr>
            <w:tcW w:w="7556" w:type="dxa"/>
            <w:vAlign w:val="center"/>
          </w:tcPr>
          <w:p w:rsidR="00670C79" w:rsidRPr="00A764A7" w:rsidRDefault="00670C79" w:rsidP="006A2E4E">
            <w:pPr>
              <w:tabs>
                <w:tab w:val="left" w:pos="90"/>
              </w:tabs>
              <w:spacing w:after="120"/>
              <w:jc w:val="both"/>
            </w:pPr>
            <w:r w:rsidRPr="00A764A7">
              <w:t>Nu au fost identificate.</w:t>
            </w:r>
          </w:p>
        </w:tc>
      </w:tr>
    </w:tbl>
    <w:p w:rsidR="004B14AA" w:rsidRPr="00A764A7" w:rsidRDefault="004B14AA" w:rsidP="006A2E4E">
      <w:pPr>
        <w:tabs>
          <w:tab w:val="left" w:pos="90"/>
        </w:tabs>
        <w:spacing w:after="120"/>
        <w:jc w:val="both"/>
        <w:rPr>
          <w:b/>
          <w:sz w:val="16"/>
          <w:szCs w:val="16"/>
        </w:rPr>
      </w:pPr>
    </w:p>
    <w:p w:rsidR="007A2A29" w:rsidRPr="00A764A7" w:rsidRDefault="00670C79" w:rsidP="00A764A7">
      <w:pPr>
        <w:tabs>
          <w:tab w:val="left" w:pos="90"/>
        </w:tabs>
        <w:spacing w:after="120"/>
        <w:ind w:left="270"/>
        <w:jc w:val="both"/>
        <w:rPr>
          <w:b/>
        </w:rPr>
      </w:pPr>
      <w:r w:rsidRPr="00A764A7">
        <w:rPr>
          <w:b/>
        </w:rPr>
        <w:t>Secţiunea a 4-a. Impactul financiar asupra bugetului de stat consolidat, atât pe termen scurt, pentru anul curent, cât şi pe termen lung (pe 5 ani)</w:t>
      </w:r>
    </w:p>
    <w:p w:rsidR="0072338D" w:rsidRPr="00A764A7" w:rsidRDefault="0072338D" w:rsidP="00CA4714">
      <w:pPr>
        <w:autoSpaceDE w:val="0"/>
        <w:autoSpaceDN w:val="0"/>
        <w:adjustRightInd w:val="0"/>
        <w:jc w:val="both"/>
        <w:rPr>
          <w:rFonts w:ascii="Helv" w:eastAsiaTheme="minorHAnsi" w:hAnsi="Helv" w:cs="Helv"/>
          <w:color w:val="000000"/>
          <w:sz w:val="16"/>
          <w:szCs w:val="16"/>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080"/>
        <w:gridCol w:w="900"/>
        <w:gridCol w:w="1080"/>
        <w:gridCol w:w="1080"/>
        <w:gridCol w:w="1260"/>
        <w:gridCol w:w="1980"/>
      </w:tblGrid>
      <w:tr w:rsidR="00670C79" w:rsidRPr="00A764A7" w:rsidTr="00A65D25">
        <w:tc>
          <w:tcPr>
            <w:tcW w:w="2880" w:type="dxa"/>
          </w:tcPr>
          <w:p w:rsidR="00670C79" w:rsidRPr="00A764A7" w:rsidRDefault="00670C79" w:rsidP="006A2E4E">
            <w:pPr>
              <w:pStyle w:val="Heading2"/>
              <w:tabs>
                <w:tab w:val="left" w:pos="90"/>
              </w:tabs>
              <w:rPr>
                <w:sz w:val="24"/>
              </w:rPr>
            </w:pPr>
            <w:r w:rsidRPr="00A764A7">
              <w:rPr>
                <w:sz w:val="24"/>
              </w:rPr>
              <w:t>Indicatori</w:t>
            </w:r>
          </w:p>
        </w:tc>
        <w:tc>
          <w:tcPr>
            <w:tcW w:w="1080" w:type="dxa"/>
          </w:tcPr>
          <w:p w:rsidR="00670C79" w:rsidRPr="00A764A7" w:rsidRDefault="00670C79" w:rsidP="006A2E4E">
            <w:pPr>
              <w:tabs>
                <w:tab w:val="left" w:pos="90"/>
              </w:tabs>
              <w:jc w:val="center"/>
            </w:pPr>
            <w:r w:rsidRPr="00A764A7">
              <w:t>An curent</w:t>
            </w:r>
          </w:p>
        </w:tc>
        <w:tc>
          <w:tcPr>
            <w:tcW w:w="4320" w:type="dxa"/>
            <w:gridSpan w:val="4"/>
          </w:tcPr>
          <w:p w:rsidR="00670C79" w:rsidRPr="00A764A7" w:rsidRDefault="00670C79" w:rsidP="006A2E4E">
            <w:pPr>
              <w:tabs>
                <w:tab w:val="left" w:pos="90"/>
              </w:tabs>
              <w:jc w:val="center"/>
            </w:pPr>
            <w:r w:rsidRPr="00A764A7">
              <w:t>Următorii 4 ani</w:t>
            </w:r>
          </w:p>
        </w:tc>
        <w:tc>
          <w:tcPr>
            <w:tcW w:w="1980" w:type="dxa"/>
          </w:tcPr>
          <w:p w:rsidR="00670C79" w:rsidRPr="00A764A7" w:rsidRDefault="00670C79" w:rsidP="006A2E4E">
            <w:pPr>
              <w:tabs>
                <w:tab w:val="left" w:pos="90"/>
              </w:tabs>
              <w:jc w:val="center"/>
            </w:pPr>
            <w:r w:rsidRPr="00A764A7">
              <w:t>Media următorilor 5 ani, după anul curent</w:t>
            </w:r>
          </w:p>
        </w:tc>
      </w:tr>
      <w:tr w:rsidR="00670C79" w:rsidRPr="00A764A7" w:rsidTr="00A65D25">
        <w:tc>
          <w:tcPr>
            <w:tcW w:w="2880" w:type="dxa"/>
          </w:tcPr>
          <w:p w:rsidR="00670C79" w:rsidRPr="00A764A7" w:rsidRDefault="00670C79" w:rsidP="006A2E4E">
            <w:pPr>
              <w:tabs>
                <w:tab w:val="left" w:pos="90"/>
              </w:tabs>
              <w:spacing w:after="120"/>
              <w:jc w:val="center"/>
            </w:pPr>
            <w:r w:rsidRPr="00A764A7">
              <w:t>1</w:t>
            </w:r>
          </w:p>
        </w:tc>
        <w:tc>
          <w:tcPr>
            <w:tcW w:w="1080" w:type="dxa"/>
            <w:vAlign w:val="center"/>
          </w:tcPr>
          <w:p w:rsidR="00670C79" w:rsidRPr="00A764A7" w:rsidRDefault="00670C79" w:rsidP="006A2E4E">
            <w:pPr>
              <w:tabs>
                <w:tab w:val="left" w:pos="90"/>
              </w:tabs>
              <w:spacing w:after="120"/>
              <w:jc w:val="center"/>
            </w:pPr>
            <w:r w:rsidRPr="00A764A7">
              <w:t>2</w:t>
            </w:r>
          </w:p>
        </w:tc>
        <w:tc>
          <w:tcPr>
            <w:tcW w:w="900" w:type="dxa"/>
            <w:vAlign w:val="center"/>
          </w:tcPr>
          <w:p w:rsidR="00670C79" w:rsidRPr="00A764A7" w:rsidRDefault="00670C79" w:rsidP="006A2E4E">
            <w:pPr>
              <w:tabs>
                <w:tab w:val="left" w:pos="90"/>
              </w:tabs>
              <w:spacing w:after="120"/>
              <w:jc w:val="center"/>
            </w:pPr>
            <w:r w:rsidRPr="00A764A7">
              <w:t>3</w:t>
            </w:r>
          </w:p>
        </w:tc>
        <w:tc>
          <w:tcPr>
            <w:tcW w:w="1080" w:type="dxa"/>
            <w:vAlign w:val="center"/>
          </w:tcPr>
          <w:p w:rsidR="00670C79" w:rsidRPr="00A764A7" w:rsidRDefault="00670C79" w:rsidP="006A2E4E">
            <w:pPr>
              <w:tabs>
                <w:tab w:val="left" w:pos="90"/>
              </w:tabs>
              <w:spacing w:after="120"/>
              <w:jc w:val="center"/>
            </w:pPr>
            <w:r w:rsidRPr="00A764A7">
              <w:t>4</w:t>
            </w:r>
          </w:p>
        </w:tc>
        <w:tc>
          <w:tcPr>
            <w:tcW w:w="1080" w:type="dxa"/>
            <w:vAlign w:val="center"/>
          </w:tcPr>
          <w:p w:rsidR="00670C79" w:rsidRPr="00A764A7" w:rsidRDefault="00670C79" w:rsidP="006A2E4E">
            <w:pPr>
              <w:tabs>
                <w:tab w:val="left" w:pos="90"/>
              </w:tabs>
              <w:spacing w:after="120"/>
              <w:jc w:val="center"/>
            </w:pPr>
            <w:r w:rsidRPr="00A764A7">
              <w:t>5</w:t>
            </w:r>
          </w:p>
        </w:tc>
        <w:tc>
          <w:tcPr>
            <w:tcW w:w="1260" w:type="dxa"/>
            <w:vAlign w:val="center"/>
          </w:tcPr>
          <w:p w:rsidR="00670C79" w:rsidRPr="00A764A7" w:rsidRDefault="00670C79" w:rsidP="006A2E4E">
            <w:pPr>
              <w:tabs>
                <w:tab w:val="left" w:pos="90"/>
              </w:tabs>
              <w:spacing w:after="120"/>
              <w:jc w:val="center"/>
            </w:pPr>
            <w:r w:rsidRPr="00A764A7">
              <w:t>6</w:t>
            </w:r>
          </w:p>
        </w:tc>
        <w:tc>
          <w:tcPr>
            <w:tcW w:w="1980" w:type="dxa"/>
            <w:vAlign w:val="center"/>
          </w:tcPr>
          <w:p w:rsidR="00670C79" w:rsidRPr="00A764A7" w:rsidRDefault="00670C79" w:rsidP="006A2E4E">
            <w:pPr>
              <w:tabs>
                <w:tab w:val="left" w:pos="90"/>
              </w:tabs>
              <w:spacing w:after="120"/>
              <w:jc w:val="center"/>
            </w:pPr>
            <w:r w:rsidRPr="00A764A7">
              <w:t>7</w:t>
            </w:r>
          </w:p>
        </w:tc>
      </w:tr>
      <w:tr w:rsidR="00670C79" w:rsidRPr="00A764A7" w:rsidTr="00A65D25">
        <w:tc>
          <w:tcPr>
            <w:tcW w:w="2880" w:type="dxa"/>
          </w:tcPr>
          <w:p w:rsidR="00670C79" w:rsidRPr="00A764A7" w:rsidRDefault="00670C79" w:rsidP="006A2E4E">
            <w:pPr>
              <w:tabs>
                <w:tab w:val="left" w:pos="90"/>
              </w:tabs>
            </w:pPr>
            <w:r w:rsidRPr="00A764A7">
              <w:t>1.Modificări ale veniturilor bugetare, plus/minus, din care:</w:t>
            </w:r>
          </w:p>
          <w:p w:rsidR="00670C79" w:rsidRPr="00A764A7" w:rsidRDefault="00670C79" w:rsidP="006A2E4E">
            <w:pPr>
              <w:tabs>
                <w:tab w:val="left" w:pos="90"/>
              </w:tabs>
            </w:pPr>
            <w:r w:rsidRPr="00A764A7">
              <w:t>a)bugetul de stat, din acesta:</w:t>
            </w:r>
          </w:p>
          <w:p w:rsidR="00670C79" w:rsidRPr="00A764A7" w:rsidRDefault="00670C79" w:rsidP="006A2E4E">
            <w:pPr>
              <w:tabs>
                <w:tab w:val="left" w:pos="90"/>
              </w:tabs>
            </w:pPr>
            <w:r w:rsidRPr="00A764A7">
              <w:t>-impozit pe profit</w:t>
            </w:r>
          </w:p>
          <w:p w:rsidR="00670C79" w:rsidRPr="00A764A7" w:rsidRDefault="00670C79" w:rsidP="006A2E4E">
            <w:pPr>
              <w:tabs>
                <w:tab w:val="left" w:pos="90"/>
              </w:tabs>
            </w:pPr>
            <w:r w:rsidRPr="00A764A7">
              <w:t>-impozit pe venit</w:t>
            </w:r>
          </w:p>
          <w:p w:rsidR="00670C79" w:rsidRPr="00A764A7" w:rsidRDefault="00670C79" w:rsidP="006A2E4E">
            <w:pPr>
              <w:tabs>
                <w:tab w:val="left" w:pos="90"/>
              </w:tabs>
            </w:pPr>
            <w:r w:rsidRPr="00A764A7">
              <w:t>b)bugete locale:</w:t>
            </w:r>
          </w:p>
          <w:p w:rsidR="00670C79" w:rsidRPr="00A764A7" w:rsidRDefault="00670C79" w:rsidP="006A2E4E">
            <w:pPr>
              <w:tabs>
                <w:tab w:val="left" w:pos="90"/>
              </w:tabs>
            </w:pPr>
            <w:r w:rsidRPr="00A764A7">
              <w:t>-impozit pe profit</w:t>
            </w:r>
          </w:p>
          <w:p w:rsidR="00670C79" w:rsidRPr="00A764A7" w:rsidRDefault="00670C79" w:rsidP="006A2E4E">
            <w:pPr>
              <w:tabs>
                <w:tab w:val="left" w:pos="90"/>
              </w:tabs>
            </w:pPr>
            <w:r w:rsidRPr="00A764A7">
              <w:t>c)bugetul asigurărilor sociale</w:t>
            </w:r>
          </w:p>
          <w:p w:rsidR="00670C79" w:rsidRPr="00A764A7" w:rsidRDefault="00670C79" w:rsidP="006A2E4E">
            <w:pPr>
              <w:tabs>
                <w:tab w:val="left" w:pos="90"/>
              </w:tabs>
            </w:pPr>
            <w:r w:rsidRPr="00A764A7">
              <w:t>-contribuţii de asigurări</w:t>
            </w:r>
          </w:p>
        </w:tc>
        <w:tc>
          <w:tcPr>
            <w:tcW w:w="1080" w:type="dxa"/>
          </w:tcPr>
          <w:p w:rsidR="00670C79" w:rsidRPr="00A764A7" w:rsidRDefault="00670C79" w:rsidP="006A2E4E">
            <w:pPr>
              <w:pStyle w:val="BodyText2"/>
              <w:tabs>
                <w:tab w:val="left" w:pos="90"/>
              </w:tabs>
              <w:rPr>
                <w:sz w:val="24"/>
              </w:rPr>
            </w:pPr>
          </w:p>
        </w:tc>
        <w:tc>
          <w:tcPr>
            <w:tcW w:w="900" w:type="dxa"/>
          </w:tcPr>
          <w:p w:rsidR="00670C79" w:rsidRPr="00A764A7" w:rsidRDefault="00670C79" w:rsidP="006A2E4E">
            <w:pPr>
              <w:pStyle w:val="BodyText2"/>
              <w:tabs>
                <w:tab w:val="left" w:pos="90"/>
              </w:tabs>
              <w:rPr>
                <w:sz w:val="24"/>
              </w:rPr>
            </w:pPr>
          </w:p>
        </w:tc>
        <w:tc>
          <w:tcPr>
            <w:tcW w:w="1080" w:type="dxa"/>
          </w:tcPr>
          <w:p w:rsidR="00670C79" w:rsidRPr="00A764A7" w:rsidRDefault="00670C79" w:rsidP="006A2E4E">
            <w:pPr>
              <w:pStyle w:val="BodyText2"/>
              <w:tabs>
                <w:tab w:val="left" w:pos="90"/>
              </w:tabs>
              <w:rPr>
                <w:sz w:val="24"/>
              </w:rPr>
            </w:pPr>
          </w:p>
        </w:tc>
        <w:tc>
          <w:tcPr>
            <w:tcW w:w="1080" w:type="dxa"/>
          </w:tcPr>
          <w:p w:rsidR="00670C79" w:rsidRPr="00A764A7" w:rsidRDefault="00670C79" w:rsidP="006A2E4E">
            <w:pPr>
              <w:pStyle w:val="BodyText2"/>
              <w:tabs>
                <w:tab w:val="left" w:pos="90"/>
              </w:tabs>
              <w:rPr>
                <w:sz w:val="24"/>
              </w:rPr>
            </w:pPr>
          </w:p>
        </w:tc>
        <w:tc>
          <w:tcPr>
            <w:tcW w:w="1260" w:type="dxa"/>
          </w:tcPr>
          <w:p w:rsidR="00670C79" w:rsidRPr="00A764A7" w:rsidRDefault="00670C79" w:rsidP="006A2E4E">
            <w:pPr>
              <w:pStyle w:val="BodyText2"/>
              <w:tabs>
                <w:tab w:val="left" w:pos="90"/>
              </w:tabs>
              <w:rPr>
                <w:sz w:val="24"/>
              </w:rPr>
            </w:pPr>
          </w:p>
        </w:tc>
        <w:tc>
          <w:tcPr>
            <w:tcW w:w="1980" w:type="dxa"/>
          </w:tcPr>
          <w:p w:rsidR="00670C79" w:rsidRPr="00A764A7" w:rsidRDefault="00670C79" w:rsidP="006A2E4E">
            <w:pPr>
              <w:pStyle w:val="BodyText2"/>
              <w:tabs>
                <w:tab w:val="left" w:pos="90"/>
              </w:tabs>
              <w:rPr>
                <w:sz w:val="24"/>
              </w:rPr>
            </w:pPr>
          </w:p>
        </w:tc>
      </w:tr>
      <w:tr w:rsidR="00670C79" w:rsidRPr="00A764A7" w:rsidTr="00A65D25">
        <w:tc>
          <w:tcPr>
            <w:tcW w:w="2880" w:type="dxa"/>
          </w:tcPr>
          <w:p w:rsidR="00670C79" w:rsidRPr="00A764A7" w:rsidRDefault="00670C79" w:rsidP="006A2E4E">
            <w:pPr>
              <w:tabs>
                <w:tab w:val="left" w:pos="90"/>
              </w:tabs>
            </w:pPr>
            <w:r w:rsidRPr="00A764A7">
              <w:t>2.Modificări ale cheltuielilor bugetare din care:</w:t>
            </w:r>
          </w:p>
          <w:p w:rsidR="00670C79" w:rsidRPr="00A764A7" w:rsidRDefault="00670C79" w:rsidP="006A2E4E">
            <w:pPr>
              <w:tabs>
                <w:tab w:val="left" w:pos="90"/>
              </w:tabs>
            </w:pPr>
            <w:r w:rsidRPr="00A764A7">
              <w:t>a)bugetul de stat, din acesta:</w:t>
            </w:r>
          </w:p>
          <w:p w:rsidR="00670C79" w:rsidRPr="00A764A7" w:rsidRDefault="00670C79" w:rsidP="006A2E4E">
            <w:pPr>
              <w:tabs>
                <w:tab w:val="left" w:pos="90"/>
              </w:tabs>
            </w:pPr>
            <w:r w:rsidRPr="00A764A7">
              <w:t>-cheltuieli de personal</w:t>
            </w:r>
          </w:p>
          <w:p w:rsidR="00670C79" w:rsidRPr="00A764A7" w:rsidRDefault="00670C79" w:rsidP="006A2E4E">
            <w:pPr>
              <w:tabs>
                <w:tab w:val="left" w:pos="90"/>
              </w:tabs>
            </w:pPr>
            <w:r w:rsidRPr="00A764A7">
              <w:t>-bunuri şi servicii</w:t>
            </w:r>
          </w:p>
          <w:p w:rsidR="00670C79" w:rsidRPr="00A764A7" w:rsidRDefault="00670C79" w:rsidP="006A2E4E">
            <w:pPr>
              <w:tabs>
                <w:tab w:val="left" w:pos="90"/>
              </w:tabs>
            </w:pPr>
            <w:r w:rsidRPr="00A764A7">
              <w:t>b)bugete locale:</w:t>
            </w:r>
          </w:p>
          <w:p w:rsidR="00670C79" w:rsidRPr="00A764A7" w:rsidRDefault="00670C79" w:rsidP="006A2E4E">
            <w:pPr>
              <w:tabs>
                <w:tab w:val="left" w:pos="90"/>
              </w:tabs>
            </w:pPr>
            <w:r w:rsidRPr="00A764A7">
              <w:t>-cheltuieli de personal</w:t>
            </w:r>
          </w:p>
          <w:p w:rsidR="00670C79" w:rsidRPr="00A764A7" w:rsidRDefault="00670C79" w:rsidP="006A2E4E">
            <w:pPr>
              <w:tabs>
                <w:tab w:val="left" w:pos="90"/>
              </w:tabs>
            </w:pPr>
            <w:r w:rsidRPr="00A764A7">
              <w:t>-bunuri şi servicii</w:t>
            </w:r>
          </w:p>
          <w:p w:rsidR="00670C79" w:rsidRPr="00A764A7" w:rsidRDefault="00670C79" w:rsidP="006A2E4E">
            <w:pPr>
              <w:tabs>
                <w:tab w:val="left" w:pos="90"/>
              </w:tabs>
            </w:pPr>
            <w:r w:rsidRPr="00A764A7">
              <w:t>c)bugetul asigurărilor sociale</w:t>
            </w:r>
          </w:p>
          <w:p w:rsidR="00670C79" w:rsidRPr="00A764A7" w:rsidRDefault="00670C79" w:rsidP="006A2E4E">
            <w:pPr>
              <w:tabs>
                <w:tab w:val="left" w:pos="90"/>
              </w:tabs>
            </w:pPr>
            <w:r w:rsidRPr="00A764A7">
              <w:t>-cheltuieli de personal</w:t>
            </w:r>
          </w:p>
          <w:p w:rsidR="00670C79" w:rsidRPr="00A764A7" w:rsidRDefault="00670C79" w:rsidP="006A2E4E">
            <w:pPr>
              <w:tabs>
                <w:tab w:val="left" w:pos="90"/>
              </w:tabs>
            </w:pPr>
            <w:r w:rsidRPr="00A764A7">
              <w:t>-bunuri şi servicii</w:t>
            </w:r>
          </w:p>
        </w:tc>
        <w:tc>
          <w:tcPr>
            <w:tcW w:w="1080" w:type="dxa"/>
          </w:tcPr>
          <w:p w:rsidR="00670C79" w:rsidRPr="00A764A7" w:rsidRDefault="00670C79" w:rsidP="006A2E4E">
            <w:pPr>
              <w:tabs>
                <w:tab w:val="left" w:pos="90"/>
              </w:tabs>
              <w:jc w:val="both"/>
            </w:pPr>
          </w:p>
          <w:p w:rsidR="00670C79" w:rsidRPr="00A764A7" w:rsidRDefault="00670C79" w:rsidP="006A2E4E">
            <w:pPr>
              <w:tabs>
                <w:tab w:val="left" w:pos="90"/>
              </w:tabs>
              <w:jc w:val="both"/>
            </w:pPr>
          </w:p>
        </w:tc>
        <w:tc>
          <w:tcPr>
            <w:tcW w:w="900" w:type="dxa"/>
          </w:tcPr>
          <w:p w:rsidR="00670C79" w:rsidRPr="00A764A7" w:rsidRDefault="00670C79" w:rsidP="006A2E4E">
            <w:pPr>
              <w:tabs>
                <w:tab w:val="left" w:pos="90"/>
              </w:tabs>
            </w:pPr>
          </w:p>
          <w:p w:rsidR="00670C79" w:rsidRPr="00A764A7" w:rsidRDefault="00670C79" w:rsidP="006A2E4E">
            <w:pPr>
              <w:tabs>
                <w:tab w:val="left" w:pos="90"/>
              </w:tabs>
            </w:pPr>
          </w:p>
        </w:tc>
        <w:tc>
          <w:tcPr>
            <w:tcW w:w="1080" w:type="dxa"/>
          </w:tcPr>
          <w:p w:rsidR="00670C79" w:rsidRPr="00A764A7" w:rsidRDefault="00670C79" w:rsidP="006A2E4E">
            <w:pPr>
              <w:tabs>
                <w:tab w:val="left" w:pos="90"/>
              </w:tabs>
            </w:pPr>
          </w:p>
          <w:p w:rsidR="00670C79" w:rsidRPr="00A764A7" w:rsidRDefault="00670C79" w:rsidP="006A2E4E">
            <w:pPr>
              <w:tabs>
                <w:tab w:val="left" w:pos="90"/>
              </w:tabs>
            </w:pPr>
          </w:p>
        </w:tc>
        <w:tc>
          <w:tcPr>
            <w:tcW w:w="1080" w:type="dxa"/>
          </w:tcPr>
          <w:p w:rsidR="00670C79" w:rsidRPr="00A764A7" w:rsidRDefault="00670C79" w:rsidP="006A2E4E">
            <w:pPr>
              <w:tabs>
                <w:tab w:val="left" w:pos="90"/>
              </w:tabs>
            </w:pPr>
          </w:p>
          <w:p w:rsidR="00670C79" w:rsidRPr="00A764A7" w:rsidRDefault="00670C79" w:rsidP="006A2E4E">
            <w:pPr>
              <w:tabs>
                <w:tab w:val="left" w:pos="90"/>
              </w:tabs>
            </w:pPr>
          </w:p>
        </w:tc>
        <w:tc>
          <w:tcPr>
            <w:tcW w:w="1260" w:type="dxa"/>
          </w:tcPr>
          <w:p w:rsidR="00670C79" w:rsidRPr="00A764A7" w:rsidRDefault="00670C79" w:rsidP="006A2E4E">
            <w:pPr>
              <w:tabs>
                <w:tab w:val="left" w:pos="90"/>
              </w:tabs>
            </w:pPr>
          </w:p>
          <w:p w:rsidR="00670C79" w:rsidRPr="00A764A7" w:rsidRDefault="00670C79" w:rsidP="006A2E4E">
            <w:pPr>
              <w:tabs>
                <w:tab w:val="left" w:pos="90"/>
              </w:tabs>
            </w:pPr>
          </w:p>
        </w:tc>
        <w:tc>
          <w:tcPr>
            <w:tcW w:w="1980" w:type="dxa"/>
          </w:tcPr>
          <w:p w:rsidR="00670C79" w:rsidRPr="00A764A7" w:rsidRDefault="00670C79" w:rsidP="006A2E4E">
            <w:pPr>
              <w:tabs>
                <w:tab w:val="left" w:pos="90"/>
              </w:tabs>
            </w:pPr>
          </w:p>
          <w:p w:rsidR="00670C79" w:rsidRPr="00A764A7" w:rsidRDefault="00670C79" w:rsidP="006A2E4E">
            <w:pPr>
              <w:tabs>
                <w:tab w:val="left" w:pos="90"/>
              </w:tabs>
            </w:pPr>
          </w:p>
        </w:tc>
      </w:tr>
      <w:tr w:rsidR="00670C79" w:rsidRPr="00A764A7" w:rsidTr="00A65D25">
        <w:tc>
          <w:tcPr>
            <w:tcW w:w="2880" w:type="dxa"/>
          </w:tcPr>
          <w:p w:rsidR="00670C79" w:rsidRPr="00A764A7" w:rsidRDefault="00670C79" w:rsidP="006A2E4E">
            <w:pPr>
              <w:tabs>
                <w:tab w:val="left" w:pos="90"/>
              </w:tabs>
              <w:spacing w:after="60"/>
            </w:pPr>
            <w:r w:rsidRPr="00A764A7">
              <w:t>3.Impact financiar, plus/minus, din care:</w:t>
            </w:r>
          </w:p>
          <w:p w:rsidR="00670C79" w:rsidRPr="00A764A7" w:rsidRDefault="00670C79" w:rsidP="006A2E4E">
            <w:pPr>
              <w:tabs>
                <w:tab w:val="left" w:pos="90"/>
              </w:tabs>
              <w:spacing w:after="60"/>
            </w:pPr>
            <w:r w:rsidRPr="00A764A7">
              <w:t>a) buget de stat</w:t>
            </w:r>
          </w:p>
          <w:p w:rsidR="00670C79" w:rsidRPr="00A764A7" w:rsidRDefault="00670C79" w:rsidP="006A2E4E">
            <w:pPr>
              <w:tabs>
                <w:tab w:val="left" w:pos="90"/>
              </w:tabs>
              <w:spacing w:after="60"/>
            </w:pPr>
            <w:r w:rsidRPr="00A764A7">
              <w:t>b)bugete locale</w:t>
            </w:r>
          </w:p>
        </w:tc>
        <w:tc>
          <w:tcPr>
            <w:tcW w:w="7380" w:type="dxa"/>
            <w:gridSpan w:val="6"/>
            <w:vAlign w:val="center"/>
          </w:tcPr>
          <w:p w:rsidR="00670C79" w:rsidRPr="00A764A7" w:rsidRDefault="00670C79" w:rsidP="006A2E4E">
            <w:pPr>
              <w:tabs>
                <w:tab w:val="left" w:pos="90"/>
              </w:tabs>
              <w:spacing w:after="60"/>
            </w:pPr>
            <w:r w:rsidRPr="00A764A7">
              <w:rPr>
                <w:noProof/>
              </w:rPr>
              <w:t>Proiectul de act normativ nu se referă la acest subiect.</w:t>
            </w:r>
          </w:p>
        </w:tc>
      </w:tr>
      <w:tr w:rsidR="00670C79" w:rsidRPr="00A764A7" w:rsidTr="00A65D25">
        <w:tc>
          <w:tcPr>
            <w:tcW w:w="2880" w:type="dxa"/>
          </w:tcPr>
          <w:p w:rsidR="00670C79" w:rsidRPr="00A764A7" w:rsidRDefault="00670C79" w:rsidP="006A2E4E">
            <w:pPr>
              <w:tabs>
                <w:tab w:val="left" w:pos="90"/>
              </w:tabs>
              <w:spacing w:after="60"/>
            </w:pPr>
            <w:r w:rsidRPr="00A764A7">
              <w:t xml:space="preserve">4. Propuneri pentru </w:t>
            </w:r>
          </w:p>
          <w:p w:rsidR="00670C79" w:rsidRPr="00A764A7" w:rsidRDefault="00670C79" w:rsidP="006A2E4E">
            <w:pPr>
              <w:tabs>
                <w:tab w:val="left" w:pos="90"/>
              </w:tabs>
              <w:spacing w:after="60"/>
            </w:pPr>
            <w:r w:rsidRPr="00A764A7">
              <w:t>acoperirea creşterilor de cheltuieli</w:t>
            </w:r>
          </w:p>
        </w:tc>
        <w:tc>
          <w:tcPr>
            <w:tcW w:w="7380" w:type="dxa"/>
            <w:gridSpan w:val="6"/>
            <w:vAlign w:val="center"/>
          </w:tcPr>
          <w:p w:rsidR="00670C79" w:rsidRPr="00A764A7" w:rsidRDefault="00670C79" w:rsidP="006A2E4E">
            <w:pPr>
              <w:tabs>
                <w:tab w:val="left" w:pos="90"/>
              </w:tabs>
              <w:spacing w:after="60"/>
              <w:rPr>
                <w:noProof/>
              </w:rPr>
            </w:pPr>
            <w:r w:rsidRPr="00A764A7">
              <w:rPr>
                <w:noProof/>
              </w:rPr>
              <w:t>Proiectul de act normativ nu se referă la acest subiect.</w:t>
            </w:r>
          </w:p>
        </w:tc>
      </w:tr>
      <w:tr w:rsidR="00670C79" w:rsidRPr="00A764A7" w:rsidTr="00A65D25">
        <w:tc>
          <w:tcPr>
            <w:tcW w:w="2880" w:type="dxa"/>
          </w:tcPr>
          <w:p w:rsidR="00670C79" w:rsidRPr="00A764A7" w:rsidRDefault="00670C79" w:rsidP="006A2E4E">
            <w:pPr>
              <w:tabs>
                <w:tab w:val="left" w:pos="90"/>
              </w:tabs>
              <w:spacing w:after="60"/>
            </w:pPr>
            <w:r w:rsidRPr="00A764A7">
              <w:t>5. Propuneri pentru acoperirea scăderilor  de venituri</w:t>
            </w:r>
          </w:p>
        </w:tc>
        <w:tc>
          <w:tcPr>
            <w:tcW w:w="7380" w:type="dxa"/>
            <w:gridSpan w:val="6"/>
            <w:vAlign w:val="center"/>
          </w:tcPr>
          <w:p w:rsidR="00670C79" w:rsidRPr="00A764A7" w:rsidRDefault="00670C79" w:rsidP="006A2E4E">
            <w:pPr>
              <w:tabs>
                <w:tab w:val="left" w:pos="90"/>
              </w:tabs>
              <w:spacing w:after="60"/>
              <w:rPr>
                <w:noProof/>
              </w:rPr>
            </w:pPr>
            <w:r w:rsidRPr="00A764A7">
              <w:rPr>
                <w:noProof/>
              </w:rPr>
              <w:t>Proiectul de act normativ nu se referă la acest subiect.</w:t>
            </w:r>
          </w:p>
        </w:tc>
      </w:tr>
      <w:tr w:rsidR="00670C79" w:rsidRPr="00A764A7" w:rsidTr="00A65D25">
        <w:tc>
          <w:tcPr>
            <w:tcW w:w="2880" w:type="dxa"/>
          </w:tcPr>
          <w:p w:rsidR="00670C79" w:rsidRPr="00A764A7" w:rsidRDefault="00670C79" w:rsidP="006A2E4E">
            <w:pPr>
              <w:tabs>
                <w:tab w:val="left" w:pos="90"/>
              </w:tabs>
              <w:spacing w:after="60"/>
            </w:pPr>
            <w:r w:rsidRPr="00A764A7">
              <w:t>6. Calcule detaliate privind fundamentarea modificărilor  veniturilor şi/sau cheltuielilor bugetare</w:t>
            </w:r>
          </w:p>
        </w:tc>
        <w:tc>
          <w:tcPr>
            <w:tcW w:w="7380" w:type="dxa"/>
            <w:gridSpan w:val="6"/>
            <w:vAlign w:val="center"/>
          </w:tcPr>
          <w:p w:rsidR="00670C79" w:rsidRPr="00A764A7" w:rsidRDefault="00670C79" w:rsidP="006A2E4E">
            <w:pPr>
              <w:tabs>
                <w:tab w:val="left" w:pos="90"/>
              </w:tabs>
              <w:spacing w:after="60"/>
              <w:rPr>
                <w:noProof/>
              </w:rPr>
            </w:pPr>
            <w:r w:rsidRPr="00A764A7">
              <w:rPr>
                <w:noProof/>
              </w:rPr>
              <w:t>Proiectul de act normativ nu se referă la acest subiect.</w:t>
            </w:r>
          </w:p>
        </w:tc>
      </w:tr>
      <w:tr w:rsidR="00670C79" w:rsidRPr="00A764A7" w:rsidTr="00A65D25">
        <w:tc>
          <w:tcPr>
            <w:tcW w:w="2880" w:type="dxa"/>
          </w:tcPr>
          <w:p w:rsidR="00670C79" w:rsidRPr="00A764A7" w:rsidRDefault="00670C79" w:rsidP="006A2E4E">
            <w:pPr>
              <w:tabs>
                <w:tab w:val="left" w:pos="90"/>
              </w:tabs>
              <w:spacing w:after="60"/>
            </w:pPr>
            <w:r w:rsidRPr="00A764A7">
              <w:t>7. Alte informaţii</w:t>
            </w:r>
          </w:p>
        </w:tc>
        <w:tc>
          <w:tcPr>
            <w:tcW w:w="7380" w:type="dxa"/>
            <w:gridSpan w:val="6"/>
          </w:tcPr>
          <w:p w:rsidR="00670C79" w:rsidRPr="00A764A7" w:rsidRDefault="00B6189F" w:rsidP="000A19DE">
            <w:pPr>
              <w:tabs>
                <w:tab w:val="left" w:pos="90"/>
              </w:tabs>
              <w:spacing w:after="60"/>
              <w:jc w:val="both"/>
            </w:pPr>
            <w:r w:rsidRPr="00A764A7">
              <w:t xml:space="preserve">Operațiunile reglementate prin prezentul proiect de act normativ nu au impact bugetar, deoarece sumele alocate în bugetele ordonatorilor principali de credite necesare reîntregirii fondurilor utilizate temporar din conturile de disponibil de sume de la bugetul de stat pentru continuarea finanțării proiectelor/programelor finanțate din fonduri europene, se transferă ulterior către </w:t>
            </w:r>
            <w:r w:rsidRPr="00A764A7">
              <w:rPr>
                <w:color w:val="000000"/>
              </w:rPr>
              <w:t xml:space="preserve">bugetul de stat, cel târziu până la sfârșitul fiecărui exercițiu financiar, </w:t>
            </w:r>
            <w:r w:rsidRPr="00A764A7">
              <w:t>corespunzător poziției bugetare de venituri pentru sume provenite din finanțarea anilor precedenți, pe codul de identificare fiscală al</w:t>
            </w:r>
            <w:r w:rsidR="0077640D" w:rsidRPr="00A764A7">
              <w:t xml:space="preserve"> Ministerului Finanțelor</w:t>
            </w:r>
            <w:r w:rsidRPr="00A764A7">
              <w:t xml:space="preserve"> - Acțiuni generale.”</w:t>
            </w:r>
          </w:p>
          <w:p w:rsidR="009D7815" w:rsidRPr="00A764A7" w:rsidRDefault="009D7815" w:rsidP="009D7815">
            <w:pPr>
              <w:autoSpaceDE w:val="0"/>
              <w:autoSpaceDN w:val="0"/>
              <w:adjustRightInd w:val="0"/>
              <w:jc w:val="both"/>
            </w:pPr>
            <w:r w:rsidRPr="00A764A7">
              <w:t xml:space="preserve">Sumele necesare a fi asigurate prin bugetele ordonatorilor principali de </w:t>
            </w:r>
            <w:r w:rsidR="00A764A7" w:rsidRPr="00A764A7">
              <w:t>credite cu rol de autoritate</w:t>
            </w:r>
            <w:r w:rsidRPr="00A764A7">
              <w:t xml:space="preserve"> de management/autoritate de implementare sunt estimate la 78.074.300 lei din care:</w:t>
            </w:r>
          </w:p>
          <w:p w:rsidR="009D7815" w:rsidRPr="00A764A7" w:rsidRDefault="009D7815" w:rsidP="009D7815">
            <w:pPr>
              <w:autoSpaceDE w:val="0"/>
              <w:autoSpaceDN w:val="0"/>
              <w:adjustRightInd w:val="0"/>
              <w:jc w:val="both"/>
            </w:pPr>
            <w:r w:rsidRPr="00A764A7">
              <w:t>-</w:t>
            </w:r>
            <w:r w:rsidR="005D3F36">
              <w:t xml:space="preserve"> </w:t>
            </w:r>
            <w:r w:rsidRPr="00A764A7">
              <w:t>suma de 874.300 lei este aferentă programului SAPARD și se asigură de la bugetul de stat prin bugetul Ministerului Agriculturii și Dezvoltării Rurale în limita prevederilor bugetare anuale aprobate cu această destinație;</w:t>
            </w:r>
          </w:p>
          <w:p w:rsidR="009D7815" w:rsidRPr="00A764A7" w:rsidRDefault="009D7815" w:rsidP="009D7815">
            <w:pPr>
              <w:autoSpaceDE w:val="0"/>
              <w:autoSpaceDN w:val="0"/>
              <w:adjustRightInd w:val="0"/>
              <w:jc w:val="both"/>
            </w:pPr>
            <w:r w:rsidRPr="00A764A7">
              <w:t>- suma de 49.600.000 este aferentă programului ISPA se asigură de la bugetul de stat prin bugetele ordonatorilor principali de credite cu rol de autoritate de implementare în limita prevederilor bugetare anuale aprobate cu această destinație;</w:t>
            </w:r>
          </w:p>
          <w:p w:rsidR="009D7815" w:rsidRPr="00A764A7" w:rsidRDefault="009D7815" w:rsidP="009D7815">
            <w:pPr>
              <w:autoSpaceDE w:val="0"/>
              <w:autoSpaceDN w:val="0"/>
              <w:adjustRightInd w:val="0"/>
              <w:jc w:val="both"/>
            </w:pPr>
            <w:r w:rsidRPr="00A764A7">
              <w:t>- suma de 27.600.000 lei este aferentă anvelopei financiare 2007-2013 și reprezintă datorii la</w:t>
            </w:r>
            <w:r w:rsidR="005D3F36">
              <w:t xml:space="preserve"> </w:t>
            </w:r>
            <w:r w:rsidRPr="00A764A7">
              <w:t>fondul de indisponibilități temporare  ale POS CCE  si POAT și se asigură de la bugetul de stat prin bugetul Ministerului Investițiilor și Proiectelor Europene în limita prevederilor bugetare anuale aprobate cu această destinație.</w:t>
            </w:r>
          </w:p>
        </w:tc>
      </w:tr>
    </w:tbl>
    <w:p w:rsidR="004B14AA" w:rsidRPr="00A764A7" w:rsidRDefault="004B14AA" w:rsidP="006A2E4E">
      <w:pPr>
        <w:tabs>
          <w:tab w:val="left" w:pos="90"/>
        </w:tabs>
        <w:spacing w:after="120"/>
        <w:jc w:val="both"/>
        <w:rPr>
          <w:b/>
          <w:sz w:val="16"/>
          <w:szCs w:val="16"/>
        </w:rPr>
      </w:pPr>
    </w:p>
    <w:p w:rsidR="00670C79" w:rsidRPr="00A764A7" w:rsidRDefault="00670C79" w:rsidP="006A2E4E">
      <w:pPr>
        <w:tabs>
          <w:tab w:val="left" w:pos="90"/>
        </w:tabs>
        <w:spacing w:after="120"/>
        <w:jc w:val="both"/>
        <w:rPr>
          <w:b/>
        </w:rPr>
      </w:pPr>
      <w:r w:rsidRPr="00A764A7">
        <w:rPr>
          <w:b/>
        </w:rPr>
        <w:t>Secţiunea a 5-a - Efectele proiectului de act normativ asupra legislaţiei în vigoare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220"/>
      </w:tblGrid>
      <w:tr w:rsidR="00670C79" w:rsidRPr="00A764A7" w:rsidTr="00527866">
        <w:trPr>
          <w:trHeight w:val="561"/>
        </w:trPr>
        <w:tc>
          <w:tcPr>
            <w:tcW w:w="5040" w:type="dxa"/>
          </w:tcPr>
          <w:p w:rsidR="00670C79" w:rsidRPr="00A764A7" w:rsidRDefault="00670C79" w:rsidP="006A2E4E">
            <w:pPr>
              <w:tabs>
                <w:tab w:val="left" w:pos="90"/>
              </w:tabs>
              <w:spacing w:after="120"/>
              <w:jc w:val="both"/>
            </w:pPr>
            <w:r w:rsidRPr="00A764A7">
              <w:t>1.Măsuri normative necesare pentru aplicarea prevederilor proiectului de act normativ:</w:t>
            </w:r>
          </w:p>
          <w:p w:rsidR="00670C79" w:rsidRPr="00A764A7" w:rsidRDefault="00670C79" w:rsidP="006A2E4E">
            <w:pPr>
              <w:tabs>
                <w:tab w:val="left" w:pos="90"/>
              </w:tabs>
              <w:spacing w:after="120"/>
              <w:jc w:val="both"/>
            </w:pPr>
            <w:r w:rsidRPr="00A764A7">
              <w:t>a) acte normative în vigoare ce vor fi modificate sau abrogate, ca urmare a intrării în vigoare a proiectului de act normativ;</w:t>
            </w:r>
          </w:p>
          <w:p w:rsidR="00670C79" w:rsidRPr="00A764A7" w:rsidRDefault="00670C79" w:rsidP="006A2E4E">
            <w:pPr>
              <w:tabs>
                <w:tab w:val="left" w:pos="90"/>
              </w:tabs>
              <w:spacing w:after="120"/>
            </w:pPr>
            <w:r w:rsidRPr="00A764A7">
              <w:t>b) acte normative ce urmează a fi elaborate în vederea implementării noilor dispoziţii.</w:t>
            </w:r>
          </w:p>
        </w:tc>
        <w:tc>
          <w:tcPr>
            <w:tcW w:w="5220" w:type="dxa"/>
          </w:tcPr>
          <w:p w:rsidR="00527866" w:rsidRPr="00A764A7" w:rsidRDefault="00BA5C54" w:rsidP="00BA5C54">
            <w:pPr>
              <w:autoSpaceDE w:val="0"/>
              <w:autoSpaceDN w:val="0"/>
              <w:adjustRightInd w:val="0"/>
              <w:jc w:val="both"/>
            </w:pPr>
            <w:r w:rsidRPr="00A764A7">
              <w:t xml:space="preserve">Prezentul proiect de act normativ modifică prevederile Ordonanței de urgență a Guvernului nr. 63/1999 cu privire la gestionarea fondurilor nerambursabile alocate României de către Comunitatea Europeană, precum şi a fondurilor de cofinanțare aferente acestora și ale Ordonanței de urgență a Guvernului nr. 64/2009 privind gestionarea financiară a instrumentelor structurale şi utilizarea acestora pentru obiectivul convergență. </w:t>
            </w:r>
          </w:p>
        </w:tc>
      </w:tr>
      <w:tr w:rsidR="00670C79" w:rsidRPr="00A764A7" w:rsidTr="00A65D25">
        <w:trPr>
          <w:trHeight w:val="636"/>
        </w:trPr>
        <w:tc>
          <w:tcPr>
            <w:tcW w:w="5040" w:type="dxa"/>
          </w:tcPr>
          <w:p w:rsidR="00670C79" w:rsidRPr="00A764A7" w:rsidRDefault="00670C79" w:rsidP="006A2E4E">
            <w:pPr>
              <w:pStyle w:val="HTMLPreformatted"/>
              <w:shd w:val="clear" w:color="auto" w:fill="FFFFFF"/>
              <w:tabs>
                <w:tab w:val="left" w:pos="90"/>
              </w:tabs>
              <w:spacing w:after="120"/>
              <w:rPr>
                <w:rFonts w:ascii="Times New Roman" w:hAnsi="Times New Roman" w:cs="Times New Roman"/>
                <w:sz w:val="24"/>
                <w:szCs w:val="24"/>
              </w:rPr>
            </w:pPr>
            <w:r w:rsidRPr="00A764A7">
              <w:rPr>
                <w:rFonts w:ascii="Times New Roman" w:hAnsi="Times New Roman" w:cs="Times New Roman"/>
                <w:sz w:val="24"/>
                <w:szCs w:val="24"/>
              </w:rPr>
              <w:t>1^1. Compatibilitatea proiectului de act normativ cu legislaţia în domeniul achiziţiilor publice</w:t>
            </w:r>
          </w:p>
        </w:tc>
        <w:tc>
          <w:tcPr>
            <w:tcW w:w="5220" w:type="dxa"/>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jc w:val="both"/>
            </w:pPr>
            <w:r w:rsidRPr="00A764A7">
              <w:t>2. Conformitatea  proiectului de act normativ cu legislaţia comunitară în cazul proiectelor ce transpun prevederi comunitare</w:t>
            </w:r>
          </w:p>
        </w:tc>
        <w:tc>
          <w:tcPr>
            <w:tcW w:w="5220"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pPr>
            <w:r w:rsidRPr="00A764A7">
              <w:t>4. Hotărâri ale Curţii de Justiţie a Uniunii Europene</w:t>
            </w:r>
          </w:p>
        </w:tc>
        <w:tc>
          <w:tcPr>
            <w:tcW w:w="5220"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pPr>
            <w:r w:rsidRPr="00A764A7">
              <w:t>5. Alte acte normative şi/sau documente internaţionale din care decurg angajamente</w:t>
            </w:r>
          </w:p>
        </w:tc>
        <w:tc>
          <w:tcPr>
            <w:tcW w:w="5220"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pPr>
            <w:r w:rsidRPr="00A764A7">
              <w:t>6.Alte informaţii</w:t>
            </w:r>
          </w:p>
        </w:tc>
        <w:tc>
          <w:tcPr>
            <w:tcW w:w="5220" w:type="dxa"/>
            <w:vAlign w:val="center"/>
          </w:tcPr>
          <w:p w:rsidR="00670C79" w:rsidRPr="00A764A7" w:rsidRDefault="00670C79" w:rsidP="006A2E4E">
            <w:pPr>
              <w:tabs>
                <w:tab w:val="left" w:pos="90"/>
              </w:tabs>
              <w:spacing w:after="120"/>
              <w:jc w:val="both"/>
            </w:pPr>
            <w:r w:rsidRPr="00A764A7">
              <w:t>Nu au fost identificate.</w:t>
            </w:r>
          </w:p>
        </w:tc>
      </w:tr>
    </w:tbl>
    <w:p w:rsidR="00485C76" w:rsidRDefault="00485C76" w:rsidP="00ED58E3">
      <w:pPr>
        <w:tabs>
          <w:tab w:val="left" w:pos="90"/>
        </w:tabs>
        <w:spacing w:after="120"/>
        <w:rPr>
          <w:b/>
          <w:sz w:val="16"/>
          <w:szCs w:val="16"/>
        </w:rPr>
      </w:pPr>
    </w:p>
    <w:p w:rsidR="00A764A7" w:rsidRDefault="00A764A7" w:rsidP="00ED58E3">
      <w:pPr>
        <w:tabs>
          <w:tab w:val="left" w:pos="90"/>
        </w:tabs>
        <w:spacing w:after="120"/>
        <w:rPr>
          <w:b/>
          <w:sz w:val="16"/>
          <w:szCs w:val="16"/>
        </w:rPr>
      </w:pPr>
    </w:p>
    <w:p w:rsidR="00A764A7" w:rsidRPr="00A764A7" w:rsidRDefault="00A764A7" w:rsidP="00ED58E3">
      <w:pPr>
        <w:tabs>
          <w:tab w:val="left" w:pos="90"/>
        </w:tabs>
        <w:spacing w:after="120"/>
        <w:rPr>
          <w:b/>
          <w:sz w:val="16"/>
          <w:szCs w:val="16"/>
        </w:rPr>
      </w:pPr>
    </w:p>
    <w:p w:rsidR="00670C79" w:rsidRPr="00A764A7" w:rsidRDefault="00662A9D" w:rsidP="00ED58E3">
      <w:pPr>
        <w:tabs>
          <w:tab w:val="left" w:pos="90"/>
        </w:tabs>
        <w:spacing w:after="120"/>
        <w:rPr>
          <w:b/>
        </w:rPr>
      </w:pPr>
      <w:r w:rsidRPr="00A764A7">
        <w:rPr>
          <w:b/>
        </w:rPr>
        <w:t>Secţiunea a 6-a -</w:t>
      </w:r>
      <w:r w:rsidR="00670C79" w:rsidRPr="00A764A7">
        <w:rPr>
          <w:b/>
        </w:rPr>
        <w:t xml:space="preserve"> Consultările efectuate în vederea elaborării proiectului de act normativ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220"/>
      </w:tblGrid>
      <w:tr w:rsidR="00670C79" w:rsidRPr="00A764A7" w:rsidTr="0077640D">
        <w:trPr>
          <w:trHeight w:val="756"/>
        </w:trPr>
        <w:tc>
          <w:tcPr>
            <w:tcW w:w="5040" w:type="dxa"/>
          </w:tcPr>
          <w:p w:rsidR="00670C79" w:rsidRPr="00A764A7" w:rsidRDefault="00670C79" w:rsidP="006A2E4E">
            <w:pPr>
              <w:tabs>
                <w:tab w:val="left" w:pos="90"/>
              </w:tabs>
              <w:spacing w:after="120"/>
              <w:jc w:val="both"/>
            </w:pPr>
            <w:r w:rsidRPr="00A764A7">
              <w:t>1.Informaţii privind procesul de consultare cu organizaţii neguvernamentale, instituite de cercetare şi alte organisme implicate</w:t>
            </w:r>
          </w:p>
        </w:tc>
        <w:tc>
          <w:tcPr>
            <w:tcW w:w="5220" w:type="dxa"/>
          </w:tcPr>
          <w:p w:rsidR="00670C79" w:rsidRPr="00A764A7" w:rsidRDefault="00B779AA"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jc w:val="both"/>
            </w:pPr>
            <w:r w:rsidRPr="00A764A7">
              <w:t>2.Fundamentarea alegerii organizaţiilor cu care a avut loc consultarea, precum şi a modului în care activitatea acestor organizaţii este legată de obiectivul proiectului de act normativ</w:t>
            </w:r>
          </w:p>
        </w:tc>
        <w:tc>
          <w:tcPr>
            <w:tcW w:w="5220" w:type="dxa"/>
            <w:vAlign w:val="center"/>
          </w:tcPr>
          <w:p w:rsidR="00670C79" w:rsidRPr="00A764A7" w:rsidRDefault="00670C79" w:rsidP="006A2E4E">
            <w:pPr>
              <w:tabs>
                <w:tab w:val="left" w:pos="90"/>
              </w:tabs>
              <w:spacing w:after="120"/>
            </w:pPr>
            <w:r w:rsidRPr="00A764A7">
              <w:t>Proiectul de act normativ nu se referă la acest subiect.</w:t>
            </w:r>
          </w:p>
        </w:tc>
      </w:tr>
      <w:tr w:rsidR="00A65D25" w:rsidRPr="00A764A7" w:rsidTr="00A65D25">
        <w:tc>
          <w:tcPr>
            <w:tcW w:w="5040" w:type="dxa"/>
          </w:tcPr>
          <w:p w:rsidR="00A65D25" w:rsidRPr="00A764A7" w:rsidRDefault="00A65D25" w:rsidP="006A2E4E">
            <w:pPr>
              <w:tabs>
                <w:tab w:val="left" w:pos="90"/>
              </w:tabs>
              <w:spacing w:after="120"/>
              <w:jc w:val="both"/>
            </w:pPr>
            <w:r w:rsidRPr="00A764A7">
              <w:t>3.Consultările organizate cu autorităţile</w:t>
            </w:r>
            <w:r w:rsidR="00A764A7" w:rsidRPr="00A764A7">
              <w:t xml:space="preserve">  </w:t>
            </w:r>
            <w:r w:rsidRPr="00A764A7">
              <w:t>administraţiei publice locale, în situaţia în care proiectul de act normativ are ca obiect activităţi ale acestor autorităţi, în condiţiile Hotărârii Guvernului nr. 521/2005 privind procedura de consultare a structurilor asociative ale autorităţilor</w:t>
            </w:r>
            <w:r w:rsidR="00A764A7" w:rsidRPr="00A764A7">
              <w:t xml:space="preserve"> </w:t>
            </w:r>
            <w:r w:rsidRPr="00A764A7">
              <w:t>administraţiei publice locale la elaborarea proiectelor de acte normative</w:t>
            </w:r>
          </w:p>
        </w:tc>
        <w:tc>
          <w:tcPr>
            <w:tcW w:w="5220" w:type="dxa"/>
            <w:vAlign w:val="center"/>
          </w:tcPr>
          <w:p w:rsidR="00BE053E" w:rsidRPr="00A764A7" w:rsidRDefault="000F2023" w:rsidP="001B2580">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120"/>
            </w:pPr>
            <w:r w:rsidRPr="00A764A7">
              <w:t>4.Consultările desfăşurate în cadrul consiliilor interministeriale, în conformitate cu prevederile Hotărârii Guvernului nr. 750/2005 privind constituirea consiliilor interministeriale permanente</w:t>
            </w:r>
          </w:p>
        </w:tc>
        <w:tc>
          <w:tcPr>
            <w:tcW w:w="5220" w:type="dxa"/>
            <w:vAlign w:val="center"/>
          </w:tcPr>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A65D25">
        <w:tc>
          <w:tcPr>
            <w:tcW w:w="5040" w:type="dxa"/>
          </w:tcPr>
          <w:p w:rsidR="00670C79" w:rsidRPr="00A764A7" w:rsidRDefault="00670C79" w:rsidP="006A2E4E">
            <w:pPr>
              <w:tabs>
                <w:tab w:val="left" w:pos="90"/>
              </w:tabs>
              <w:spacing w:after="60"/>
            </w:pPr>
            <w:r w:rsidRPr="00A764A7">
              <w:t>5.Informaţii privind avizarea de către:</w:t>
            </w:r>
          </w:p>
          <w:p w:rsidR="00670C79" w:rsidRPr="00A764A7" w:rsidRDefault="00670C79" w:rsidP="006A2E4E">
            <w:pPr>
              <w:tabs>
                <w:tab w:val="left" w:pos="90"/>
              </w:tabs>
              <w:spacing w:after="60"/>
            </w:pPr>
            <w:r w:rsidRPr="00A764A7">
              <w:t>a) Consiliul legislativ</w:t>
            </w:r>
          </w:p>
          <w:p w:rsidR="00670C79" w:rsidRPr="00A764A7" w:rsidRDefault="00670C79" w:rsidP="006A2E4E">
            <w:pPr>
              <w:tabs>
                <w:tab w:val="left" w:pos="90"/>
              </w:tabs>
              <w:spacing w:after="60"/>
            </w:pPr>
            <w:r w:rsidRPr="00A764A7">
              <w:t>b)</w:t>
            </w:r>
            <w:r w:rsidR="00A764A7">
              <w:t xml:space="preserve"> </w:t>
            </w:r>
            <w:r w:rsidRPr="00A764A7">
              <w:t>Consiliul Suprem de Apărare a Ţării</w:t>
            </w:r>
          </w:p>
          <w:p w:rsidR="00670C79" w:rsidRPr="00A764A7" w:rsidRDefault="00670C79" w:rsidP="006A2E4E">
            <w:pPr>
              <w:tabs>
                <w:tab w:val="left" w:pos="90"/>
              </w:tabs>
              <w:spacing w:after="60"/>
            </w:pPr>
            <w:r w:rsidRPr="00A764A7">
              <w:t>c)</w:t>
            </w:r>
            <w:r w:rsidR="00A764A7">
              <w:t xml:space="preserve"> </w:t>
            </w:r>
            <w:r w:rsidRPr="00A764A7">
              <w:t>Consiliul Economic şi Social</w:t>
            </w:r>
          </w:p>
          <w:p w:rsidR="00670C79" w:rsidRPr="00A764A7" w:rsidRDefault="00670C79" w:rsidP="006A2E4E">
            <w:pPr>
              <w:tabs>
                <w:tab w:val="left" w:pos="90"/>
              </w:tabs>
              <w:spacing w:after="60"/>
            </w:pPr>
            <w:r w:rsidRPr="00A764A7">
              <w:t>d)</w:t>
            </w:r>
            <w:r w:rsidR="00A764A7">
              <w:t xml:space="preserve"> </w:t>
            </w:r>
            <w:r w:rsidRPr="00A764A7">
              <w:t xml:space="preserve">Consiliul </w:t>
            </w:r>
            <w:r w:rsidR="00D76E42" w:rsidRPr="00A764A7">
              <w:t>Concurenței</w:t>
            </w:r>
          </w:p>
          <w:p w:rsidR="00670C79" w:rsidRPr="00A764A7" w:rsidRDefault="00670C79" w:rsidP="006A2E4E">
            <w:pPr>
              <w:tabs>
                <w:tab w:val="left" w:pos="90"/>
              </w:tabs>
              <w:spacing w:after="60"/>
            </w:pPr>
            <w:r w:rsidRPr="00A764A7">
              <w:t>e)</w:t>
            </w:r>
            <w:r w:rsidR="00A764A7">
              <w:t xml:space="preserve"> </w:t>
            </w:r>
            <w:r w:rsidRPr="00A764A7">
              <w:t>Curtea de Conturi</w:t>
            </w:r>
          </w:p>
        </w:tc>
        <w:tc>
          <w:tcPr>
            <w:tcW w:w="5220" w:type="dxa"/>
            <w:vAlign w:val="center"/>
          </w:tcPr>
          <w:p w:rsidR="00670C79" w:rsidRPr="00A764A7" w:rsidRDefault="00485C76" w:rsidP="00FE0A8C">
            <w:pPr>
              <w:tabs>
                <w:tab w:val="left" w:pos="90"/>
              </w:tabs>
              <w:spacing w:after="60"/>
              <w:jc w:val="both"/>
            </w:pPr>
            <w:r w:rsidRPr="00A764A7">
              <w:t>Este  necesar avizul</w:t>
            </w:r>
            <w:r w:rsidR="00EA3B85">
              <w:t xml:space="preserve"> </w:t>
            </w:r>
            <w:r w:rsidR="00670C79" w:rsidRPr="00A764A7">
              <w:t>Consiliul</w:t>
            </w:r>
            <w:r w:rsidRPr="00A764A7">
              <w:t>ui</w:t>
            </w:r>
            <w:r w:rsidR="00670C79" w:rsidRPr="00A764A7">
              <w:t xml:space="preserve"> Legislativ</w:t>
            </w:r>
            <w:r w:rsidR="001B2580" w:rsidRPr="00A764A7">
              <w:t>.</w:t>
            </w:r>
          </w:p>
        </w:tc>
      </w:tr>
      <w:tr w:rsidR="00670C79" w:rsidRPr="00A764A7" w:rsidTr="00A65D25">
        <w:tc>
          <w:tcPr>
            <w:tcW w:w="5040" w:type="dxa"/>
          </w:tcPr>
          <w:p w:rsidR="00670C79" w:rsidRPr="00A764A7" w:rsidRDefault="00670C79" w:rsidP="006A2E4E">
            <w:pPr>
              <w:tabs>
                <w:tab w:val="left" w:pos="90"/>
              </w:tabs>
              <w:spacing w:after="60"/>
            </w:pPr>
            <w:r w:rsidRPr="00A764A7">
              <w:t>6.Alte informaţii</w:t>
            </w:r>
          </w:p>
        </w:tc>
        <w:tc>
          <w:tcPr>
            <w:tcW w:w="5220" w:type="dxa"/>
            <w:vAlign w:val="center"/>
          </w:tcPr>
          <w:p w:rsidR="00670C79" w:rsidRPr="00A764A7" w:rsidRDefault="00670C79" w:rsidP="006A2E4E">
            <w:pPr>
              <w:tabs>
                <w:tab w:val="left" w:pos="90"/>
              </w:tabs>
              <w:spacing w:after="60"/>
              <w:jc w:val="both"/>
            </w:pPr>
            <w:r w:rsidRPr="00A764A7">
              <w:t>Nu au fost identificate.</w:t>
            </w:r>
          </w:p>
        </w:tc>
      </w:tr>
    </w:tbl>
    <w:p w:rsidR="00BA193A" w:rsidRPr="00A764A7" w:rsidRDefault="00BA193A" w:rsidP="006A2E4E">
      <w:pPr>
        <w:pStyle w:val="BodyTextIndent2"/>
        <w:tabs>
          <w:tab w:val="left" w:pos="90"/>
        </w:tabs>
        <w:spacing w:before="0" w:line="240" w:lineRule="auto"/>
        <w:ind w:firstLine="0"/>
        <w:jc w:val="both"/>
        <w:rPr>
          <w:bCs w:val="0"/>
          <w:sz w:val="16"/>
          <w:szCs w:val="16"/>
        </w:rPr>
      </w:pPr>
    </w:p>
    <w:p w:rsidR="00670C79" w:rsidRPr="00A764A7" w:rsidRDefault="00670C79" w:rsidP="00141F36">
      <w:pPr>
        <w:pStyle w:val="BodyTextIndent2"/>
        <w:tabs>
          <w:tab w:val="left" w:pos="90"/>
        </w:tabs>
        <w:spacing w:before="0" w:line="240" w:lineRule="auto"/>
        <w:ind w:left="270" w:firstLine="0"/>
        <w:jc w:val="both"/>
        <w:rPr>
          <w:bCs w:val="0"/>
          <w:sz w:val="24"/>
        </w:rPr>
      </w:pPr>
      <w:r w:rsidRPr="00A764A7">
        <w:rPr>
          <w:bCs w:val="0"/>
          <w:sz w:val="24"/>
        </w:rPr>
        <w:t>Secţiunea a 7-a  Activităţi de informare publică privind elaborarea şi implementarea proiectului de act normativ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4"/>
        <w:gridCol w:w="6466"/>
      </w:tblGrid>
      <w:tr w:rsidR="00670C79" w:rsidRPr="00A764A7" w:rsidTr="00BA193A">
        <w:tc>
          <w:tcPr>
            <w:tcW w:w="3774" w:type="dxa"/>
          </w:tcPr>
          <w:p w:rsidR="00670C79" w:rsidRPr="00A764A7" w:rsidRDefault="00670C79" w:rsidP="006A2E4E">
            <w:pPr>
              <w:tabs>
                <w:tab w:val="left" w:pos="90"/>
              </w:tabs>
              <w:spacing w:after="120"/>
            </w:pPr>
            <w:r w:rsidRPr="00A764A7">
              <w:t>1.Informarea societăţii civile cu privire la necesitatea elaborării proiectului de act normativ</w:t>
            </w:r>
          </w:p>
        </w:tc>
        <w:tc>
          <w:tcPr>
            <w:tcW w:w="6466" w:type="dxa"/>
          </w:tcPr>
          <w:p w:rsidR="00670C79" w:rsidRPr="00A764A7" w:rsidRDefault="00485C76" w:rsidP="00485C76">
            <w:pPr>
              <w:jc w:val="both"/>
            </w:pPr>
            <w:r w:rsidRPr="00A764A7">
              <w:t>Prezentul proiect de act normativ respectă prevederile art. 7 al</w:t>
            </w:r>
            <w:r w:rsidR="00A764A7" w:rsidRPr="00A764A7">
              <w:t xml:space="preserve">in. (13) </w:t>
            </w:r>
            <w:r w:rsidRPr="00A764A7">
              <w:t>din Legea nr. 52/2003 privind transparența decizională în administrația publică, republicată, și a fost publicat în dezbatere publică pe pagina de internet a Ministerului Finanțelor Publice</w:t>
            </w:r>
            <w:r w:rsidR="004B14AA" w:rsidRPr="00A764A7">
              <w:t>.</w:t>
            </w:r>
          </w:p>
        </w:tc>
      </w:tr>
      <w:tr w:rsidR="00670C79" w:rsidRPr="00A764A7" w:rsidTr="00BA193A">
        <w:tc>
          <w:tcPr>
            <w:tcW w:w="3774" w:type="dxa"/>
          </w:tcPr>
          <w:p w:rsidR="00670C79" w:rsidRPr="00A764A7" w:rsidRDefault="00670C79" w:rsidP="00A764A7">
            <w:pPr>
              <w:tabs>
                <w:tab w:val="left" w:pos="90"/>
              </w:tabs>
              <w:spacing w:after="120"/>
              <w:jc w:val="both"/>
            </w:pPr>
            <w:r w:rsidRPr="00A764A7">
              <w:t>2.Informarea societăţii civile cu privire la eventualul impact asupra mediului în urma implementării proiectului de act normativ, precum şi efectele asupra sănătăţii</w:t>
            </w:r>
            <w:r w:rsidR="00A764A7" w:rsidRPr="00A764A7">
              <w:t xml:space="preserve"> </w:t>
            </w:r>
            <w:r w:rsidRPr="00A764A7">
              <w:t>şi</w:t>
            </w:r>
            <w:r w:rsidR="00A764A7" w:rsidRPr="00A764A7">
              <w:t xml:space="preserve"> </w:t>
            </w:r>
            <w:r w:rsidRPr="00A764A7">
              <w:t>securităţii</w:t>
            </w:r>
            <w:r w:rsidR="00A764A7" w:rsidRPr="00A764A7">
              <w:t xml:space="preserve"> </w:t>
            </w:r>
            <w:r w:rsidRPr="00A764A7">
              <w:t>cetăţeanului sau diversităţii biologice</w:t>
            </w:r>
          </w:p>
        </w:tc>
        <w:tc>
          <w:tcPr>
            <w:tcW w:w="6466" w:type="dxa"/>
          </w:tcPr>
          <w:p w:rsidR="00670C79" w:rsidRPr="00A764A7" w:rsidRDefault="00670C79" w:rsidP="006A2E4E">
            <w:pPr>
              <w:tabs>
                <w:tab w:val="left" w:pos="90"/>
              </w:tabs>
              <w:spacing w:after="120"/>
              <w:jc w:val="both"/>
            </w:pPr>
          </w:p>
          <w:p w:rsidR="00670C79" w:rsidRPr="00A764A7" w:rsidRDefault="00670C79" w:rsidP="006A2E4E">
            <w:pPr>
              <w:tabs>
                <w:tab w:val="left" w:pos="90"/>
              </w:tabs>
              <w:spacing w:after="120"/>
              <w:jc w:val="both"/>
            </w:pPr>
            <w:r w:rsidRPr="00A764A7">
              <w:t>Proiectul de act normativ nu se referă la acest subiect.</w:t>
            </w:r>
          </w:p>
        </w:tc>
      </w:tr>
      <w:tr w:rsidR="00670C79" w:rsidRPr="00A764A7" w:rsidTr="00BA193A">
        <w:tc>
          <w:tcPr>
            <w:tcW w:w="3774" w:type="dxa"/>
          </w:tcPr>
          <w:p w:rsidR="00670C79" w:rsidRPr="00A764A7" w:rsidRDefault="00670C79" w:rsidP="006A2E4E">
            <w:pPr>
              <w:tabs>
                <w:tab w:val="left" w:pos="90"/>
              </w:tabs>
              <w:spacing w:after="120"/>
            </w:pPr>
            <w:r w:rsidRPr="00A764A7">
              <w:t>3. Alte informaţii</w:t>
            </w:r>
          </w:p>
        </w:tc>
        <w:tc>
          <w:tcPr>
            <w:tcW w:w="6466" w:type="dxa"/>
            <w:vAlign w:val="center"/>
          </w:tcPr>
          <w:p w:rsidR="00670C79" w:rsidRPr="00A764A7" w:rsidRDefault="00670C79" w:rsidP="006A2E4E">
            <w:pPr>
              <w:tabs>
                <w:tab w:val="left" w:pos="90"/>
              </w:tabs>
              <w:spacing w:after="120"/>
              <w:jc w:val="both"/>
            </w:pPr>
            <w:r w:rsidRPr="00A764A7">
              <w:t>Nu au fost identificate.</w:t>
            </w:r>
          </w:p>
        </w:tc>
      </w:tr>
    </w:tbl>
    <w:p w:rsidR="007E4FF0" w:rsidRPr="00A764A7" w:rsidRDefault="007E4FF0" w:rsidP="006A2E4E">
      <w:pPr>
        <w:tabs>
          <w:tab w:val="left" w:pos="90"/>
        </w:tabs>
        <w:spacing w:after="120"/>
        <w:rPr>
          <w:b/>
          <w:sz w:val="16"/>
          <w:szCs w:val="16"/>
        </w:rPr>
      </w:pPr>
    </w:p>
    <w:p w:rsidR="00670C79" w:rsidRPr="00A764A7" w:rsidRDefault="00670C79" w:rsidP="006A2E4E">
      <w:pPr>
        <w:tabs>
          <w:tab w:val="left" w:pos="90"/>
        </w:tabs>
        <w:spacing w:after="120"/>
        <w:rPr>
          <w:b/>
        </w:rPr>
      </w:pPr>
      <w:r w:rsidRPr="00A764A7">
        <w:rPr>
          <w:b/>
        </w:rPr>
        <w:t>Secţiunea a 8- a. Măsuri de implementare</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6480"/>
      </w:tblGrid>
      <w:tr w:rsidR="00670C79" w:rsidRPr="00A764A7" w:rsidTr="00A65D25">
        <w:tc>
          <w:tcPr>
            <w:tcW w:w="3780" w:type="dxa"/>
          </w:tcPr>
          <w:p w:rsidR="00135D7F" w:rsidRPr="00A764A7" w:rsidRDefault="00670C79" w:rsidP="00141F36">
            <w:pPr>
              <w:pStyle w:val="ListParagraph"/>
              <w:numPr>
                <w:ilvl w:val="0"/>
                <w:numId w:val="10"/>
              </w:numPr>
              <w:tabs>
                <w:tab w:val="left" w:pos="90"/>
              </w:tabs>
              <w:spacing w:after="120"/>
              <w:ind w:left="-41" w:firstLine="90"/>
              <w:jc w:val="both"/>
            </w:pPr>
            <w:r w:rsidRPr="00A764A7">
              <w:rPr>
                <w:rFonts w:ascii="Times New Roman" w:hAnsi="Times New Roman" w:cs="Times New Roman"/>
              </w:rPr>
              <w:t>Măsuri de punere în aplicare a proiectului de act normativ de către autorităţile administrative publice centrale şi/sau locale-înfiinţarea sau extinderea competenţei</w:t>
            </w:r>
            <w:r w:rsidR="00A764A7">
              <w:rPr>
                <w:rFonts w:ascii="Times New Roman" w:hAnsi="Times New Roman" w:cs="Times New Roman"/>
              </w:rPr>
              <w:t xml:space="preserve"> </w:t>
            </w:r>
            <w:r w:rsidRPr="00A764A7">
              <w:rPr>
                <w:rFonts w:ascii="Times New Roman" w:hAnsi="Times New Roman" w:cs="Times New Roman"/>
              </w:rPr>
              <w:t>instituţiilor existente</w:t>
            </w:r>
          </w:p>
        </w:tc>
        <w:tc>
          <w:tcPr>
            <w:tcW w:w="6480" w:type="dxa"/>
            <w:vAlign w:val="center"/>
          </w:tcPr>
          <w:p w:rsidR="00670C79" w:rsidRPr="00A764A7" w:rsidRDefault="00670C79" w:rsidP="006A2E4E">
            <w:pPr>
              <w:pStyle w:val="Heading1"/>
              <w:tabs>
                <w:tab w:val="left" w:pos="90"/>
              </w:tabs>
              <w:spacing w:after="120" w:line="240" w:lineRule="auto"/>
              <w:jc w:val="both"/>
              <w:rPr>
                <w:sz w:val="24"/>
              </w:rPr>
            </w:pPr>
            <w:r w:rsidRPr="00A764A7">
              <w:rPr>
                <w:sz w:val="24"/>
              </w:rPr>
              <w:t>Proiectul de act normativ nu se referă la acest subiect.</w:t>
            </w:r>
          </w:p>
        </w:tc>
      </w:tr>
      <w:tr w:rsidR="00670C79" w:rsidRPr="00A764A7" w:rsidTr="00A65D25">
        <w:tc>
          <w:tcPr>
            <w:tcW w:w="3780" w:type="dxa"/>
          </w:tcPr>
          <w:p w:rsidR="00670C79" w:rsidRPr="00A764A7" w:rsidRDefault="00670C79" w:rsidP="006A2E4E">
            <w:pPr>
              <w:tabs>
                <w:tab w:val="left" w:pos="90"/>
              </w:tabs>
              <w:spacing w:after="120"/>
              <w:jc w:val="both"/>
            </w:pPr>
            <w:r w:rsidRPr="00A764A7">
              <w:t>2. Alte informaţii</w:t>
            </w:r>
          </w:p>
        </w:tc>
        <w:tc>
          <w:tcPr>
            <w:tcW w:w="6480" w:type="dxa"/>
            <w:vAlign w:val="center"/>
          </w:tcPr>
          <w:p w:rsidR="00135D7F" w:rsidRPr="00A764A7" w:rsidRDefault="00670C79" w:rsidP="006A2E4E">
            <w:pPr>
              <w:tabs>
                <w:tab w:val="left" w:pos="90"/>
              </w:tabs>
              <w:spacing w:after="120"/>
              <w:jc w:val="both"/>
            </w:pPr>
            <w:r w:rsidRPr="00A764A7">
              <w:t>Nu au fost identificate.</w:t>
            </w:r>
          </w:p>
        </w:tc>
      </w:tr>
    </w:tbl>
    <w:p w:rsidR="00485C76" w:rsidRPr="00A764A7" w:rsidRDefault="00485C76" w:rsidP="00ED58E3">
      <w:pPr>
        <w:widowControl w:val="0"/>
        <w:tabs>
          <w:tab w:val="left" w:pos="90"/>
        </w:tabs>
        <w:jc w:val="both"/>
      </w:pPr>
    </w:p>
    <w:p w:rsidR="006B075E" w:rsidRPr="00A764A7" w:rsidRDefault="00670C79" w:rsidP="00ED58E3">
      <w:pPr>
        <w:widowControl w:val="0"/>
        <w:tabs>
          <w:tab w:val="left" w:pos="90"/>
        </w:tabs>
        <w:jc w:val="both"/>
      </w:pPr>
      <w:r w:rsidRPr="00A764A7">
        <w:t xml:space="preserve">Faţă de cele prezentate mai sus, a fost promovat prezentul proiect de </w:t>
      </w:r>
      <w:r w:rsidR="00720412" w:rsidRPr="00A764A7">
        <w:t>Lege</w:t>
      </w:r>
      <w:r w:rsidR="00A764A7">
        <w:t xml:space="preserve"> </w:t>
      </w:r>
      <w:r w:rsidR="000F76EA" w:rsidRPr="00A764A7">
        <w:t>pentru</w:t>
      </w:r>
      <w:r w:rsidR="00A764A7">
        <w:t xml:space="preserve"> </w:t>
      </w:r>
      <w:r w:rsidR="00ED58E3" w:rsidRPr="00A764A7">
        <w:t>modificarea și completarea unor acte normative din domeniul fondurilor europene</w:t>
      </w:r>
      <w:r w:rsidR="00485C76" w:rsidRPr="00A764A7">
        <w:t>, pe care îl supunem aprobării</w:t>
      </w:r>
      <w:r w:rsidRPr="00A764A7">
        <w:t>.</w:t>
      </w:r>
    </w:p>
    <w:p w:rsidR="00B2584C" w:rsidRPr="00A764A7" w:rsidRDefault="00B2584C" w:rsidP="00ED58E3">
      <w:pPr>
        <w:widowControl w:val="0"/>
        <w:tabs>
          <w:tab w:val="left" w:pos="90"/>
        </w:tabs>
        <w:jc w:val="both"/>
        <w:rPr>
          <w:sz w:val="4"/>
          <w:szCs w:val="4"/>
        </w:rPr>
      </w:pPr>
    </w:p>
    <w:p w:rsidR="00534276" w:rsidRPr="00A764A7" w:rsidRDefault="00534276" w:rsidP="006A2E4E">
      <w:pPr>
        <w:tabs>
          <w:tab w:val="left" w:pos="90"/>
        </w:tabs>
        <w:spacing w:after="120"/>
        <w:jc w:val="both"/>
        <w:rPr>
          <w:b/>
          <w:bCs/>
        </w:rPr>
      </w:pPr>
    </w:p>
    <w:p w:rsidR="00800385" w:rsidRDefault="00800385" w:rsidP="00B50E80">
      <w:pPr>
        <w:jc w:val="center"/>
        <w:rPr>
          <w:rFonts w:eastAsia="Calibri"/>
          <w:b/>
        </w:rPr>
      </w:pPr>
    </w:p>
    <w:p w:rsidR="00B50E80" w:rsidRPr="00A764A7" w:rsidRDefault="00B50E80" w:rsidP="00B50E80">
      <w:pPr>
        <w:jc w:val="center"/>
        <w:rPr>
          <w:rFonts w:eastAsia="Calibri"/>
          <w:b/>
        </w:rPr>
      </w:pPr>
      <w:r w:rsidRPr="00A764A7">
        <w:rPr>
          <w:rFonts w:eastAsia="Calibri"/>
          <w:b/>
        </w:rPr>
        <w:t xml:space="preserve">MINISTRUL FINANȚELOR </w:t>
      </w:r>
    </w:p>
    <w:p w:rsidR="00B50E80" w:rsidRPr="00A764A7" w:rsidRDefault="00EE50D2" w:rsidP="00B50E80">
      <w:pPr>
        <w:jc w:val="center"/>
        <w:rPr>
          <w:rFonts w:eastAsia="Calibri"/>
          <w:b/>
        </w:rPr>
      </w:pPr>
      <w:r w:rsidRPr="00A764A7">
        <w:rPr>
          <w:rFonts w:eastAsia="Calibri"/>
          <w:b/>
        </w:rPr>
        <w:t>ALEXANDRU NAZARE</w:t>
      </w:r>
    </w:p>
    <w:p w:rsidR="00B50E80" w:rsidRPr="00A764A7" w:rsidRDefault="00B50E80" w:rsidP="0077640D">
      <w:pPr>
        <w:autoSpaceDE w:val="0"/>
        <w:autoSpaceDN w:val="0"/>
        <w:adjustRightInd w:val="0"/>
        <w:spacing w:line="360" w:lineRule="auto"/>
        <w:rPr>
          <w:rFonts w:eastAsia="Calibri"/>
          <w:b/>
        </w:rPr>
      </w:pPr>
    </w:p>
    <w:p w:rsidR="00D70202" w:rsidRDefault="00D70202" w:rsidP="00800385">
      <w:pPr>
        <w:pStyle w:val="NormalWeb"/>
        <w:spacing w:before="0" w:beforeAutospacing="0" w:after="240" w:afterAutospacing="0"/>
        <w:rPr>
          <w:b/>
          <w:sz w:val="16"/>
          <w:szCs w:val="16"/>
          <w:lang w:val="ro-RO"/>
        </w:rPr>
      </w:pPr>
    </w:p>
    <w:p w:rsidR="002F7518" w:rsidRPr="002F7518" w:rsidRDefault="002F7518" w:rsidP="002F7518">
      <w:pPr>
        <w:pStyle w:val="NormalWeb"/>
        <w:spacing w:before="0" w:beforeAutospacing="0" w:after="240" w:afterAutospacing="0"/>
        <w:rPr>
          <w:b/>
          <w:sz w:val="16"/>
          <w:szCs w:val="16"/>
          <w:lang w:val="ro-RO"/>
        </w:rPr>
      </w:pPr>
    </w:p>
    <w:p w:rsidR="002F7518" w:rsidRDefault="002F7518" w:rsidP="002F7518">
      <w:pPr>
        <w:rPr>
          <w:b/>
          <w:sz w:val="16"/>
          <w:szCs w:val="16"/>
        </w:rPr>
      </w:pPr>
    </w:p>
    <w:p w:rsidR="002F7518" w:rsidRDefault="002F7518" w:rsidP="002F7518">
      <w:pPr>
        <w:jc w:val="center"/>
        <w:rPr>
          <w:b/>
        </w:rPr>
      </w:pPr>
      <w:r>
        <w:rPr>
          <w:b/>
        </w:rPr>
        <w:t>Avizat:</w:t>
      </w:r>
    </w:p>
    <w:p w:rsidR="002F7518" w:rsidRDefault="002F7518" w:rsidP="002F7518">
      <w:pPr>
        <w:ind w:left="720" w:hanging="720"/>
        <w:jc w:val="center"/>
        <w:rPr>
          <w:b/>
        </w:rPr>
      </w:pPr>
    </w:p>
    <w:p w:rsidR="002F7518" w:rsidRDefault="002F7518" w:rsidP="002F7518">
      <w:pPr>
        <w:ind w:left="720" w:hanging="720"/>
        <w:jc w:val="center"/>
        <w:rPr>
          <w:b/>
          <w:sz w:val="8"/>
          <w:szCs w:val="8"/>
        </w:rPr>
      </w:pPr>
    </w:p>
    <w:p w:rsidR="002F7518" w:rsidRDefault="002F7518" w:rsidP="002F7518">
      <w:pPr>
        <w:shd w:val="clear" w:color="auto" w:fill="FFFFFF"/>
        <w:rPr>
          <w:b/>
          <w:sz w:val="4"/>
          <w:szCs w:val="4"/>
        </w:rPr>
      </w:pPr>
    </w:p>
    <w:p w:rsidR="002F7518" w:rsidRDefault="002F7518" w:rsidP="002F7518">
      <w:pPr>
        <w:shd w:val="clear" w:color="auto" w:fill="FFFFFF"/>
        <w:jc w:val="center"/>
        <w:rPr>
          <w:b/>
        </w:rPr>
      </w:pPr>
      <w:r>
        <w:rPr>
          <w:b/>
        </w:rPr>
        <w:t>MINISTRUL INVESTIȚIILOR ȘI PROIECTELOR EUROPENE</w:t>
      </w:r>
    </w:p>
    <w:p w:rsidR="002F7518" w:rsidRDefault="002F7518" w:rsidP="002F7518">
      <w:pPr>
        <w:shd w:val="clear" w:color="auto" w:fill="FFFFFF"/>
        <w:jc w:val="center"/>
        <w:rPr>
          <w:b/>
        </w:rPr>
      </w:pPr>
      <w:r>
        <w:rPr>
          <w:b/>
        </w:rPr>
        <w:t>Cristian GHINEA</w:t>
      </w:r>
    </w:p>
    <w:p w:rsidR="002F7518" w:rsidRDefault="002F7518" w:rsidP="002F7518">
      <w:pPr>
        <w:shd w:val="clear" w:color="auto" w:fill="FFFFFF"/>
        <w:jc w:val="center"/>
        <w:rPr>
          <w:b/>
          <w:sz w:val="16"/>
          <w:szCs w:val="16"/>
        </w:rPr>
      </w:pPr>
    </w:p>
    <w:p w:rsidR="002F7518" w:rsidRDefault="002F7518" w:rsidP="002F7518">
      <w:pPr>
        <w:shd w:val="clear" w:color="auto" w:fill="FFFFFF"/>
        <w:jc w:val="center"/>
        <w:rPr>
          <w:b/>
        </w:rPr>
      </w:pPr>
    </w:p>
    <w:p w:rsidR="00800385" w:rsidRDefault="00800385" w:rsidP="002F7518">
      <w:pPr>
        <w:shd w:val="clear" w:color="auto" w:fill="FFFFFF"/>
        <w:jc w:val="center"/>
        <w:rPr>
          <w:b/>
        </w:rPr>
      </w:pPr>
    </w:p>
    <w:p w:rsidR="002F7518" w:rsidRDefault="002F7518" w:rsidP="002F7518">
      <w:pPr>
        <w:shd w:val="clear" w:color="auto" w:fill="FFFFFF"/>
        <w:jc w:val="center"/>
        <w:rPr>
          <w:b/>
        </w:rPr>
      </w:pPr>
    </w:p>
    <w:p w:rsidR="002F7518" w:rsidRDefault="002F7518" w:rsidP="002F7518">
      <w:pPr>
        <w:shd w:val="clear" w:color="auto" w:fill="FFFFFF"/>
        <w:jc w:val="center"/>
        <w:rPr>
          <w:b/>
        </w:rPr>
      </w:pPr>
    </w:p>
    <w:p w:rsidR="00033A20" w:rsidRDefault="00033A20" w:rsidP="002F7518">
      <w:pPr>
        <w:shd w:val="clear" w:color="auto" w:fill="FFFFFF"/>
        <w:jc w:val="center"/>
        <w:rPr>
          <w:b/>
        </w:rPr>
      </w:pPr>
      <w:r>
        <w:rPr>
          <w:b/>
        </w:rPr>
        <w:t>MINISTRUL DEZVOLTĂRII, LUCRĂRILOR PUBLICE ȘI ADMINISTRAȚIEI</w:t>
      </w:r>
    </w:p>
    <w:p w:rsidR="00033A20" w:rsidRDefault="00033A20" w:rsidP="002F7518">
      <w:pPr>
        <w:shd w:val="clear" w:color="auto" w:fill="FFFFFF"/>
        <w:jc w:val="center"/>
        <w:rPr>
          <w:b/>
        </w:rPr>
      </w:pPr>
      <w:r>
        <w:rPr>
          <w:b/>
        </w:rPr>
        <w:t>Attila CSEKE</w:t>
      </w:r>
    </w:p>
    <w:p w:rsidR="00033A20" w:rsidRDefault="00033A20" w:rsidP="002F7518">
      <w:pPr>
        <w:shd w:val="clear" w:color="auto" w:fill="FFFFFF"/>
        <w:jc w:val="center"/>
        <w:rPr>
          <w:b/>
        </w:rPr>
      </w:pPr>
    </w:p>
    <w:p w:rsidR="00033A20" w:rsidRDefault="00033A20" w:rsidP="002F7518">
      <w:pPr>
        <w:shd w:val="clear" w:color="auto" w:fill="FFFFFF"/>
        <w:jc w:val="center"/>
        <w:rPr>
          <w:b/>
        </w:rPr>
      </w:pPr>
    </w:p>
    <w:p w:rsidR="00033A20" w:rsidRDefault="00033A20" w:rsidP="002F7518">
      <w:pPr>
        <w:shd w:val="clear" w:color="auto" w:fill="FFFFFF"/>
        <w:jc w:val="center"/>
        <w:rPr>
          <w:b/>
        </w:rPr>
      </w:pPr>
    </w:p>
    <w:p w:rsidR="00033A20" w:rsidRDefault="00033A20" w:rsidP="002F7518">
      <w:pPr>
        <w:shd w:val="clear" w:color="auto" w:fill="FFFFFF"/>
        <w:jc w:val="center"/>
        <w:rPr>
          <w:b/>
        </w:rPr>
      </w:pPr>
    </w:p>
    <w:p w:rsidR="00033A20" w:rsidRDefault="00033A20" w:rsidP="002F7518">
      <w:pPr>
        <w:shd w:val="clear" w:color="auto" w:fill="FFFFFF"/>
        <w:jc w:val="center"/>
        <w:rPr>
          <w:b/>
        </w:rPr>
      </w:pPr>
    </w:p>
    <w:p w:rsidR="002F7518" w:rsidRDefault="00033A20" w:rsidP="002F7518">
      <w:pPr>
        <w:shd w:val="clear" w:color="auto" w:fill="FFFFFF"/>
        <w:jc w:val="center"/>
        <w:rPr>
          <w:b/>
        </w:rPr>
      </w:pPr>
      <w:r>
        <w:rPr>
          <w:b/>
        </w:rPr>
        <w:t>MINIST</w:t>
      </w:r>
      <w:r w:rsidR="002F7518">
        <w:rPr>
          <w:b/>
        </w:rPr>
        <w:t xml:space="preserve">RUL AGRICULTURII ȘI DEZVOLTĂRII RURALE </w:t>
      </w:r>
    </w:p>
    <w:p w:rsidR="002F7518" w:rsidRDefault="002F7518" w:rsidP="002F7518">
      <w:pPr>
        <w:shd w:val="clear" w:color="auto" w:fill="FFFFFF"/>
        <w:jc w:val="center"/>
        <w:rPr>
          <w:b/>
        </w:rPr>
      </w:pPr>
      <w:r>
        <w:rPr>
          <w:b/>
        </w:rPr>
        <w:t>Nechita-Adrian OROS</w:t>
      </w:r>
    </w:p>
    <w:p w:rsidR="002F7518" w:rsidRDefault="002F7518" w:rsidP="002F7518">
      <w:pPr>
        <w:shd w:val="clear" w:color="auto" w:fill="FFFFFF"/>
        <w:jc w:val="center"/>
        <w:rPr>
          <w:b/>
        </w:rPr>
      </w:pPr>
    </w:p>
    <w:p w:rsidR="00033A20" w:rsidRDefault="00033A20" w:rsidP="002F7518">
      <w:pPr>
        <w:shd w:val="clear" w:color="auto" w:fill="FFFFFF"/>
        <w:jc w:val="center"/>
        <w:rPr>
          <w:b/>
        </w:rPr>
      </w:pPr>
    </w:p>
    <w:p w:rsidR="002F7518" w:rsidRDefault="002F7518" w:rsidP="002F7518">
      <w:pPr>
        <w:shd w:val="clear" w:color="auto" w:fill="FFFFFF"/>
        <w:jc w:val="center"/>
        <w:rPr>
          <w:b/>
        </w:rPr>
      </w:pPr>
    </w:p>
    <w:p w:rsidR="00800385" w:rsidRDefault="00800385" w:rsidP="002F7518">
      <w:pPr>
        <w:shd w:val="clear" w:color="auto" w:fill="FFFFFF"/>
        <w:jc w:val="center"/>
        <w:rPr>
          <w:b/>
        </w:rPr>
      </w:pPr>
    </w:p>
    <w:p w:rsidR="002F7518" w:rsidRDefault="002F7518" w:rsidP="002F7518">
      <w:pPr>
        <w:shd w:val="clear" w:color="auto" w:fill="FFFFFF"/>
        <w:jc w:val="center"/>
        <w:rPr>
          <w:b/>
        </w:rPr>
      </w:pPr>
    </w:p>
    <w:p w:rsidR="002F7518" w:rsidRDefault="002F7518" w:rsidP="002F7518">
      <w:pPr>
        <w:shd w:val="clear" w:color="auto" w:fill="FFFFFF"/>
        <w:jc w:val="center"/>
        <w:rPr>
          <w:b/>
        </w:rPr>
      </w:pPr>
      <w:r>
        <w:rPr>
          <w:b/>
        </w:rPr>
        <w:t>MINISTRUL JUSTIŢIEI</w:t>
      </w:r>
    </w:p>
    <w:p w:rsidR="002F7518" w:rsidRDefault="002F7518" w:rsidP="002F7518">
      <w:pPr>
        <w:jc w:val="center"/>
        <w:rPr>
          <w:b/>
        </w:rPr>
      </w:pPr>
      <w:r>
        <w:rPr>
          <w:b/>
        </w:rPr>
        <w:t>Stelian-Cristian ION</w:t>
      </w:r>
    </w:p>
    <w:p w:rsidR="002F7518" w:rsidRDefault="002F7518" w:rsidP="002F7518">
      <w:pPr>
        <w:ind w:firstLine="360"/>
        <w:jc w:val="center"/>
        <w:rPr>
          <w:color w:val="FFFFFF"/>
        </w:rPr>
      </w:pPr>
    </w:p>
    <w:p w:rsidR="002F7518" w:rsidRDefault="002F7518" w:rsidP="002F7518">
      <w:pPr>
        <w:rPr>
          <w:color w:val="FFFFFF"/>
        </w:rPr>
      </w:pPr>
    </w:p>
    <w:p w:rsidR="00827808" w:rsidRDefault="00827808" w:rsidP="002F7518">
      <w:pPr>
        <w:autoSpaceDE w:val="0"/>
        <w:autoSpaceDN w:val="0"/>
        <w:adjustRightInd w:val="0"/>
        <w:spacing w:line="360" w:lineRule="auto"/>
        <w:ind w:left="3600"/>
        <w:rPr>
          <w:rFonts w:ascii="Arial" w:hAnsi="Arial" w:cs="Arial"/>
        </w:rPr>
      </w:pPr>
    </w:p>
    <w:sectPr w:rsidR="00827808" w:rsidSect="00A764A7">
      <w:footerReference w:type="even" r:id="rId8"/>
      <w:footerReference w:type="default" r:id="rId9"/>
      <w:pgSz w:w="12240" w:h="15840"/>
      <w:pgMar w:top="737" w:right="851" w:bottom="540"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944" w:rsidRDefault="00EB7944">
      <w:r>
        <w:separator/>
      </w:r>
    </w:p>
  </w:endnote>
  <w:endnote w:type="continuationSeparator" w:id="1">
    <w:p w:rsidR="00EB7944" w:rsidRDefault="00EB7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5" w:rsidRDefault="00D86FC3" w:rsidP="00A65D25">
    <w:pPr>
      <w:pStyle w:val="Footer"/>
      <w:framePr w:wrap="around" w:vAnchor="text" w:hAnchor="margin" w:xAlign="right" w:y="1"/>
      <w:rPr>
        <w:rStyle w:val="PageNumber"/>
      </w:rPr>
    </w:pPr>
    <w:r>
      <w:rPr>
        <w:rStyle w:val="PageNumber"/>
      </w:rPr>
      <w:fldChar w:fldCharType="begin"/>
    </w:r>
    <w:r w:rsidR="00A65D25">
      <w:rPr>
        <w:rStyle w:val="PageNumber"/>
      </w:rPr>
      <w:instrText xml:space="preserve">PAGE  </w:instrText>
    </w:r>
    <w:r>
      <w:rPr>
        <w:rStyle w:val="PageNumber"/>
      </w:rPr>
      <w:fldChar w:fldCharType="end"/>
    </w:r>
  </w:p>
  <w:p w:rsidR="00A65D25" w:rsidRDefault="00A65D25" w:rsidP="00A65D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5" w:rsidRDefault="00A65D25">
    <w:pPr>
      <w:pStyle w:val="Footer"/>
      <w:jc w:val="right"/>
    </w:pPr>
  </w:p>
  <w:p w:rsidR="00A65D25" w:rsidRDefault="00A65D25" w:rsidP="00A65D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944" w:rsidRDefault="00EB7944">
      <w:r>
        <w:separator/>
      </w:r>
    </w:p>
  </w:footnote>
  <w:footnote w:type="continuationSeparator" w:id="1">
    <w:p w:rsidR="00EB7944" w:rsidRDefault="00EB7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40"/>
      </v:shape>
    </w:pict>
  </w:numPicBullet>
  <w:abstractNum w:abstractNumId="0">
    <w:nsid w:val="04F13A38"/>
    <w:multiLevelType w:val="hybridMultilevel"/>
    <w:tmpl w:val="7A1270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BD465A5"/>
    <w:multiLevelType w:val="hybridMultilevel"/>
    <w:tmpl w:val="55CA8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813BD"/>
    <w:multiLevelType w:val="hybridMultilevel"/>
    <w:tmpl w:val="D6F04012"/>
    <w:lvl w:ilvl="0" w:tplc="CB9A73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97C05"/>
    <w:multiLevelType w:val="hybridMultilevel"/>
    <w:tmpl w:val="D1D2F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00A49"/>
    <w:multiLevelType w:val="hybridMultilevel"/>
    <w:tmpl w:val="3D204100"/>
    <w:lvl w:ilvl="0" w:tplc="00E47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A1890"/>
    <w:multiLevelType w:val="hybridMultilevel"/>
    <w:tmpl w:val="77764454"/>
    <w:lvl w:ilvl="0" w:tplc="136A20D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07958"/>
    <w:multiLevelType w:val="hybridMultilevel"/>
    <w:tmpl w:val="CBC62922"/>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nsid w:val="33655A99"/>
    <w:multiLevelType w:val="hybridMultilevel"/>
    <w:tmpl w:val="FDE4D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01AE6"/>
    <w:multiLevelType w:val="hybridMultilevel"/>
    <w:tmpl w:val="D9E4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F635E"/>
    <w:multiLevelType w:val="hybridMultilevel"/>
    <w:tmpl w:val="A0AC5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24EEE"/>
    <w:multiLevelType w:val="hybridMultilevel"/>
    <w:tmpl w:val="C6B6E954"/>
    <w:lvl w:ilvl="0" w:tplc="04180007">
      <w:start w:val="1"/>
      <w:numFmt w:val="bullet"/>
      <w:lvlText w:val=""/>
      <w:lvlPicBulletId w:val="0"/>
      <w:lvlJc w:val="left"/>
      <w:pPr>
        <w:ind w:left="852" w:hanging="360"/>
      </w:pPr>
      <w:rPr>
        <w:rFonts w:ascii="Symbol" w:hAnsi="Symbol" w:hint="default"/>
      </w:rPr>
    </w:lvl>
    <w:lvl w:ilvl="1" w:tplc="04090009">
      <w:start w:val="1"/>
      <w:numFmt w:val="bullet"/>
      <w:lvlText w:val=""/>
      <w:lvlJc w:val="left"/>
      <w:pPr>
        <w:ind w:left="1572" w:hanging="360"/>
      </w:pPr>
      <w:rPr>
        <w:rFonts w:ascii="Wingdings" w:hAnsi="Wingdings" w:hint="default"/>
      </w:rPr>
    </w:lvl>
    <w:lvl w:ilvl="2" w:tplc="04180005">
      <w:start w:val="1"/>
      <w:numFmt w:val="bullet"/>
      <w:lvlText w:val=""/>
      <w:lvlJc w:val="left"/>
      <w:pPr>
        <w:ind w:left="2292" w:hanging="360"/>
      </w:pPr>
      <w:rPr>
        <w:rFonts w:ascii="Wingdings" w:hAnsi="Wingdings" w:hint="default"/>
      </w:rPr>
    </w:lvl>
    <w:lvl w:ilvl="3" w:tplc="04180001" w:tentative="1">
      <w:start w:val="1"/>
      <w:numFmt w:val="bullet"/>
      <w:lvlText w:val=""/>
      <w:lvlJc w:val="left"/>
      <w:pPr>
        <w:ind w:left="3012" w:hanging="360"/>
      </w:pPr>
      <w:rPr>
        <w:rFonts w:ascii="Symbol" w:hAnsi="Symbol" w:hint="default"/>
      </w:rPr>
    </w:lvl>
    <w:lvl w:ilvl="4" w:tplc="04180003" w:tentative="1">
      <w:start w:val="1"/>
      <w:numFmt w:val="bullet"/>
      <w:lvlText w:val="o"/>
      <w:lvlJc w:val="left"/>
      <w:pPr>
        <w:ind w:left="3732" w:hanging="360"/>
      </w:pPr>
      <w:rPr>
        <w:rFonts w:ascii="Courier New" w:hAnsi="Courier New" w:cs="Courier New" w:hint="default"/>
      </w:rPr>
    </w:lvl>
    <w:lvl w:ilvl="5" w:tplc="04180005" w:tentative="1">
      <w:start w:val="1"/>
      <w:numFmt w:val="bullet"/>
      <w:lvlText w:val=""/>
      <w:lvlJc w:val="left"/>
      <w:pPr>
        <w:ind w:left="4452" w:hanging="360"/>
      </w:pPr>
      <w:rPr>
        <w:rFonts w:ascii="Wingdings" w:hAnsi="Wingdings" w:hint="default"/>
      </w:rPr>
    </w:lvl>
    <w:lvl w:ilvl="6" w:tplc="04180001" w:tentative="1">
      <w:start w:val="1"/>
      <w:numFmt w:val="bullet"/>
      <w:lvlText w:val=""/>
      <w:lvlJc w:val="left"/>
      <w:pPr>
        <w:ind w:left="5172" w:hanging="360"/>
      </w:pPr>
      <w:rPr>
        <w:rFonts w:ascii="Symbol" w:hAnsi="Symbol" w:hint="default"/>
      </w:rPr>
    </w:lvl>
    <w:lvl w:ilvl="7" w:tplc="04180003" w:tentative="1">
      <w:start w:val="1"/>
      <w:numFmt w:val="bullet"/>
      <w:lvlText w:val="o"/>
      <w:lvlJc w:val="left"/>
      <w:pPr>
        <w:ind w:left="5892" w:hanging="360"/>
      </w:pPr>
      <w:rPr>
        <w:rFonts w:ascii="Courier New" w:hAnsi="Courier New" w:cs="Courier New" w:hint="default"/>
      </w:rPr>
    </w:lvl>
    <w:lvl w:ilvl="8" w:tplc="04180005" w:tentative="1">
      <w:start w:val="1"/>
      <w:numFmt w:val="bullet"/>
      <w:lvlText w:val=""/>
      <w:lvlJc w:val="left"/>
      <w:pPr>
        <w:ind w:left="6612" w:hanging="360"/>
      </w:pPr>
      <w:rPr>
        <w:rFonts w:ascii="Wingdings" w:hAnsi="Wingdings" w:hint="default"/>
      </w:rPr>
    </w:lvl>
  </w:abstractNum>
  <w:abstractNum w:abstractNumId="11">
    <w:nsid w:val="6EA631FA"/>
    <w:multiLevelType w:val="hybridMultilevel"/>
    <w:tmpl w:val="D68EB3A2"/>
    <w:lvl w:ilvl="0" w:tplc="EE562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0D15E74"/>
    <w:multiLevelType w:val="hybridMultilevel"/>
    <w:tmpl w:val="24A2D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87E24"/>
    <w:multiLevelType w:val="hybridMultilevel"/>
    <w:tmpl w:val="84C4FC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13"/>
  </w:num>
  <w:num w:numId="3">
    <w:abstractNumId w:val="11"/>
  </w:num>
  <w:num w:numId="4">
    <w:abstractNumId w:val="5"/>
  </w:num>
  <w:num w:numId="5">
    <w:abstractNumId w:val="10"/>
  </w:num>
  <w:num w:numId="6">
    <w:abstractNumId w:val="0"/>
  </w:num>
  <w:num w:numId="7">
    <w:abstractNumId w:val="9"/>
  </w:num>
  <w:num w:numId="8">
    <w:abstractNumId w:val="6"/>
  </w:num>
  <w:num w:numId="9">
    <w:abstractNumId w:val="4"/>
  </w:num>
  <w:num w:numId="10">
    <w:abstractNumId w:val="8"/>
  </w:num>
  <w:num w:numId="11">
    <w:abstractNumId w:val="3"/>
  </w:num>
  <w:num w:numId="12">
    <w:abstractNumId w:val="12"/>
  </w:num>
  <w:num w:numId="13">
    <w:abstractNumId w:val="7"/>
  </w:num>
  <w:num w:numId="1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DIA PRANDEA">
    <w15:presenceInfo w15:providerId="None" w15:userId="ELADIA PRANDEA"/>
  </w15:person>
  <w15:person w15:author="DAN MARINIDE">
    <w15:presenceInfo w15:providerId="None" w15:userId="DAN MARINIDE"/>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9218"/>
  </w:hdrShapeDefaults>
  <w:footnotePr>
    <w:footnote w:id="0"/>
    <w:footnote w:id="1"/>
  </w:footnotePr>
  <w:endnotePr>
    <w:endnote w:id="0"/>
    <w:endnote w:id="1"/>
  </w:endnotePr>
  <w:compat/>
  <w:rsids>
    <w:rsidRoot w:val="00947EA6"/>
    <w:rsid w:val="000037A0"/>
    <w:rsid w:val="0001124F"/>
    <w:rsid w:val="000155D5"/>
    <w:rsid w:val="00017D04"/>
    <w:rsid w:val="00024ABB"/>
    <w:rsid w:val="000254C0"/>
    <w:rsid w:val="00026B13"/>
    <w:rsid w:val="00033A20"/>
    <w:rsid w:val="00050120"/>
    <w:rsid w:val="000539C8"/>
    <w:rsid w:val="00064A6B"/>
    <w:rsid w:val="00064EAB"/>
    <w:rsid w:val="000702A2"/>
    <w:rsid w:val="00072AE7"/>
    <w:rsid w:val="00073195"/>
    <w:rsid w:val="000733D3"/>
    <w:rsid w:val="00073435"/>
    <w:rsid w:val="00085B83"/>
    <w:rsid w:val="000A19DE"/>
    <w:rsid w:val="000A6298"/>
    <w:rsid w:val="000B00B0"/>
    <w:rsid w:val="000B5D50"/>
    <w:rsid w:val="000C15F6"/>
    <w:rsid w:val="000C49F6"/>
    <w:rsid w:val="000C7EAF"/>
    <w:rsid w:val="000D0407"/>
    <w:rsid w:val="000D162A"/>
    <w:rsid w:val="000D4C09"/>
    <w:rsid w:val="000E1C45"/>
    <w:rsid w:val="000E2B1D"/>
    <w:rsid w:val="000E2F08"/>
    <w:rsid w:val="000F09D4"/>
    <w:rsid w:val="000F2023"/>
    <w:rsid w:val="000F400F"/>
    <w:rsid w:val="000F4D08"/>
    <w:rsid w:val="000F76EA"/>
    <w:rsid w:val="00100FA3"/>
    <w:rsid w:val="00101A9B"/>
    <w:rsid w:val="0010357C"/>
    <w:rsid w:val="0010482B"/>
    <w:rsid w:val="00107736"/>
    <w:rsid w:val="00107E28"/>
    <w:rsid w:val="00112E9E"/>
    <w:rsid w:val="00117B32"/>
    <w:rsid w:val="001204BD"/>
    <w:rsid w:val="00121CCC"/>
    <w:rsid w:val="00122EA5"/>
    <w:rsid w:val="00126814"/>
    <w:rsid w:val="001328E4"/>
    <w:rsid w:val="00133A3B"/>
    <w:rsid w:val="00135D7F"/>
    <w:rsid w:val="00136DA7"/>
    <w:rsid w:val="00141F36"/>
    <w:rsid w:val="00146A5F"/>
    <w:rsid w:val="00150E14"/>
    <w:rsid w:val="00155E02"/>
    <w:rsid w:val="00156646"/>
    <w:rsid w:val="001575DC"/>
    <w:rsid w:val="0015762E"/>
    <w:rsid w:val="00161A61"/>
    <w:rsid w:val="00164FF3"/>
    <w:rsid w:val="00166CFB"/>
    <w:rsid w:val="001714AF"/>
    <w:rsid w:val="00174D24"/>
    <w:rsid w:val="00177D3C"/>
    <w:rsid w:val="00182204"/>
    <w:rsid w:val="001843B2"/>
    <w:rsid w:val="00184A4A"/>
    <w:rsid w:val="00190C02"/>
    <w:rsid w:val="001A374F"/>
    <w:rsid w:val="001A605F"/>
    <w:rsid w:val="001A6265"/>
    <w:rsid w:val="001A78A0"/>
    <w:rsid w:val="001B2580"/>
    <w:rsid w:val="001B3861"/>
    <w:rsid w:val="001B4809"/>
    <w:rsid w:val="001B6DD8"/>
    <w:rsid w:val="001B7149"/>
    <w:rsid w:val="001B7767"/>
    <w:rsid w:val="001C0B7B"/>
    <w:rsid w:val="001C158C"/>
    <w:rsid w:val="001C1F17"/>
    <w:rsid w:val="001C34AC"/>
    <w:rsid w:val="001C7510"/>
    <w:rsid w:val="001C7F57"/>
    <w:rsid w:val="001D4149"/>
    <w:rsid w:val="001E058E"/>
    <w:rsid w:val="001E20A3"/>
    <w:rsid w:val="001E33F2"/>
    <w:rsid w:val="001E7E5A"/>
    <w:rsid w:val="001F14A2"/>
    <w:rsid w:val="001F6607"/>
    <w:rsid w:val="001F700D"/>
    <w:rsid w:val="00200637"/>
    <w:rsid w:val="00201B47"/>
    <w:rsid w:val="00210033"/>
    <w:rsid w:val="0021248D"/>
    <w:rsid w:val="00213BDB"/>
    <w:rsid w:val="00215A59"/>
    <w:rsid w:val="002168D4"/>
    <w:rsid w:val="00221987"/>
    <w:rsid w:val="00230DF8"/>
    <w:rsid w:val="00233D49"/>
    <w:rsid w:val="00244124"/>
    <w:rsid w:val="00244CF8"/>
    <w:rsid w:val="00245BC3"/>
    <w:rsid w:val="00256214"/>
    <w:rsid w:val="00261EB6"/>
    <w:rsid w:val="0027750A"/>
    <w:rsid w:val="00280291"/>
    <w:rsid w:val="00280BAF"/>
    <w:rsid w:val="00286173"/>
    <w:rsid w:val="00286DEC"/>
    <w:rsid w:val="0029558C"/>
    <w:rsid w:val="002972E3"/>
    <w:rsid w:val="002A7775"/>
    <w:rsid w:val="002B05BF"/>
    <w:rsid w:val="002B2155"/>
    <w:rsid w:val="002B4A69"/>
    <w:rsid w:val="002B6F5C"/>
    <w:rsid w:val="002C440F"/>
    <w:rsid w:val="002C6EEE"/>
    <w:rsid w:val="002D1C65"/>
    <w:rsid w:val="002D2048"/>
    <w:rsid w:val="002D715F"/>
    <w:rsid w:val="002E0BCA"/>
    <w:rsid w:val="002E1BEB"/>
    <w:rsid w:val="002E22BC"/>
    <w:rsid w:val="002E5D64"/>
    <w:rsid w:val="002E6018"/>
    <w:rsid w:val="002E6854"/>
    <w:rsid w:val="002E7E37"/>
    <w:rsid w:val="002F01BF"/>
    <w:rsid w:val="002F2645"/>
    <w:rsid w:val="002F7518"/>
    <w:rsid w:val="002F7B79"/>
    <w:rsid w:val="00302D6F"/>
    <w:rsid w:val="00305061"/>
    <w:rsid w:val="003051B2"/>
    <w:rsid w:val="00306119"/>
    <w:rsid w:val="00306D5B"/>
    <w:rsid w:val="0031015E"/>
    <w:rsid w:val="003107D9"/>
    <w:rsid w:val="003115EC"/>
    <w:rsid w:val="00314E6F"/>
    <w:rsid w:val="003179ED"/>
    <w:rsid w:val="00322480"/>
    <w:rsid w:val="00332FEB"/>
    <w:rsid w:val="00335301"/>
    <w:rsid w:val="0033589F"/>
    <w:rsid w:val="00344905"/>
    <w:rsid w:val="003456BD"/>
    <w:rsid w:val="003549A5"/>
    <w:rsid w:val="003605E7"/>
    <w:rsid w:val="00363FD4"/>
    <w:rsid w:val="003640D4"/>
    <w:rsid w:val="00364AF0"/>
    <w:rsid w:val="0037060B"/>
    <w:rsid w:val="003731C9"/>
    <w:rsid w:val="00373F5A"/>
    <w:rsid w:val="0037559F"/>
    <w:rsid w:val="003835C4"/>
    <w:rsid w:val="00385E2C"/>
    <w:rsid w:val="003906BF"/>
    <w:rsid w:val="00390E31"/>
    <w:rsid w:val="00394965"/>
    <w:rsid w:val="003B36D3"/>
    <w:rsid w:val="003B3A2C"/>
    <w:rsid w:val="003B424D"/>
    <w:rsid w:val="003C70EF"/>
    <w:rsid w:val="003D6235"/>
    <w:rsid w:val="003E2C93"/>
    <w:rsid w:val="003E3A39"/>
    <w:rsid w:val="003F5CF6"/>
    <w:rsid w:val="0041039C"/>
    <w:rsid w:val="00412E11"/>
    <w:rsid w:val="00423C3B"/>
    <w:rsid w:val="004248D9"/>
    <w:rsid w:val="00425D30"/>
    <w:rsid w:val="004264B2"/>
    <w:rsid w:val="00431622"/>
    <w:rsid w:val="004362A6"/>
    <w:rsid w:val="00440136"/>
    <w:rsid w:val="00441315"/>
    <w:rsid w:val="004449A8"/>
    <w:rsid w:val="004453BC"/>
    <w:rsid w:val="00445A50"/>
    <w:rsid w:val="004547BD"/>
    <w:rsid w:val="00457C13"/>
    <w:rsid w:val="00465E45"/>
    <w:rsid w:val="0047013E"/>
    <w:rsid w:val="0047738F"/>
    <w:rsid w:val="004806BE"/>
    <w:rsid w:val="00483E6F"/>
    <w:rsid w:val="00484A96"/>
    <w:rsid w:val="0048509D"/>
    <w:rsid w:val="00485C76"/>
    <w:rsid w:val="00491ACE"/>
    <w:rsid w:val="004A26E1"/>
    <w:rsid w:val="004A39EE"/>
    <w:rsid w:val="004A6FCC"/>
    <w:rsid w:val="004B14AA"/>
    <w:rsid w:val="004B1ABD"/>
    <w:rsid w:val="004C2CBD"/>
    <w:rsid w:val="004C3CA3"/>
    <w:rsid w:val="004C4813"/>
    <w:rsid w:val="004D5BA3"/>
    <w:rsid w:val="004D717B"/>
    <w:rsid w:val="004E04B4"/>
    <w:rsid w:val="004E40FD"/>
    <w:rsid w:val="004E789F"/>
    <w:rsid w:val="004F17F5"/>
    <w:rsid w:val="004F2D35"/>
    <w:rsid w:val="004F551E"/>
    <w:rsid w:val="00505AF3"/>
    <w:rsid w:val="00507900"/>
    <w:rsid w:val="00513791"/>
    <w:rsid w:val="00527866"/>
    <w:rsid w:val="00530AC8"/>
    <w:rsid w:val="0053145E"/>
    <w:rsid w:val="00533E19"/>
    <w:rsid w:val="00534276"/>
    <w:rsid w:val="005374C4"/>
    <w:rsid w:val="00537836"/>
    <w:rsid w:val="00542411"/>
    <w:rsid w:val="00555E4F"/>
    <w:rsid w:val="00556790"/>
    <w:rsid w:val="00565752"/>
    <w:rsid w:val="005737A7"/>
    <w:rsid w:val="0057730A"/>
    <w:rsid w:val="00577623"/>
    <w:rsid w:val="0058030B"/>
    <w:rsid w:val="005921AC"/>
    <w:rsid w:val="00596302"/>
    <w:rsid w:val="005A47ED"/>
    <w:rsid w:val="005A5053"/>
    <w:rsid w:val="005A5A3E"/>
    <w:rsid w:val="005B1DF4"/>
    <w:rsid w:val="005B31F7"/>
    <w:rsid w:val="005B58FF"/>
    <w:rsid w:val="005B5D81"/>
    <w:rsid w:val="005C2F53"/>
    <w:rsid w:val="005C360E"/>
    <w:rsid w:val="005C4B05"/>
    <w:rsid w:val="005C6ED1"/>
    <w:rsid w:val="005D05C7"/>
    <w:rsid w:val="005D0CAA"/>
    <w:rsid w:val="005D33F6"/>
    <w:rsid w:val="005D3F36"/>
    <w:rsid w:val="005D4F6E"/>
    <w:rsid w:val="005E662E"/>
    <w:rsid w:val="005E6BD7"/>
    <w:rsid w:val="005F021A"/>
    <w:rsid w:val="005F15F1"/>
    <w:rsid w:val="005F3AFE"/>
    <w:rsid w:val="00601913"/>
    <w:rsid w:val="00602A2D"/>
    <w:rsid w:val="0060421A"/>
    <w:rsid w:val="006149FE"/>
    <w:rsid w:val="006259CC"/>
    <w:rsid w:val="0063025B"/>
    <w:rsid w:val="006317CC"/>
    <w:rsid w:val="00636AA1"/>
    <w:rsid w:val="0063758C"/>
    <w:rsid w:val="0064508C"/>
    <w:rsid w:val="006467F1"/>
    <w:rsid w:val="00652918"/>
    <w:rsid w:val="00652E1B"/>
    <w:rsid w:val="006600DC"/>
    <w:rsid w:val="006622B7"/>
    <w:rsid w:val="00662A9D"/>
    <w:rsid w:val="00662E0D"/>
    <w:rsid w:val="00670C79"/>
    <w:rsid w:val="00670DA7"/>
    <w:rsid w:val="0067373F"/>
    <w:rsid w:val="006737CE"/>
    <w:rsid w:val="00677B92"/>
    <w:rsid w:val="00692726"/>
    <w:rsid w:val="006947BD"/>
    <w:rsid w:val="00696435"/>
    <w:rsid w:val="006A2E4E"/>
    <w:rsid w:val="006A380E"/>
    <w:rsid w:val="006A4FDA"/>
    <w:rsid w:val="006B075E"/>
    <w:rsid w:val="006B0C0A"/>
    <w:rsid w:val="006B0F3D"/>
    <w:rsid w:val="006B7D56"/>
    <w:rsid w:val="006C1A04"/>
    <w:rsid w:val="006C38C6"/>
    <w:rsid w:val="006C63AE"/>
    <w:rsid w:val="006C711B"/>
    <w:rsid w:val="006D1CA4"/>
    <w:rsid w:val="006D2296"/>
    <w:rsid w:val="006D6732"/>
    <w:rsid w:val="006E3116"/>
    <w:rsid w:val="006E4FBF"/>
    <w:rsid w:val="006F350D"/>
    <w:rsid w:val="006F72EC"/>
    <w:rsid w:val="00713515"/>
    <w:rsid w:val="00714156"/>
    <w:rsid w:val="0071419B"/>
    <w:rsid w:val="007165AD"/>
    <w:rsid w:val="00717ED2"/>
    <w:rsid w:val="00720217"/>
    <w:rsid w:val="00720412"/>
    <w:rsid w:val="0072338D"/>
    <w:rsid w:val="00723AC4"/>
    <w:rsid w:val="00723BA7"/>
    <w:rsid w:val="0072639B"/>
    <w:rsid w:val="00726D70"/>
    <w:rsid w:val="00726FCE"/>
    <w:rsid w:val="00735154"/>
    <w:rsid w:val="00740293"/>
    <w:rsid w:val="00741AA7"/>
    <w:rsid w:val="00744695"/>
    <w:rsid w:val="00744BA5"/>
    <w:rsid w:val="00753DB8"/>
    <w:rsid w:val="007570E9"/>
    <w:rsid w:val="00761EA7"/>
    <w:rsid w:val="00763CC1"/>
    <w:rsid w:val="00766630"/>
    <w:rsid w:val="007678A9"/>
    <w:rsid w:val="00772C8C"/>
    <w:rsid w:val="0077640D"/>
    <w:rsid w:val="007840A2"/>
    <w:rsid w:val="007846F9"/>
    <w:rsid w:val="0078560D"/>
    <w:rsid w:val="00786699"/>
    <w:rsid w:val="007867ED"/>
    <w:rsid w:val="00792720"/>
    <w:rsid w:val="00793B14"/>
    <w:rsid w:val="00797751"/>
    <w:rsid w:val="007A094E"/>
    <w:rsid w:val="007A2A29"/>
    <w:rsid w:val="007A3731"/>
    <w:rsid w:val="007A5914"/>
    <w:rsid w:val="007B37F8"/>
    <w:rsid w:val="007B6F18"/>
    <w:rsid w:val="007C375E"/>
    <w:rsid w:val="007D6BE6"/>
    <w:rsid w:val="007E0F00"/>
    <w:rsid w:val="007E2F46"/>
    <w:rsid w:val="007E4FF0"/>
    <w:rsid w:val="007F1956"/>
    <w:rsid w:val="007F41BC"/>
    <w:rsid w:val="00800385"/>
    <w:rsid w:val="00812F1A"/>
    <w:rsid w:val="00821E21"/>
    <w:rsid w:val="00823B92"/>
    <w:rsid w:val="00827808"/>
    <w:rsid w:val="00830725"/>
    <w:rsid w:val="008438F3"/>
    <w:rsid w:val="0084398E"/>
    <w:rsid w:val="00843E24"/>
    <w:rsid w:val="008502FB"/>
    <w:rsid w:val="00857F6E"/>
    <w:rsid w:val="008705E3"/>
    <w:rsid w:val="0087248D"/>
    <w:rsid w:val="00873608"/>
    <w:rsid w:val="00873BED"/>
    <w:rsid w:val="008752C0"/>
    <w:rsid w:val="0088093A"/>
    <w:rsid w:val="008825A7"/>
    <w:rsid w:val="00882CD7"/>
    <w:rsid w:val="00884EC3"/>
    <w:rsid w:val="00885E1D"/>
    <w:rsid w:val="00892629"/>
    <w:rsid w:val="00893D3F"/>
    <w:rsid w:val="00894AF9"/>
    <w:rsid w:val="008965DD"/>
    <w:rsid w:val="008973A3"/>
    <w:rsid w:val="008A185A"/>
    <w:rsid w:val="008A1CD6"/>
    <w:rsid w:val="008A2707"/>
    <w:rsid w:val="008A3EC9"/>
    <w:rsid w:val="008A58B6"/>
    <w:rsid w:val="008B2809"/>
    <w:rsid w:val="008B2AA3"/>
    <w:rsid w:val="008B33C1"/>
    <w:rsid w:val="008B56CD"/>
    <w:rsid w:val="008B6B82"/>
    <w:rsid w:val="008B707D"/>
    <w:rsid w:val="008C3A89"/>
    <w:rsid w:val="008C6322"/>
    <w:rsid w:val="008C7047"/>
    <w:rsid w:val="008D006D"/>
    <w:rsid w:val="008D498E"/>
    <w:rsid w:val="008D5EE8"/>
    <w:rsid w:val="008E14AF"/>
    <w:rsid w:val="008E251D"/>
    <w:rsid w:val="008E3D03"/>
    <w:rsid w:val="008F0231"/>
    <w:rsid w:val="008F2DE2"/>
    <w:rsid w:val="008F32CD"/>
    <w:rsid w:val="008F35A0"/>
    <w:rsid w:val="008F41E3"/>
    <w:rsid w:val="008F6F40"/>
    <w:rsid w:val="009058D2"/>
    <w:rsid w:val="00907A95"/>
    <w:rsid w:val="00907AEA"/>
    <w:rsid w:val="00911BC0"/>
    <w:rsid w:val="009173E2"/>
    <w:rsid w:val="009220F9"/>
    <w:rsid w:val="00923B3E"/>
    <w:rsid w:val="00926605"/>
    <w:rsid w:val="00931AF0"/>
    <w:rsid w:val="0093221E"/>
    <w:rsid w:val="00934F67"/>
    <w:rsid w:val="00935C77"/>
    <w:rsid w:val="00947EA6"/>
    <w:rsid w:val="00953180"/>
    <w:rsid w:val="00954311"/>
    <w:rsid w:val="0095776C"/>
    <w:rsid w:val="0096680B"/>
    <w:rsid w:val="00966D02"/>
    <w:rsid w:val="00970C9E"/>
    <w:rsid w:val="00971C78"/>
    <w:rsid w:val="009803C6"/>
    <w:rsid w:val="009817E8"/>
    <w:rsid w:val="009852CA"/>
    <w:rsid w:val="00996E8E"/>
    <w:rsid w:val="009B23F7"/>
    <w:rsid w:val="009B71DC"/>
    <w:rsid w:val="009C238D"/>
    <w:rsid w:val="009C45F4"/>
    <w:rsid w:val="009C5EAE"/>
    <w:rsid w:val="009C6D19"/>
    <w:rsid w:val="009C7271"/>
    <w:rsid w:val="009D1D6F"/>
    <w:rsid w:val="009D3E70"/>
    <w:rsid w:val="009D4DAF"/>
    <w:rsid w:val="009D7815"/>
    <w:rsid w:val="009D7C51"/>
    <w:rsid w:val="009E1BC5"/>
    <w:rsid w:val="009E29C9"/>
    <w:rsid w:val="009E6591"/>
    <w:rsid w:val="009E73D9"/>
    <w:rsid w:val="009E7440"/>
    <w:rsid w:val="009F0064"/>
    <w:rsid w:val="009F1553"/>
    <w:rsid w:val="009F2530"/>
    <w:rsid w:val="009F327C"/>
    <w:rsid w:val="009F799C"/>
    <w:rsid w:val="00A040A4"/>
    <w:rsid w:val="00A06790"/>
    <w:rsid w:val="00A111D2"/>
    <w:rsid w:val="00A20814"/>
    <w:rsid w:val="00A24686"/>
    <w:rsid w:val="00A24F8E"/>
    <w:rsid w:val="00A31761"/>
    <w:rsid w:val="00A33926"/>
    <w:rsid w:val="00A35590"/>
    <w:rsid w:val="00A44D23"/>
    <w:rsid w:val="00A51253"/>
    <w:rsid w:val="00A53D82"/>
    <w:rsid w:val="00A54C53"/>
    <w:rsid w:val="00A57E5E"/>
    <w:rsid w:val="00A60881"/>
    <w:rsid w:val="00A63839"/>
    <w:rsid w:val="00A65D25"/>
    <w:rsid w:val="00A764A7"/>
    <w:rsid w:val="00A83729"/>
    <w:rsid w:val="00A87CB4"/>
    <w:rsid w:val="00A916C6"/>
    <w:rsid w:val="00A93216"/>
    <w:rsid w:val="00A93519"/>
    <w:rsid w:val="00A93F34"/>
    <w:rsid w:val="00AA2BC4"/>
    <w:rsid w:val="00AB130A"/>
    <w:rsid w:val="00AB2920"/>
    <w:rsid w:val="00AB7E33"/>
    <w:rsid w:val="00AC1140"/>
    <w:rsid w:val="00AC3642"/>
    <w:rsid w:val="00AC5454"/>
    <w:rsid w:val="00AD2F3F"/>
    <w:rsid w:val="00AD4DD2"/>
    <w:rsid w:val="00B21946"/>
    <w:rsid w:val="00B2584C"/>
    <w:rsid w:val="00B416CB"/>
    <w:rsid w:val="00B505F9"/>
    <w:rsid w:val="00B50E80"/>
    <w:rsid w:val="00B51E03"/>
    <w:rsid w:val="00B6189F"/>
    <w:rsid w:val="00B677E8"/>
    <w:rsid w:val="00B779AA"/>
    <w:rsid w:val="00B850F4"/>
    <w:rsid w:val="00B94D48"/>
    <w:rsid w:val="00BA193A"/>
    <w:rsid w:val="00BA47F0"/>
    <w:rsid w:val="00BA4E0F"/>
    <w:rsid w:val="00BA5C54"/>
    <w:rsid w:val="00BB2E04"/>
    <w:rsid w:val="00BB34E3"/>
    <w:rsid w:val="00BB5721"/>
    <w:rsid w:val="00BC6172"/>
    <w:rsid w:val="00BD0DE1"/>
    <w:rsid w:val="00BD4914"/>
    <w:rsid w:val="00BD55B7"/>
    <w:rsid w:val="00BD7F4E"/>
    <w:rsid w:val="00BE053E"/>
    <w:rsid w:val="00BE217D"/>
    <w:rsid w:val="00BF0642"/>
    <w:rsid w:val="00BF29AC"/>
    <w:rsid w:val="00BF6431"/>
    <w:rsid w:val="00C005BC"/>
    <w:rsid w:val="00C01DF1"/>
    <w:rsid w:val="00C04446"/>
    <w:rsid w:val="00C05A75"/>
    <w:rsid w:val="00C10B3B"/>
    <w:rsid w:val="00C17ECA"/>
    <w:rsid w:val="00C224C0"/>
    <w:rsid w:val="00C249F4"/>
    <w:rsid w:val="00C2672D"/>
    <w:rsid w:val="00C37EF1"/>
    <w:rsid w:val="00C40481"/>
    <w:rsid w:val="00C44368"/>
    <w:rsid w:val="00C50F3F"/>
    <w:rsid w:val="00C51878"/>
    <w:rsid w:val="00C541DA"/>
    <w:rsid w:val="00C57FF1"/>
    <w:rsid w:val="00C62223"/>
    <w:rsid w:val="00C73C49"/>
    <w:rsid w:val="00C8303E"/>
    <w:rsid w:val="00C84EC9"/>
    <w:rsid w:val="00C9066A"/>
    <w:rsid w:val="00C956BB"/>
    <w:rsid w:val="00CA26DB"/>
    <w:rsid w:val="00CA4714"/>
    <w:rsid w:val="00CA560E"/>
    <w:rsid w:val="00CA63C6"/>
    <w:rsid w:val="00CB0A5E"/>
    <w:rsid w:val="00CB0E38"/>
    <w:rsid w:val="00CB247A"/>
    <w:rsid w:val="00CB5911"/>
    <w:rsid w:val="00CB61E0"/>
    <w:rsid w:val="00CB6C17"/>
    <w:rsid w:val="00CB78B0"/>
    <w:rsid w:val="00CC060B"/>
    <w:rsid w:val="00CC1CB4"/>
    <w:rsid w:val="00CC48D7"/>
    <w:rsid w:val="00CD2EA0"/>
    <w:rsid w:val="00CD681E"/>
    <w:rsid w:val="00CE2716"/>
    <w:rsid w:val="00CE3A76"/>
    <w:rsid w:val="00CE461E"/>
    <w:rsid w:val="00CE519D"/>
    <w:rsid w:val="00CE699E"/>
    <w:rsid w:val="00CE743D"/>
    <w:rsid w:val="00CE7730"/>
    <w:rsid w:val="00CE7B3A"/>
    <w:rsid w:val="00CF5CDF"/>
    <w:rsid w:val="00CF7D07"/>
    <w:rsid w:val="00D0118E"/>
    <w:rsid w:val="00D03109"/>
    <w:rsid w:val="00D100AF"/>
    <w:rsid w:val="00D108DB"/>
    <w:rsid w:val="00D11188"/>
    <w:rsid w:val="00D2196A"/>
    <w:rsid w:val="00D24C5A"/>
    <w:rsid w:val="00D35543"/>
    <w:rsid w:val="00D377DD"/>
    <w:rsid w:val="00D4085F"/>
    <w:rsid w:val="00D43767"/>
    <w:rsid w:val="00D52251"/>
    <w:rsid w:val="00D60512"/>
    <w:rsid w:val="00D619C3"/>
    <w:rsid w:val="00D62AF8"/>
    <w:rsid w:val="00D63CCB"/>
    <w:rsid w:val="00D679FA"/>
    <w:rsid w:val="00D70202"/>
    <w:rsid w:val="00D72E61"/>
    <w:rsid w:val="00D7465B"/>
    <w:rsid w:val="00D76E42"/>
    <w:rsid w:val="00D81ED9"/>
    <w:rsid w:val="00D82D6D"/>
    <w:rsid w:val="00D83E78"/>
    <w:rsid w:val="00D85103"/>
    <w:rsid w:val="00D85528"/>
    <w:rsid w:val="00D86FC3"/>
    <w:rsid w:val="00D87C67"/>
    <w:rsid w:val="00D911C7"/>
    <w:rsid w:val="00D93993"/>
    <w:rsid w:val="00D94C5D"/>
    <w:rsid w:val="00DA0CB6"/>
    <w:rsid w:val="00DA3DF4"/>
    <w:rsid w:val="00DB02E7"/>
    <w:rsid w:val="00DB19FF"/>
    <w:rsid w:val="00DB456B"/>
    <w:rsid w:val="00DB6D2A"/>
    <w:rsid w:val="00DD0632"/>
    <w:rsid w:val="00DE1A84"/>
    <w:rsid w:val="00DE2401"/>
    <w:rsid w:val="00DE4AF4"/>
    <w:rsid w:val="00DE70E8"/>
    <w:rsid w:val="00DE7345"/>
    <w:rsid w:val="00E020B4"/>
    <w:rsid w:val="00E02889"/>
    <w:rsid w:val="00E07299"/>
    <w:rsid w:val="00E17A0A"/>
    <w:rsid w:val="00E24E21"/>
    <w:rsid w:val="00E27D5F"/>
    <w:rsid w:val="00E329B1"/>
    <w:rsid w:val="00E33BEC"/>
    <w:rsid w:val="00E4032F"/>
    <w:rsid w:val="00E42F66"/>
    <w:rsid w:val="00E45146"/>
    <w:rsid w:val="00E5016E"/>
    <w:rsid w:val="00E525DB"/>
    <w:rsid w:val="00E541DB"/>
    <w:rsid w:val="00E661DA"/>
    <w:rsid w:val="00E6795C"/>
    <w:rsid w:val="00E72D9D"/>
    <w:rsid w:val="00E754B4"/>
    <w:rsid w:val="00E760AA"/>
    <w:rsid w:val="00E76E8C"/>
    <w:rsid w:val="00E840D1"/>
    <w:rsid w:val="00E849A0"/>
    <w:rsid w:val="00E963FB"/>
    <w:rsid w:val="00E96A33"/>
    <w:rsid w:val="00EA3B85"/>
    <w:rsid w:val="00EA658A"/>
    <w:rsid w:val="00EB2D4A"/>
    <w:rsid w:val="00EB6BD7"/>
    <w:rsid w:val="00EB7944"/>
    <w:rsid w:val="00EC1D53"/>
    <w:rsid w:val="00EC2D8B"/>
    <w:rsid w:val="00EC4A3F"/>
    <w:rsid w:val="00ED3C2E"/>
    <w:rsid w:val="00ED488E"/>
    <w:rsid w:val="00ED58E3"/>
    <w:rsid w:val="00EE46DE"/>
    <w:rsid w:val="00EE50D2"/>
    <w:rsid w:val="00EF2A2C"/>
    <w:rsid w:val="00EF30E5"/>
    <w:rsid w:val="00EF5746"/>
    <w:rsid w:val="00EF587D"/>
    <w:rsid w:val="00EF64EF"/>
    <w:rsid w:val="00F028AF"/>
    <w:rsid w:val="00F03291"/>
    <w:rsid w:val="00F06CED"/>
    <w:rsid w:val="00F06D25"/>
    <w:rsid w:val="00F11C2E"/>
    <w:rsid w:val="00F146A1"/>
    <w:rsid w:val="00F1512E"/>
    <w:rsid w:val="00F24977"/>
    <w:rsid w:val="00F24B2C"/>
    <w:rsid w:val="00F26279"/>
    <w:rsid w:val="00F27C6C"/>
    <w:rsid w:val="00F32199"/>
    <w:rsid w:val="00F37A62"/>
    <w:rsid w:val="00F41AA4"/>
    <w:rsid w:val="00F41D41"/>
    <w:rsid w:val="00F43DF0"/>
    <w:rsid w:val="00F44E0E"/>
    <w:rsid w:val="00F45A78"/>
    <w:rsid w:val="00F5767A"/>
    <w:rsid w:val="00F618F1"/>
    <w:rsid w:val="00F619C1"/>
    <w:rsid w:val="00F6242F"/>
    <w:rsid w:val="00F73D39"/>
    <w:rsid w:val="00F85C52"/>
    <w:rsid w:val="00F97E83"/>
    <w:rsid w:val="00FA1077"/>
    <w:rsid w:val="00FA395B"/>
    <w:rsid w:val="00FA47DC"/>
    <w:rsid w:val="00FA6179"/>
    <w:rsid w:val="00FA6E5B"/>
    <w:rsid w:val="00FB2692"/>
    <w:rsid w:val="00FB5FAE"/>
    <w:rsid w:val="00FB676B"/>
    <w:rsid w:val="00FC3431"/>
    <w:rsid w:val="00FD0D95"/>
    <w:rsid w:val="00FD1AAA"/>
    <w:rsid w:val="00FD6CF0"/>
    <w:rsid w:val="00FD7B09"/>
    <w:rsid w:val="00FD7CF9"/>
    <w:rsid w:val="00FE0A8C"/>
    <w:rsid w:val="00FE3679"/>
    <w:rsid w:val="00FE39A9"/>
    <w:rsid w:val="00FF1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7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70C79"/>
    <w:pPr>
      <w:keepNext/>
      <w:spacing w:line="360" w:lineRule="auto"/>
      <w:outlineLvl w:val="0"/>
    </w:pPr>
    <w:rPr>
      <w:sz w:val="28"/>
    </w:rPr>
  </w:style>
  <w:style w:type="paragraph" w:styleId="Heading2">
    <w:name w:val="heading 2"/>
    <w:basedOn w:val="Normal"/>
    <w:next w:val="Normal"/>
    <w:link w:val="Heading2Char"/>
    <w:qFormat/>
    <w:rsid w:val="00670C79"/>
    <w:pPr>
      <w:keepNext/>
      <w:jc w:val="both"/>
      <w:outlineLvl w:val="1"/>
    </w:pPr>
    <w:rPr>
      <w:sz w:val="28"/>
    </w:rPr>
  </w:style>
  <w:style w:type="paragraph" w:styleId="Heading3">
    <w:name w:val="heading 3"/>
    <w:basedOn w:val="Normal"/>
    <w:next w:val="Normal"/>
    <w:link w:val="Heading3Char"/>
    <w:uiPriority w:val="9"/>
    <w:semiHidden/>
    <w:unhideWhenUsed/>
    <w:qFormat/>
    <w:rsid w:val="00C01DF1"/>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rsid w:val="00670C79"/>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C79"/>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rsid w:val="00670C79"/>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670C79"/>
    <w:rPr>
      <w:rFonts w:ascii="Times New Roman" w:eastAsia="Times New Roman" w:hAnsi="Times New Roman" w:cs="Times New Roman"/>
      <w:b/>
      <w:sz w:val="28"/>
      <w:szCs w:val="24"/>
      <w:lang w:val="ro-RO"/>
    </w:rPr>
  </w:style>
  <w:style w:type="paragraph" w:styleId="BodyTextIndent2">
    <w:name w:val="Body Text Indent 2"/>
    <w:basedOn w:val="Normal"/>
    <w:link w:val="BodyTextIndent2Char"/>
    <w:semiHidden/>
    <w:rsid w:val="00670C79"/>
    <w:pPr>
      <w:spacing w:before="120" w:after="120" w:line="360" w:lineRule="auto"/>
      <w:ind w:firstLine="357"/>
    </w:pPr>
    <w:rPr>
      <w:b/>
      <w:bCs/>
      <w:sz w:val="28"/>
    </w:rPr>
  </w:style>
  <w:style w:type="character" w:customStyle="1" w:styleId="BodyTextIndent2Char">
    <w:name w:val="Body Text Indent 2 Char"/>
    <w:basedOn w:val="DefaultParagraphFont"/>
    <w:link w:val="BodyTextIndent2"/>
    <w:semiHidden/>
    <w:rsid w:val="00670C79"/>
    <w:rPr>
      <w:rFonts w:ascii="Times New Roman" w:eastAsia="Times New Roman" w:hAnsi="Times New Roman" w:cs="Times New Roman"/>
      <w:b/>
      <w:bCs/>
      <w:sz w:val="28"/>
      <w:szCs w:val="24"/>
      <w:lang w:val="ro-RO"/>
    </w:rPr>
  </w:style>
  <w:style w:type="paragraph" w:styleId="BodyText2">
    <w:name w:val="Body Text 2"/>
    <w:basedOn w:val="Normal"/>
    <w:link w:val="BodyText2Char"/>
    <w:semiHidden/>
    <w:rsid w:val="00670C79"/>
    <w:pPr>
      <w:jc w:val="both"/>
    </w:pPr>
    <w:rPr>
      <w:sz w:val="28"/>
    </w:rPr>
  </w:style>
  <w:style w:type="character" w:customStyle="1" w:styleId="BodyText2Char">
    <w:name w:val="Body Text 2 Char"/>
    <w:basedOn w:val="DefaultParagraphFont"/>
    <w:link w:val="BodyText2"/>
    <w:semiHidden/>
    <w:rsid w:val="00670C79"/>
    <w:rPr>
      <w:rFonts w:ascii="Times New Roman" w:eastAsia="Times New Roman" w:hAnsi="Times New Roman" w:cs="Times New Roman"/>
      <w:sz w:val="28"/>
      <w:szCs w:val="24"/>
      <w:lang w:val="ro-RO"/>
    </w:rPr>
  </w:style>
  <w:style w:type="paragraph" w:styleId="Title">
    <w:name w:val="Title"/>
    <w:basedOn w:val="Normal"/>
    <w:link w:val="TitleChar"/>
    <w:qFormat/>
    <w:rsid w:val="00670C79"/>
    <w:pPr>
      <w:spacing w:line="360" w:lineRule="auto"/>
      <w:jc w:val="center"/>
    </w:pPr>
    <w:rPr>
      <w:b/>
      <w:sz w:val="32"/>
      <w:szCs w:val="32"/>
    </w:rPr>
  </w:style>
  <w:style w:type="character" w:customStyle="1" w:styleId="TitleChar">
    <w:name w:val="Title Char"/>
    <w:basedOn w:val="DefaultParagraphFont"/>
    <w:link w:val="Title"/>
    <w:rsid w:val="00670C79"/>
    <w:rPr>
      <w:rFonts w:ascii="Times New Roman" w:eastAsia="Times New Roman" w:hAnsi="Times New Roman" w:cs="Times New Roman"/>
      <w:b/>
      <w:sz w:val="32"/>
      <w:szCs w:val="32"/>
      <w:lang w:val="ro-RO"/>
    </w:rPr>
  </w:style>
  <w:style w:type="paragraph" w:styleId="Footer">
    <w:name w:val="footer"/>
    <w:basedOn w:val="Normal"/>
    <w:link w:val="FooterChar"/>
    <w:uiPriority w:val="99"/>
    <w:rsid w:val="00670C79"/>
    <w:pPr>
      <w:tabs>
        <w:tab w:val="center" w:pos="4536"/>
        <w:tab w:val="right" w:pos="9072"/>
      </w:tabs>
    </w:pPr>
  </w:style>
  <w:style w:type="character" w:customStyle="1" w:styleId="FooterChar">
    <w:name w:val="Footer Char"/>
    <w:basedOn w:val="DefaultParagraphFont"/>
    <w:link w:val="Footer"/>
    <w:uiPriority w:val="99"/>
    <w:rsid w:val="00670C79"/>
    <w:rPr>
      <w:rFonts w:ascii="Times New Roman" w:eastAsia="Times New Roman" w:hAnsi="Times New Roman" w:cs="Times New Roman"/>
      <w:sz w:val="24"/>
      <w:szCs w:val="24"/>
      <w:lang w:val="ro-RO"/>
    </w:rPr>
  </w:style>
  <w:style w:type="character" w:styleId="PageNumber">
    <w:name w:val="page number"/>
    <w:basedOn w:val="DefaultParagraphFont"/>
    <w:rsid w:val="00670C79"/>
  </w:style>
  <w:style w:type="table" w:styleId="TableGrid">
    <w:name w:val="Table Grid"/>
    <w:basedOn w:val="TableNormal"/>
    <w:uiPriority w:val="59"/>
    <w:rsid w:val="00670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7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670C79"/>
    <w:rPr>
      <w:rFonts w:ascii="Courier New" w:eastAsia="Times New Roman" w:hAnsi="Courier New" w:cs="Courier New"/>
      <w:sz w:val="20"/>
      <w:szCs w:val="20"/>
      <w:lang w:val="ro-RO" w:eastAsia="ro-RO"/>
    </w:rPr>
  </w:style>
  <w:style w:type="paragraph" w:styleId="NoSpacing">
    <w:name w:val="No Spacing"/>
    <w:link w:val="NoSpacingChar"/>
    <w:qFormat/>
    <w:rsid w:val="00966D02"/>
    <w:pPr>
      <w:spacing w:after="0" w:line="240" w:lineRule="auto"/>
    </w:pPr>
    <w:rPr>
      <w:rFonts w:ascii="Calibri" w:eastAsia="Calibri" w:hAnsi="Calibri" w:cs="Times New Roman"/>
    </w:rPr>
  </w:style>
  <w:style w:type="character" w:customStyle="1" w:styleId="NoSpacingChar">
    <w:name w:val="No Spacing Char"/>
    <w:link w:val="NoSpacing"/>
    <w:locked/>
    <w:rsid w:val="00966D02"/>
    <w:rPr>
      <w:rFonts w:ascii="Calibri" w:eastAsia="Calibri" w:hAnsi="Calibri" w:cs="Times New Roman"/>
    </w:rPr>
  </w:style>
  <w:style w:type="paragraph" w:styleId="BalloonText">
    <w:name w:val="Balloon Text"/>
    <w:basedOn w:val="Normal"/>
    <w:link w:val="BalloonTextChar"/>
    <w:uiPriority w:val="99"/>
    <w:semiHidden/>
    <w:unhideWhenUsed/>
    <w:rsid w:val="00BA4E0F"/>
    <w:rPr>
      <w:rFonts w:ascii="Tahoma" w:hAnsi="Tahoma" w:cs="Tahoma"/>
      <w:sz w:val="16"/>
      <w:szCs w:val="16"/>
    </w:rPr>
  </w:style>
  <w:style w:type="character" w:customStyle="1" w:styleId="BalloonTextChar">
    <w:name w:val="Balloon Text Char"/>
    <w:basedOn w:val="DefaultParagraphFont"/>
    <w:link w:val="BalloonText"/>
    <w:uiPriority w:val="99"/>
    <w:semiHidden/>
    <w:rsid w:val="00BA4E0F"/>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CE7B3A"/>
    <w:rPr>
      <w:sz w:val="16"/>
      <w:szCs w:val="16"/>
    </w:rPr>
  </w:style>
  <w:style w:type="paragraph" w:styleId="CommentText">
    <w:name w:val="annotation text"/>
    <w:basedOn w:val="Normal"/>
    <w:link w:val="CommentTextChar"/>
    <w:uiPriority w:val="99"/>
    <w:semiHidden/>
    <w:unhideWhenUsed/>
    <w:rsid w:val="00CE7B3A"/>
    <w:rPr>
      <w:sz w:val="20"/>
      <w:szCs w:val="20"/>
    </w:rPr>
  </w:style>
  <w:style w:type="character" w:customStyle="1" w:styleId="CommentTextChar">
    <w:name w:val="Comment Text Char"/>
    <w:basedOn w:val="DefaultParagraphFont"/>
    <w:link w:val="CommentText"/>
    <w:uiPriority w:val="99"/>
    <w:semiHidden/>
    <w:rsid w:val="00CE7B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E7B3A"/>
    <w:rPr>
      <w:b/>
      <w:bCs/>
    </w:rPr>
  </w:style>
  <w:style w:type="character" w:customStyle="1" w:styleId="CommentSubjectChar">
    <w:name w:val="Comment Subject Char"/>
    <w:basedOn w:val="CommentTextChar"/>
    <w:link w:val="CommentSubject"/>
    <w:uiPriority w:val="99"/>
    <w:semiHidden/>
    <w:rsid w:val="00CE7B3A"/>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semiHidden/>
    <w:rsid w:val="00C01DF1"/>
    <w:rPr>
      <w:rFonts w:asciiTheme="majorHAnsi" w:eastAsiaTheme="majorEastAsia" w:hAnsiTheme="majorHAnsi" w:cstheme="majorBidi"/>
      <w:b/>
      <w:bCs/>
      <w:color w:val="5B9BD5" w:themeColor="accent1"/>
      <w:sz w:val="24"/>
      <w:szCs w:val="24"/>
      <w:lang w:val="ro-RO"/>
    </w:rPr>
  </w:style>
  <w:style w:type="paragraph" w:styleId="ListParagraph">
    <w:name w:val="List Paragraph"/>
    <w:aliases w:val="Normal bullet 2,List Paragraph1,List1,body 2,List Paragraph11,Listă colorată - Accentuare 11,Bullet,Citation List,Forth level,Table of contents numbered,List_Paragraph,Multilevel para_II,Bullet 1,Akapit z listą BS,Outlines a.b.c.,bu,b,lp1"/>
    <w:basedOn w:val="Normal"/>
    <w:link w:val="ListParagraphChar"/>
    <w:uiPriority w:val="34"/>
    <w:qFormat/>
    <w:rsid w:val="00CD681E"/>
    <w:pPr>
      <w:ind w:left="720"/>
      <w:contextualSpacing/>
    </w:pPr>
    <w:rPr>
      <w:rFonts w:asciiTheme="minorHAnsi" w:eastAsiaTheme="minorHAnsi" w:hAnsiTheme="minorHAnsi" w:cstheme="minorBidi"/>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Table of contents numbered Char,List_Paragraph Char,bu Char"/>
    <w:link w:val="ListParagraph"/>
    <w:uiPriority w:val="34"/>
    <w:qFormat/>
    <w:locked/>
    <w:rsid w:val="009B71DC"/>
    <w:rPr>
      <w:sz w:val="24"/>
      <w:szCs w:val="24"/>
      <w:lang w:val="ro-RO"/>
    </w:rPr>
  </w:style>
  <w:style w:type="character" w:customStyle="1" w:styleId="ColorfulList-Accent1Char">
    <w:name w:val="Colorful List - Accent 1 Char"/>
    <w:link w:val="ColorfulList-Accent1"/>
    <w:uiPriority w:val="34"/>
    <w:locked/>
    <w:rsid w:val="009B71DC"/>
    <w:rPr>
      <w:noProof/>
      <w:sz w:val="24"/>
      <w:szCs w:val="24"/>
      <w:lang w:val="ro-RO"/>
    </w:rPr>
  </w:style>
  <w:style w:type="table" w:styleId="ColorfulList-Accent1">
    <w:name w:val="Colorful List Accent 1"/>
    <w:basedOn w:val="TableNormal"/>
    <w:link w:val="ColorfulList-Accent1Char"/>
    <w:uiPriority w:val="34"/>
    <w:rsid w:val="009B71DC"/>
    <w:pPr>
      <w:spacing w:after="0" w:line="240" w:lineRule="auto"/>
    </w:pPr>
    <w:rPr>
      <w:noProof/>
      <w:sz w:val="24"/>
      <w:szCs w:val="24"/>
      <w:lang w:val="ro-RO"/>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47F0"/>
    <w:pPr>
      <w:tabs>
        <w:tab w:val="center" w:pos="4536"/>
        <w:tab w:val="right" w:pos="9072"/>
      </w:tabs>
    </w:pPr>
  </w:style>
  <w:style w:type="character" w:customStyle="1" w:styleId="HeaderChar">
    <w:name w:val="Header Char"/>
    <w:basedOn w:val="DefaultParagraphFont"/>
    <w:link w:val="Header"/>
    <w:uiPriority w:val="99"/>
    <w:rsid w:val="00BA47F0"/>
    <w:rPr>
      <w:rFonts w:ascii="Times New Roman" w:eastAsia="Times New Roman" w:hAnsi="Times New Roman" w:cs="Times New Roman"/>
      <w:sz w:val="24"/>
      <w:szCs w:val="24"/>
      <w:lang w:val="ro-RO"/>
    </w:rPr>
  </w:style>
  <w:style w:type="character" w:customStyle="1" w:styleId="panchor">
    <w:name w:val="panchor"/>
    <w:basedOn w:val="DefaultParagraphFont"/>
    <w:rsid w:val="00161A61"/>
  </w:style>
  <w:style w:type="paragraph" w:styleId="PlainText">
    <w:name w:val="Plain Text"/>
    <w:basedOn w:val="Normal"/>
    <w:link w:val="PlainTextChar"/>
    <w:uiPriority w:val="99"/>
    <w:unhideWhenUsed/>
    <w:rsid w:val="005B1D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1DF4"/>
    <w:rPr>
      <w:rFonts w:ascii="Calibri" w:hAnsi="Calibri"/>
      <w:szCs w:val="21"/>
      <w:lang w:val="ro-RO"/>
    </w:rPr>
  </w:style>
  <w:style w:type="paragraph" w:customStyle="1" w:styleId="al">
    <w:name w:val="a_l"/>
    <w:basedOn w:val="Normal"/>
    <w:rsid w:val="00A31761"/>
    <w:pPr>
      <w:spacing w:before="100" w:beforeAutospacing="1" w:after="100" w:afterAutospacing="1"/>
    </w:pPr>
    <w:rPr>
      <w:rFonts w:ascii="Times" w:eastAsiaTheme="minorHAnsi" w:hAnsi="Times" w:cstheme="minorBidi"/>
      <w:sz w:val="20"/>
      <w:szCs w:val="20"/>
      <w:lang w:val="en-US"/>
    </w:rPr>
  </w:style>
  <w:style w:type="paragraph" w:customStyle="1" w:styleId="Default">
    <w:name w:val="Default"/>
    <w:rsid w:val="00744695"/>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ootnote Reference Number,Footnote Reference_LVL6,Footnote Reference_LVL61,Footnote Reference_LVL62,Footnote Reference_LVL63,Footnote Reference_LVL64,BVI fnr,Footnote symbol,Footnote,SUPERS,numar nota subsol,SUPERS Char Char"/>
    <w:link w:val="SUPERSChar"/>
    <w:uiPriority w:val="99"/>
    <w:unhideWhenUsed/>
    <w:qFormat/>
    <w:rsid w:val="00662A9D"/>
    <w:rPr>
      <w:vertAlign w:val="superscript"/>
    </w:rPr>
  </w:style>
  <w:style w:type="paragraph" w:customStyle="1" w:styleId="SUPERSChar">
    <w:name w:val="SUPERS Char"/>
    <w:aliases w:val="BVI fnr Char,Footnote symbol Char,ftref Char Char Char Char Char Char Char Char Char Char Char Char,Footnote Char Char Char Char Char Char Char Char Char Char Char Char"/>
    <w:basedOn w:val="Normal"/>
    <w:next w:val="Normal"/>
    <w:link w:val="FootnoteReference"/>
    <w:uiPriority w:val="99"/>
    <w:rsid w:val="00662A9D"/>
    <w:pPr>
      <w:spacing w:after="160" w:line="240" w:lineRule="exact"/>
    </w:pPr>
    <w:rPr>
      <w:rFonts w:asciiTheme="minorHAnsi" w:eastAsiaTheme="minorHAnsi" w:hAnsiTheme="minorHAnsi" w:cstheme="minorBidi"/>
      <w:sz w:val="22"/>
      <w:szCs w:val="22"/>
      <w:vertAlign w:val="superscript"/>
      <w:lang w:val="en-US"/>
    </w:rPr>
  </w:style>
  <w:style w:type="paragraph" w:styleId="NormalWeb">
    <w:name w:val="Normal (Web)"/>
    <w:basedOn w:val="Normal"/>
    <w:uiPriority w:val="99"/>
    <w:unhideWhenUsed/>
    <w:rsid w:val="002F7518"/>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46103780">
      <w:bodyDiv w:val="1"/>
      <w:marLeft w:val="0"/>
      <w:marRight w:val="0"/>
      <w:marTop w:val="0"/>
      <w:marBottom w:val="0"/>
      <w:divBdr>
        <w:top w:val="none" w:sz="0" w:space="0" w:color="auto"/>
        <w:left w:val="none" w:sz="0" w:space="0" w:color="auto"/>
        <w:bottom w:val="none" w:sz="0" w:space="0" w:color="auto"/>
        <w:right w:val="none" w:sz="0" w:space="0" w:color="auto"/>
      </w:divBdr>
    </w:div>
    <w:div w:id="154494357">
      <w:bodyDiv w:val="1"/>
      <w:marLeft w:val="0"/>
      <w:marRight w:val="0"/>
      <w:marTop w:val="0"/>
      <w:marBottom w:val="0"/>
      <w:divBdr>
        <w:top w:val="none" w:sz="0" w:space="0" w:color="auto"/>
        <w:left w:val="none" w:sz="0" w:space="0" w:color="auto"/>
        <w:bottom w:val="none" w:sz="0" w:space="0" w:color="auto"/>
        <w:right w:val="none" w:sz="0" w:space="0" w:color="auto"/>
      </w:divBdr>
    </w:div>
    <w:div w:id="264387125">
      <w:bodyDiv w:val="1"/>
      <w:marLeft w:val="0"/>
      <w:marRight w:val="0"/>
      <w:marTop w:val="0"/>
      <w:marBottom w:val="0"/>
      <w:divBdr>
        <w:top w:val="none" w:sz="0" w:space="0" w:color="auto"/>
        <w:left w:val="none" w:sz="0" w:space="0" w:color="auto"/>
        <w:bottom w:val="none" w:sz="0" w:space="0" w:color="auto"/>
        <w:right w:val="none" w:sz="0" w:space="0" w:color="auto"/>
      </w:divBdr>
    </w:div>
    <w:div w:id="472066420">
      <w:bodyDiv w:val="1"/>
      <w:marLeft w:val="0"/>
      <w:marRight w:val="0"/>
      <w:marTop w:val="0"/>
      <w:marBottom w:val="0"/>
      <w:divBdr>
        <w:top w:val="none" w:sz="0" w:space="0" w:color="auto"/>
        <w:left w:val="none" w:sz="0" w:space="0" w:color="auto"/>
        <w:bottom w:val="none" w:sz="0" w:space="0" w:color="auto"/>
        <w:right w:val="none" w:sz="0" w:space="0" w:color="auto"/>
      </w:divBdr>
    </w:div>
    <w:div w:id="707071242">
      <w:bodyDiv w:val="1"/>
      <w:marLeft w:val="0"/>
      <w:marRight w:val="0"/>
      <w:marTop w:val="0"/>
      <w:marBottom w:val="0"/>
      <w:divBdr>
        <w:top w:val="none" w:sz="0" w:space="0" w:color="auto"/>
        <w:left w:val="none" w:sz="0" w:space="0" w:color="auto"/>
        <w:bottom w:val="none" w:sz="0" w:space="0" w:color="auto"/>
        <w:right w:val="none" w:sz="0" w:space="0" w:color="auto"/>
      </w:divBdr>
    </w:div>
    <w:div w:id="1219241526">
      <w:bodyDiv w:val="1"/>
      <w:marLeft w:val="0"/>
      <w:marRight w:val="0"/>
      <w:marTop w:val="0"/>
      <w:marBottom w:val="0"/>
      <w:divBdr>
        <w:top w:val="none" w:sz="0" w:space="0" w:color="auto"/>
        <w:left w:val="none" w:sz="0" w:space="0" w:color="auto"/>
        <w:bottom w:val="none" w:sz="0" w:space="0" w:color="auto"/>
        <w:right w:val="none" w:sz="0" w:space="0" w:color="auto"/>
      </w:divBdr>
    </w:div>
    <w:div w:id="1603996462">
      <w:bodyDiv w:val="1"/>
      <w:marLeft w:val="0"/>
      <w:marRight w:val="0"/>
      <w:marTop w:val="0"/>
      <w:marBottom w:val="0"/>
      <w:divBdr>
        <w:top w:val="none" w:sz="0" w:space="0" w:color="auto"/>
        <w:left w:val="none" w:sz="0" w:space="0" w:color="auto"/>
        <w:bottom w:val="none" w:sz="0" w:space="0" w:color="auto"/>
        <w:right w:val="none" w:sz="0" w:space="0" w:color="auto"/>
      </w:divBdr>
    </w:div>
    <w:div w:id="1659847536">
      <w:bodyDiv w:val="1"/>
      <w:marLeft w:val="0"/>
      <w:marRight w:val="0"/>
      <w:marTop w:val="0"/>
      <w:marBottom w:val="0"/>
      <w:divBdr>
        <w:top w:val="none" w:sz="0" w:space="0" w:color="auto"/>
        <w:left w:val="none" w:sz="0" w:space="0" w:color="auto"/>
        <w:bottom w:val="none" w:sz="0" w:space="0" w:color="auto"/>
        <w:right w:val="none" w:sz="0" w:space="0" w:color="auto"/>
      </w:divBdr>
    </w:div>
    <w:div w:id="1772241865">
      <w:bodyDiv w:val="1"/>
      <w:marLeft w:val="0"/>
      <w:marRight w:val="0"/>
      <w:marTop w:val="0"/>
      <w:marBottom w:val="0"/>
      <w:divBdr>
        <w:top w:val="none" w:sz="0" w:space="0" w:color="auto"/>
        <w:left w:val="none" w:sz="0" w:space="0" w:color="auto"/>
        <w:bottom w:val="none" w:sz="0" w:space="0" w:color="auto"/>
        <w:right w:val="none" w:sz="0" w:space="0" w:color="auto"/>
      </w:divBdr>
    </w:div>
    <w:div w:id="18088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A738-3FE5-426A-BF49-2E6FFF8A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2942</Words>
  <Characters>16772</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IULIANA-MIHAELA CERNAZEANU</dc:creator>
  <cp:lastModifiedBy>Mihaela</cp:lastModifiedBy>
  <cp:revision>13</cp:revision>
  <cp:lastPrinted>2020-08-21T09:22:00Z</cp:lastPrinted>
  <dcterms:created xsi:type="dcterms:W3CDTF">2021-05-25T09:52:00Z</dcterms:created>
  <dcterms:modified xsi:type="dcterms:W3CDTF">2021-05-26T10:07:00Z</dcterms:modified>
</cp:coreProperties>
</file>