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margin" w:tblpY="2836"/>
        <w:tblW w:w="9271" w:type="dxa"/>
        <w:tblLook w:val="01E0" w:firstRow="1" w:lastRow="1" w:firstColumn="1" w:lastColumn="1" w:noHBand="0" w:noVBand="0"/>
      </w:tblPr>
      <w:tblGrid>
        <w:gridCol w:w="1701"/>
        <w:gridCol w:w="7570"/>
      </w:tblGrid>
      <w:tr w:rsidR="000A30C3" w:rsidRPr="00B2745E" w14:paraId="4B6F66F6" w14:textId="77777777" w:rsidTr="00650B62">
        <w:trPr>
          <w:trHeight w:val="902"/>
        </w:trPr>
        <w:tc>
          <w:tcPr>
            <w:tcW w:w="9271" w:type="dxa"/>
            <w:gridSpan w:val="2"/>
            <w:tcMar>
              <w:top w:w="0" w:type="dxa"/>
              <w:left w:w="0" w:type="dxa"/>
              <w:bottom w:w="0" w:type="dxa"/>
              <w:right w:w="0" w:type="dxa"/>
            </w:tcMar>
            <w:hideMark/>
          </w:tcPr>
          <w:p w14:paraId="1E9EC16E" w14:textId="63E17191" w:rsidR="000A30C3" w:rsidRPr="00B2745E" w:rsidRDefault="00730721" w:rsidP="00650B62">
            <w:pPr>
              <w:pStyle w:val="EYDocumenttitle"/>
              <w:rPr>
                <w:rFonts w:cs="Arial"/>
                <w:noProof/>
              </w:rPr>
            </w:pPr>
            <w:r w:rsidRPr="00B2745E">
              <w:rPr>
                <w:rFonts w:cs="Arial"/>
                <w:noProof/>
              </w:rPr>
              <w:t>Punct de vedere</w:t>
            </w:r>
          </w:p>
        </w:tc>
      </w:tr>
      <w:tr w:rsidR="000A30C3" w:rsidRPr="00B2745E" w14:paraId="7094AE1A" w14:textId="77777777" w:rsidTr="00650B62">
        <w:trPr>
          <w:trHeight w:val="373"/>
        </w:trPr>
        <w:tc>
          <w:tcPr>
            <w:tcW w:w="9271" w:type="dxa"/>
            <w:gridSpan w:val="2"/>
            <w:shd w:val="clear" w:color="auto" w:fill="auto"/>
            <w:tcMar>
              <w:top w:w="0" w:type="dxa"/>
              <w:left w:w="0" w:type="dxa"/>
              <w:bottom w:w="0" w:type="dxa"/>
              <w:right w:w="0" w:type="dxa"/>
            </w:tcMar>
            <w:hideMark/>
          </w:tcPr>
          <w:p w14:paraId="0BCDC895" w14:textId="73059B30" w:rsidR="000A30C3" w:rsidRPr="00B2745E" w:rsidRDefault="006475BA" w:rsidP="00650B62">
            <w:pPr>
              <w:pStyle w:val="EYDocumentpromptsbold"/>
              <w:rPr>
                <w:rFonts w:ascii="Arial" w:hAnsi="Arial" w:cs="Arial"/>
                <w:noProof/>
              </w:rPr>
            </w:pPr>
            <w:r w:rsidRPr="00B2745E">
              <w:rPr>
                <w:rFonts w:ascii="Arial" w:hAnsi="Arial" w:cs="Arial"/>
                <w:noProof/>
              </w:rPr>
              <w:t>5</w:t>
            </w:r>
            <w:r w:rsidR="00437319" w:rsidRPr="00B2745E">
              <w:rPr>
                <w:rFonts w:ascii="Arial" w:hAnsi="Arial" w:cs="Arial"/>
                <w:noProof/>
              </w:rPr>
              <w:t xml:space="preserve"> </w:t>
            </w:r>
            <w:r w:rsidR="00EE4550" w:rsidRPr="00B2745E">
              <w:rPr>
                <w:rFonts w:ascii="Arial" w:hAnsi="Arial" w:cs="Arial"/>
                <w:noProof/>
              </w:rPr>
              <w:t>iulie</w:t>
            </w:r>
            <w:r w:rsidR="00F51757" w:rsidRPr="00B2745E">
              <w:rPr>
                <w:rFonts w:ascii="Arial" w:hAnsi="Arial" w:cs="Arial"/>
                <w:noProof/>
              </w:rPr>
              <w:t xml:space="preserve"> </w:t>
            </w:r>
            <w:r w:rsidR="000A30C3" w:rsidRPr="00B2745E">
              <w:rPr>
                <w:rFonts w:ascii="Arial" w:hAnsi="Arial" w:cs="Arial"/>
                <w:noProof/>
              </w:rPr>
              <w:t>202</w:t>
            </w:r>
            <w:r w:rsidR="000D61B9" w:rsidRPr="00B2745E">
              <w:rPr>
                <w:rFonts w:ascii="Arial" w:hAnsi="Arial" w:cs="Arial"/>
                <w:noProof/>
              </w:rPr>
              <w:t>2</w:t>
            </w:r>
          </w:p>
        </w:tc>
      </w:tr>
      <w:tr w:rsidR="000A30C3" w:rsidRPr="00B2745E" w14:paraId="71163D50" w14:textId="77777777" w:rsidTr="00650B62">
        <w:trPr>
          <w:trHeight w:val="20"/>
        </w:trPr>
        <w:tc>
          <w:tcPr>
            <w:tcW w:w="1701" w:type="dxa"/>
            <w:tcMar>
              <w:top w:w="0" w:type="dxa"/>
              <w:left w:w="0" w:type="dxa"/>
              <w:bottom w:w="0" w:type="dxa"/>
              <w:right w:w="0" w:type="dxa"/>
            </w:tcMar>
            <w:hideMark/>
          </w:tcPr>
          <w:p w14:paraId="12E82192" w14:textId="77777777" w:rsidR="000A30C3" w:rsidRPr="00B2745E" w:rsidRDefault="000A30C3" w:rsidP="00650B62">
            <w:pPr>
              <w:pStyle w:val="EYDocumentprompts"/>
              <w:rPr>
                <w:rFonts w:cs="Arial"/>
                <w:noProof/>
                <w:lang w:val="ro-RO"/>
              </w:rPr>
            </w:pPr>
            <w:r w:rsidRPr="00B2745E">
              <w:rPr>
                <w:rFonts w:cs="Arial"/>
                <w:noProof/>
                <w:lang w:val="ro-RO"/>
              </w:rPr>
              <w:t>Contact:</w:t>
            </w:r>
          </w:p>
        </w:tc>
        <w:tc>
          <w:tcPr>
            <w:tcW w:w="7570" w:type="dxa"/>
            <w:tcMar>
              <w:top w:w="0" w:type="dxa"/>
              <w:left w:w="0" w:type="dxa"/>
              <w:bottom w:w="0" w:type="dxa"/>
              <w:right w:w="0" w:type="dxa"/>
            </w:tcMar>
            <w:hideMark/>
          </w:tcPr>
          <w:p w14:paraId="6E5C96E8" w14:textId="77777777" w:rsidR="000A30C3" w:rsidRPr="00B2745E" w:rsidRDefault="000A30C3" w:rsidP="00650B62">
            <w:pPr>
              <w:pStyle w:val="EYDocumentprompts"/>
              <w:rPr>
                <w:rFonts w:cs="Arial"/>
                <w:noProof/>
                <w:lang w:val="ro-RO"/>
              </w:rPr>
            </w:pPr>
            <w:r w:rsidRPr="00B2745E">
              <w:rPr>
                <w:rFonts w:cs="Arial"/>
                <w:noProof/>
                <w:lang w:val="ro-RO"/>
              </w:rPr>
              <w:t>Anda Huțanu</w:t>
            </w:r>
          </w:p>
        </w:tc>
      </w:tr>
      <w:tr w:rsidR="000A30C3" w:rsidRPr="00B2745E" w14:paraId="04BF7DC3" w14:textId="77777777" w:rsidTr="00650B62">
        <w:trPr>
          <w:trHeight w:val="20"/>
        </w:trPr>
        <w:tc>
          <w:tcPr>
            <w:tcW w:w="1701" w:type="dxa"/>
            <w:tcMar>
              <w:top w:w="0" w:type="dxa"/>
              <w:left w:w="0" w:type="dxa"/>
              <w:bottom w:w="0" w:type="dxa"/>
              <w:right w:w="0" w:type="dxa"/>
            </w:tcMar>
            <w:hideMark/>
          </w:tcPr>
          <w:p w14:paraId="7D3B09CA" w14:textId="77777777" w:rsidR="000A30C3" w:rsidRPr="00B2745E" w:rsidRDefault="000A30C3" w:rsidP="00650B62">
            <w:pPr>
              <w:pStyle w:val="EYDocumentprompts"/>
              <w:rPr>
                <w:rFonts w:cs="Arial"/>
                <w:noProof/>
                <w:lang w:val="ro-RO"/>
              </w:rPr>
            </w:pPr>
            <w:r w:rsidRPr="00B2745E">
              <w:rPr>
                <w:rFonts w:cs="Arial"/>
                <w:noProof/>
                <w:lang w:val="ro-RO"/>
              </w:rPr>
              <w:t>Companie:</w:t>
            </w:r>
          </w:p>
        </w:tc>
        <w:tc>
          <w:tcPr>
            <w:tcW w:w="7570" w:type="dxa"/>
            <w:tcMar>
              <w:top w:w="0" w:type="dxa"/>
              <w:left w:w="0" w:type="dxa"/>
              <w:bottom w:w="0" w:type="dxa"/>
              <w:right w:w="0" w:type="dxa"/>
            </w:tcMar>
            <w:hideMark/>
          </w:tcPr>
          <w:p w14:paraId="5CF38198" w14:textId="77777777" w:rsidR="000A30C3" w:rsidRPr="00B2745E" w:rsidRDefault="000A30C3" w:rsidP="00650B62">
            <w:pPr>
              <w:pStyle w:val="EYDocumentprompts"/>
              <w:rPr>
                <w:rFonts w:cs="Arial"/>
                <w:noProof/>
                <w:lang w:val="ro-RO"/>
              </w:rPr>
            </w:pPr>
            <w:r w:rsidRPr="00B2745E">
              <w:rPr>
                <w:rFonts w:cs="Arial"/>
                <w:noProof/>
                <w:lang w:val="ro-RO"/>
              </w:rPr>
              <w:t>EY România</w:t>
            </w:r>
          </w:p>
        </w:tc>
      </w:tr>
      <w:tr w:rsidR="000A30C3" w:rsidRPr="00B2745E" w14:paraId="15922916" w14:textId="77777777" w:rsidTr="00650B62">
        <w:trPr>
          <w:trHeight w:val="20"/>
        </w:trPr>
        <w:tc>
          <w:tcPr>
            <w:tcW w:w="1701" w:type="dxa"/>
            <w:tcMar>
              <w:top w:w="0" w:type="dxa"/>
              <w:left w:w="0" w:type="dxa"/>
              <w:bottom w:w="0" w:type="dxa"/>
              <w:right w:w="0" w:type="dxa"/>
            </w:tcMar>
            <w:hideMark/>
          </w:tcPr>
          <w:p w14:paraId="414857A3" w14:textId="77777777" w:rsidR="000A30C3" w:rsidRPr="00B2745E" w:rsidRDefault="000A30C3" w:rsidP="00650B62">
            <w:pPr>
              <w:pStyle w:val="EYDocumentprompts"/>
              <w:rPr>
                <w:rFonts w:cs="Arial"/>
                <w:noProof/>
                <w:lang w:val="ro-RO"/>
              </w:rPr>
            </w:pPr>
            <w:r w:rsidRPr="00B2745E">
              <w:rPr>
                <w:rFonts w:cs="Arial"/>
                <w:noProof/>
                <w:lang w:val="ro-RO"/>
              </w:rPr>
              <w:t>Tel:</w:t>
            </w:r>
          </w:p>
        </w:tc>
        <w:tc>
          <w:tcPr>
            <w:tcW w:w="7570" w:type="dxa"/>
            <w:tcMar>
              <w:top w:w="0" w:type="dxa"/>
              <w:left w:w="0" w:type="dxa"/>
              <w:bottom w:w="0" w:type="dxa"/>
              <w:right w:w="0" w:type="dxa"/>
            </w:tcMar>
            <w:hideMark/>
          </w:tcPr>
          <w:p w14:paraId="0F56F218" w14:textId="77777777" w:rsidR="000A30C3" w:rsidRPr="00B2745E" w:rsidRDefault="000A30C3" w:rsidP="00650B62">
            <w:pPr>
              <w:pStyle w:val="EYDocumentprompts"/>
              <w:rPr>
                <w:rFonts w:cs="Arial"/>
                <w:noProof/>
                <w:lang w:val="ro-RO"/>
              </w:rPr>
            </w:pPr>
            <w:r w:rsidRPr="00B2745E">
              <w:rPr>
                <w:rFonts w:cs="Arial"/>
                <w:noProof/>
                <w:lang w:val="ro-RO"/>
              </w:rPr>
              <w:t>+40 21 402 4000</w:t>
            </w:r>
          </w:p>
        </w:tc>
      </w:tr>
      <w:tr w:rsidR="000A30C3" w:rsidRPr="00B2745E" w14:paraId="3E6A8718" w14:textId="77777777" w:rsidTr="00650B62">
        <w:trPr>
          <w:trHeight w:val="80"/>
        </w:trPr>
        <w:tc>
          <w:tcPr>
            <w:tcW w:w="1701" w:type="dxa"/>
            <w:tcMar>
              <w:top w:w="0" w:type="dxa"/>
              <w:left w:w="0" w:type="dxa"/>
              <w:bottom w:w="0" w:type="dxa"/>
              <w:right w:w="0" w:type="dxa"/>
            </w:tcMar>
            <w:hideMark/>
          </w:tcPr>
          <w:p w14:paraId="233EE478" w14:textId="77777777" w:rsidR="000A30C3" w:rsidRPr="00B2745E" w:rsidRDefault="000A30C3" w:rsidP="00650B62">
            <w:pPr>
              <w:pStyle w:val="EYDocumentprompts"/>
              <w:rPr>
                <w:rFonts w:cs="Arial"/>
                <w:noProof/>
                <w:lang w:val="ro-RO"/>
              </w:rPr>
            </w:pPr>
            <w:r w:rsidRPr="00B2745E">
              <w:rPr>
                <w:rFonts w:cs="Arial"/>
                <w:noProof/>
                <w:lang w:val="ro-RO"/>
              </w:rPr>
              <w:t>E-mail:</w:t>
            </w:r>
          </w:p>
        </w:tc>
        <w:tc>
          <w:tcPr>
            <w:tcW w:w="7570" w:type="dxa"/>
            <w:tcMar>
              <w:top w:w="0" w:type="dxa"/>
              <w:left w:w="0" w:type="dxa"/>
              <w:bottom w:w="0" w:type="dxa"/>
              <w:right w:w="0" w:type="dxa"/>
            </w:tcMar>
            <w:hideMark/>
          </w:tcPr>
          <w:p w14:paraId="3ECFA144" w14:textId="77777777" w:rsidR="000A30C3" w:rsidRPr="00B2745E" w:rsidRDefault="00164610" w:rsidP="00650B62">
            <w:pPr>
              <w:pStyle w:val="EYDocumentprompts"/>
              <w:rPr>
                <w:rFonts w:cs="Arial"/>
                <w:noProof/>
                <w:color w:val="0000FF"/>
                <w:u w:val="single"/>
                <w:lang w:val="ro-RO"/>
              </w:rPr>
            </w:pPr>
            <w:hyperlink r:id="rId11" w:history="1">
              <w:r w:rsidR="000A30C3" w:rsidRPr="00B2745E">
                <w:rPr>
                  <w:rStyle w:val="Hyperlink"/>
                  <w:rFonts w:cs="Arial"/>
                  <w:noProof/>
                  <w:lang w:val="ro-RO"/>
                </w:rPr>
                <w:t>anda.hutanu@ro.ey.com</w:t>
              </w:r>
            </w:hyperlink>
          </w:p>
        </w:tc>
      </w:tr>
    </w:tbl>
    <w:p w14:paraId="17CD71F2" w14:textId="0DE12A2B" w:rsidR="00A37BE0" w:rsidRPr="00B2745E" w:rsidRDefault="00A37BE0" w:rsidP="00D21E69">
      <w:pPr>
        <w:pStyle w:val="EYBodytextwithparaspace"/>
        <w:spacing w:after="0" w:line="240" w:lineRule="auto"/>
        <w:contextualSpacing/>
        <w:rPr>
          <w:rFonts w:cs="Arial"/>
          <w:noProof/>
          <w:szCs w:val="22"/>
        </w:rPr>
      </w:pPr>
    </w:p>
    <w:p w14:paraId="0335F21D" w14:textId="77777777" w:rsidR="007773E3" w:rsidRPr="00B2745E" w:rsidRDefault="007773E3" w:rsidP="007773E3">
      <w:pPr>
        <w:rPr>
          <w:b/>
          <w:bCs/>
          <w:noProof/>
          <w:sz w:val="28"/>
          <w:szCs w:val="36"/>
        </w:rPr>
      </w:pPr>
      <w:r w:rsidRPr="00B2745E">
        <w:rPr>
          <w:b/>
          <w:bCs/>
          <w:noProof/>
          <w:sz w:val="28"/>
          <w:szCs w:val="36"/>
        </w:rPr>
        <w:t xml:space="preserve">Noua Lege Offshore a României aduce mult așteptata predictibilitate și stabilitate titularilor de acorduri petroliere din Marea Neagră (și nu numai) </w:t>
      </w:r>
    </w:p>
    <w:p w14:paraId="38A0BCAF" w14:textId="77777777" w:rsidR="00CE59E1" w:rsidRPr="00B2745E" w:rsidRDefault="00CE59E1" w:rsidP="00D21E69">
      <w:pPr>
        <w:pStyle w:val="EYBodytextwithparaspace"/>
        <w:spacing w:after="240" w:line="240" w:lineRule="auto"/>
        <w:contextualSpacing/>
        <w:rPr>
          <w:rFonts w:cs="Arial"/>
          <w:noProof/>
          <w:szCs w:val="22"/>
        </w:rPr>
      </w:pPr>
    </w:p>
    <w:p w14:paraId="02EB3B66" w14:textId="1576C4A5" w:rsidR="001B7A91" w:rsidRPr="00B2745E" w:rsidRDefault="00730721" w:rsidP="00CE59E1">
      <w:pPr>
        <w:pStyle w:val="EYBodytextwithparaspace"/>
        <w:spacing w:after="240"/>
        <w:contextualSpacing/>
        <w:rPr>
          <w:rFonts w:cs="Arial"/>
          <w:i/>
          <w:iCs/>
          <w:noProof/>
          <w:szCs w:val="22"/>
        </w:rPr>
      </w:pPr>
      <w:r w:rsidRPr="00B2745E">
        <w:rPr>
          <w:rFonts w:cs="Arial"/>
          <w:i/>
          <w:iCs/>
          <w:noProof/>
          <w:szCs w:val="22"/>
        </w:rPr>
        <w:t>Autor</w:t>
      </w:r>
      <w:r w:rsidR="001B7A91" w:rsidRPr="00B2745E">
        <w:rPr>
          <w:rFonts w:cs="Arial"/>
          <w:i/>
          <w:iCs/>
          <w:noProof/>
          <w:szCs w:val="22"/>
        </w:rPr>
        <w:t>i</w:t>
      </w:r>
      <w:r w:rsidRPr="00B2745E">
        <w:rPr>
          <w:rFonts w:cs="Arial"/>
          <w:i/>
          <w:iCs/>
          <w:noProof/>
          <w:szCs w:val="22"/>
        </w:rPr>
        <w:t>:</w:t>
      </w:r>
      <w:r w:rsidR="00C21EAC" w:rsidRPr="00B2745E">
        <w:rPr>
          <w:rFonts w:cs="Arial"/>
          <w:i/>
          <w:iCs/>
          <w:noProof/>
          <w:szCs w:val="22"/>
        </w:rPr>
        <w:t xml:space="preserve"> </w:t>
      </w:r>
      <w:r w:rsidR="00744B00" w:rsidRPr="00B2745E">
        <w:rPr>
          <w:rFonts w:cs="Arial"/>
          <w:i/>
          <w:iCs/>
          <w:noProof/>
          <w:szCs w:val="22"/>
        </w:rPr>
        <w:t xml:space="preserve">Alex Milcev, </w:t>
      </w:r>
      <w:r w:rsidR="00ED6C1C" w:rsidRPr="00B2745E">
        <w:rPr>
          <w:rFonts w:cs="Arial"/>
          <w:i/>
          <w:iCs/>
          <w:noProof/>
          <w:szCs w:val="22"/>
        </w:rPr>
        <w:t>Liderul departamentului de Asistenţă</w:t>
      </w:r>
      <w:r w:rsidR="001B7A91" w:rsidRPr="00B2745E">
        <w:rPr>
          <w:rFonts w:cs="Arial"/>
          <w:i/>
          <w:iCs/>
          <w:noProof/>
          <w:szCs w:val="22"/>
        </w:rPr>
        <w:t xml:space="preserve"> </w:t>
      </w:r>
      <w:r w:rsidR="00ED6C1C" w:rsidRPr="00B2745E">
        <w:rPr>
          <w:rFonts w:cs="Arial"/>
          <w:i/>
          <w:iCs/>
          <w:noProof/>
          <w:szCs w:val="22"/>
        </w:rPr>
        <w:t>f</w:t>
      </w:r>
      <w:r w:rsidR="001B7A91" w:rsidRPr="00B2745E">
        <w:rPr>
          <w:rFonts w:cs="Arial"/>
          <w:i/>
          <w:iCs/>
          <w:noProof/>
          <w:szCs w:val="22"/>
        </w:rPr>
        <w:t xml:space="preserve">iscală și </w:t>
      </w:r>
      <w:r w:rsidR="00ED6C1C" w:rsidRPr="00B2745E">
        <w:rPr>
          <w:rFonts w:cs="Arial"/>
          <w:i/>
          <w:iCs/>
          <w:noProof/>
          <w:szCs w:val="22"/>
        </w:rPr>
        <w:t>j</w:t>
      </w:r>
      <w:r w:rsidR="001B7A91" w:rsidRPr="00B2745E">
        <w:rPr>
          <w:rFonts w:cs="Arial"/>
          <w:i/>
          <w:iCs/>
          <w:noProof/>
          <w:szCs w:val="22"/>
        </w:rPr>
        <w:t>uridică, EY România</w:t>
      </w:r>
    </w:p>
    <w:p w14:paraId="424067F1" w14:textId="59C2029E" w:rsidR="00D86726" w:rsidRPr="00B2745E" w:rsidRDefault="00A61119" w:rsidP="00CE59E1">
      <w:pPr>
        <w:pStyle w:val="EYBodytextwithparaspace"/>
        <w:spacing w:after="240"/>
        <w:contextualSpacing/>
        <w:rPr>
          <w:rFonts w:cs="Arial"/>
          <w:i/>
          <w:iCs/>
          <w:noProof/>
          <w:szCs w:val="22"/>
        </w:rPr>
      </w:pPr>
      <w:r w:rsidRPr="00B2745E">
        <w:rPr>
          <w:rFonts w:cs="Arial"/>
          <w:i/>
          <w:iCs/>
          <w:noProof/>
          <w:szCs w:val="22"/>
        </w:rPr>
        <w:t xml:space="preserve">Mihai Petre, Director, </w:t>
      </w:r>
      <w:r w:rsidR="00C36BD4" w:rsidRPr="00B2745E">
        <w:rPr>
          <w:rFonts w:cs="Arial"/>
          <w:i/>
          <w:iCs/>
          <w:noProof/>
          <w:szCs w:val="22"/>
        </w:rPr>
        <w:t>Consultanță Comerț Internațional</w:t>
      </w:r>
      <w:r w:rsidRPr="00B2745E">
        <w:rPr>
          <w:rFonts w:cs="Arial"/>
          <w:i/>
          <w:iCs/>
          <w:noProof/>
          <w:szCs w:val="22"/>
        </w:rPr>
        <w:t>, EY România</w:t>
      </w:r>
    </w:p>
    <w:p w14:paraId="37CE97D9" w14:textId="36500759" w:rsidR="00F770A3" w:rsidRPr="00B2745E" w:rsidRDefault="00BE507A" w:rsidP="00F770A3">
      <w:pPr>
        <w:rPr>
          <w:rFonts w:cs="Arial"/>
          <w:noProof/>
          <w:sz w:val="22"/>
          <w:szCs w:val="22"/>
        </w:rPr>
      </w:pPr>
      <w:r w:rsidRPr="00B2745E">
        <w:rPr>
          <w:rFonts w:cs="Arial"/>
          <w:noProof/>
          <w:sz w:val="22"/>
          <w:szCs w:val="22"/>
        </w:rPr>
        <w:t>O serie de prevederi ce guvernau explorarea și exploatarea zăcămintelor din perimetrele offshore din Marea Neagră au fost modificate prin lege l</w:t>
      </w:r>
      <w:r w:rsidR="00F770A3" w:rsidRPr="00B2745E">
        <w:rPr>
          <w:rFonts w:cs="Arial"/>
          <w:noProof/>
          <w:sz w:val="22"/>
          <w:szCs w:val="22"/>
        </w:rPr>
        <w:t xml:space="preserve">a finalul lunii mai 2022. </w:t>
      </w:r>
      <w:r w:rsidR="00217B8A" w:rsidRPr="00B2745E">
        <w:rPr>
          <w:rFonts w:cs="Arial"/>
          <w:noProof/>
          <w:sz w:val="22"/>
          <w:szCs w:val="22"/>
        </w:rPr>
        <w:t>P</w:t>
      </w:r>
      <w:r w:rsidR="00F770A3" w:rsidRPr="00B2745E">
        <w:rPr>
          <w:rFonts w:cs="Arial"/>
          <w:noProof/>
          <w:sz w:val="22"/>
          <w:szCs w:val="22"/>
        </w:rPr>
        <w:t>rin aceste modific</w:t>
      </w:r>
      <w:r w:rsidR="00217B8A" w:rsidRPr="00B2745E">
        <w:rPr>
          <w:rFonts w:cs="Arial"/>
          <w:noProof/>
          <w:sz w:val="22"/>
          <w:szCs w:val="22"/>
        </w:rPr>
        <w:t>ă</w:t>
      </w:r>
      <w:r w:rsidR="00F770A3" w:rsidRPr="00B2745E">
        <w:rPr>
          <w:rFonts w:cs="Arial"/>
          <w:noProof/>
          <w:sz w:val="22"/>
          <w:szCs w:val="22"/>
        </w:rPr>
        <w:t>ri</w:t>
      </w:r>
      <w:r w:rsidR="00217B8A" w:rsidRPr="00B2745E">
        <w:rPr>
          <w:rFonts w:cs="Arial"/>
          <w:noProof/>
          <w:sz w:val="22"/>
          <w:szCs w:val="22"/>
        </w:rPr>
        <w:t xml:space="preserve">, </w:t>
      </w:r>
      <w:r w:rsidR="00F770A3" w:rsidRPr="00B2745E">
        <w:rPr>
          <w:rFonts w:cs="Arial"/>
          <w:noProof/>
          <w:sz w:val="22"/>
          <w:szCs w:val="22"/>
        </w:rPr>
        <w:t xml:space="preserve">prevederile Legii Offshore au fost extinse </w:t>
      </w:r>
      <w:r w:rsidR="00217B8A" w:rsidRPr="00B2745E">
        <w:rPr>
          <w:rFonts w:cs="Arial"/>
          <w:noProof/>
          <w:sz w:val="22"/>
          <w:szCs w:val="22"/>
        </w:rPr>
        <w:t>ș</w:t>
      </w:r>
      <w:r w:rsidR="00F770A3" w:rsidRPr="00B2745E">
        <w:rPr>
          <w:rFonts w:cs="Arial"/>
          <w:noProof/>
          <w:sz w:val="22"/>
          <w:szCs w:val="22"/>
        </w:rPr>
        <w:t>i c</w:t>
      </w:r>
      <w:r w:rsidR="00217B8A" w:rsidRPr="00B2745E">
        <w:rPr>
          <w:rFonts w:cs="Arial"/>
          <w:noProof/>
          <w:sz w:val="22"/>
          <w:szCs w:val="22"/>
        </w:rPr>
        <w:t>ă</w:t>
      </w:r>
      <w:r w:rsidR="00F770A3" w:rsidRPr="00B2745E">
        <w:rPr>
          <w:rFonts w:cs="Arial"/>
          <w:noProof/>
          <w:sz w:val="22"/>
          <w:szCs w:val="22"/>
        </w:rPr>
        <w:t>tre perimetre onshore de mare ad</w:t>
      </w:r>
      <w:r w:rsidR="00217B8A" w:rsidRPr="00B2745E">
        <w:rPr>
          <w:rFonts w:cs="Arial"/>
          <w:noProof/>
          <w:sz w:val="22"/>
          <w:szCs w:val="22"/>
        </w:rPr>
        <w:t>â</w:t>
      </w:r>
      <w:r w:rsidR="00F770A3" w:rsidRPr="00B2745E">
        <w:rPr>
          <w:rFonts w:cs="Arial"/>
          <w:noProof/>
          <w:sz w:val="22"/>
          <w:szCs w:val="22"/>
        </w:rPr>
        <w:t>ncime (peste 3</w:t>
      </w:r>
      <w:r w:rsidR="00217B8A" w:rsidRPr="00B2745E">
        <w:rPr>
          <w:rFonts w:cs="Arial"/>
          <w:noProof/>
          <w:sz w:val="22"/>
          <w:szCs w:val="22"/>
        </w:rPr>
        <w:t>.</w:t>
      </w:r>
      <w:r w:rsidR="00F770A3" w:rsidRPr="00B2745E">
        <w:rPr>
          <w:rFonts w:cs="Arial"/>
          <w:noProof/>
          <w:sz w:val="22"/>
          <w:szCs w:val="22"/>
        </w:rPr>
        <w:t>000 de metri), ceea ce arat</w:t>
      </w:r>
      <w:r w:rsidR="00217B8A" w:rsidRPr="00B2745E">
        <w:rPr>
          <w:rFonts w:cs="Arial"/>
          <w:noProof/>
          <w:sz w:val="22"/>
          <w:szCs w:val="22"/>
        </w:rPr>
        <w:t>ă</w:t>
      </w:r>
      <w:r w:rsidR="00F770A3" w:rsidRPr="00B2745E">
        <w:rPr>
          <w:rFonts w:cs="Arial"/>
          <w:noProof/>
          <w:sz w:val="22"/>
          <w:szCs w:val="22"/>
        </w:rPr>
        <w:t xml:space="preserve"> dorin</w:t>
      </w:r>
      <w:r w:rsidR="00217B8A" w:rsidRPr="00B2745E">
        <w:rPr>
          <w:rFonts w:cs="Arial"/>
          <w:noProof/>
          <w:sz w:val="22"/>
          <w:szCs w:val="22"/>
        </w:rPr>
        <w:t>ț</w:t>
      </w:r>
      <w:r w:rsidR="00F770A3" w:rsidRPr="00B2745E">
        <w:rPr>
          <w:rFonts w:cs="Arial"/>
          <w:noProof/>
          <w:sz w:val="22"/>
          <w:szCs w:val="22"/>
        </w:rPr>
        <w:t xml:space="preserve">a legiuitorului de </w:t>
      </w:r>
      <w:r w:rsidR="00A133EC" w:rsidRPr="00B2745E">
        <w:rPr>
          <w:rFonts w:cs="Arial"/>
          <w:noProof/>
          <w:sz w:val="22"/>
          <w:szCs w:val="22"/>
        </w:rPr>
        <w:t xml:space="preserve">a </w:t>
      </w:r>
      <w:r w:rsidR="00217B8A" w:rsidRPr="00B2745E">
        <w:rPr>
          <w:rFonts w:cs="Arial"/>
          <w:noProof/>
          <w:sz w:val="22"/>
          <w:szCs w:val="22"/>
        </w:rPr>
        <w:t>evidenția</w:t>
      </w:r>
      <w:r w:rsidR="00F770A3" w:rsidRPr="00B2745E">
        <w:rPr>
          <w:rFonts w:cs="Arial"/>
          <w:noProof/>
          <w:sz w:val="22"/>
          <w:szCs w:val="22"/>
        </w:rPr>
        <w:t xml:space="preserve"> </w:t>
      </w:r>
      <w:r w:rsidR="00217B8A" w:rsidRPr="00B2745E">
        <w:rPr>
          <w:rFonts w:cs="Arial"/>
          <w:noProof/>
          <w:sz w:val="22"/>
          <w:szCs w:val="22"/>
        </w:rPr>
        <w:t>ș</w:t>
      </w:r>
      <w:r w:rsidR="00F770A3" w:rsidRPr="00B2745E">
        <w:rPr>
          <w:rFonts w:cs="Arial"/>
          <w:noProof/>
          <w:sz w:val="22"/>
          <w:szCs w:val="22"/>
        </w:rPr>
        <w:t>i z</w:t>
      </w:r>
      <w:r w:rsidR="00217B8A" w:rsidRPr="00B2745E">
        <w:rPr>
          <w:rFonts w:cs="Arial"/>
          <w:noProof/>
          <w:sz w:val="22"/>
          <w:szCs w:val="22"/>
        </w:rPr>
        <w:t>ă</w:t>
      </w:r>
      <w:r w:rsidR="00F770A3" w:rsidRPr="00B2745E">
        <w:rPr>
          <w:rFonts w:cs="Arial"/>
          <w:noProof/>
          <w:sz w:val="22"/>
          <w:szCs w:val="22"/>
        </w:rPr>
        <w:t>c</w:t>
      </w:r>
      <w:r w:rsidR="00217B8A" w:rsidRPr="00B2745E">
        <w:rPr>
          <w:rFonts w:cs="Arial"/>
          <w:noProof/>
          <w:sz w:val="22"/>
          <w:szCs w:val="22"/>
        </w:rPr>
        <w:t>ă</w:t>
      </w:r>
      <w:r w:rsidR="00F770A3" w:rsidRPr="00B2745E">
        <w:rPr>
          <w:rFonts w:cs="Arial"/>
          <w:noProof/>
          <w:sz w:val="22"/>
          <w:szCs w:val="22"/>
        </w:rPr>
        <w:t>mintele onshore ale Rom</w:t>
      </w:r>
      <w:r w:rsidR="00217B8A" w:rsidRPr="00B2745E">
        <w:rPr>
          <w:rFonts w:cs="Arial"/>
          <w:noProof/>
          <w:sz w:val="22"/>
          <w:szCs w:val="22"/>
        </w:rPr>
        <w:t>â</w:t>
      </w:r>
      <w:r w:rsidR="00F770A3" w:rsidRPr="00B2745E">
        <w:rPr>
          <w:rFonts w:cs="Arial"/>
          <w:noProof/>
          <w:sz w:val="22"/>
          <w:szCs w:val="22"/>
        </w:rPr>
        <w:t>niei, deloc de neglijat ca poten</w:t>
      </w:r>
      <w:r w:rsidR="005914BD" w:rsidRPr="00B2745E">
        <w:rPr>
          <w:rFonts w:cs="Arial"/>
          <w:noProof/>
          <w:sz w:val="22"/>
          <w:szCs w:val="22"/>
        </w:rPr>
        <w:t>ț</w:t>
      </w:r>
      <w:r w:rsidR="00F770A3" w:rsidRPr="00B2745E">
        <w:rPr>
          <w:rFonts w:cs="Arial"/>
          <w:noProof/>
          <w:sz w:val="22"/>
          <w:szCs w:val="22"/>
        </w:rPr>
        <w:t xml:space="preserve">ial. </w:t>
      </w:r>
    </w:p>
    <w:p w14:paraId="66632F4A" w14:textId="77777777" w:rsidR="005914BD" w:rsidRPr="00B2745E" w:rsidRDefault="005914BD" w:rsidP="00F770A3">
      <w:pPr>
        <w:rPr>
          <w:rFonts w:cs="Arial"/>
          <w:noProof/>
          <w:sz w:val="22"/>
          <w:szCs w:val="22"/>
        </w:rPr>
      </w:pPr>
    </w:p>
    <w:p w14:paraId="0BA438C7" w14:textId="1929BA23" w:rsidR="00F770A3" w:rsidRPr="00B2745E" w:rsidRDefault="00F770A3" w:rsidP="00F770A3">
      <w:pPr>
        <w:rPr>
          <w:rFonts w:cs="Arial"/>
          <w:b/>
          <w:bCs/>
          <w:noProof/>
          <w:sz w:val="22"/>
          <w:szCs w:val="22"/>
        </w:rPr>
      </w:pPr>
      <w:r w:rsidRPr="00B2745E">
        <w:rPr>
          <w:rFonts w:cs="Arial"/>
          <w:b/>
          <w:bCs/>
          <w:noProof/>
          <w:sz w:val="22"/>
          <w:szCs w:val="22"/>
        </w:rPr>
        <w:t xml:space="preserve">Ce aduce nou Legea Offshore?  </w:t>
      </w:r>
      <w:bookmarkStart w:id="0" w:name="_GoBack"/>
      <w:bookmarkEnd w:id="0"/>
    </w:p>
    <w:p w14:paraId="70D6A096" w14:textId="77777777" w:rsidR="0031151A" w:rsidRPr="00B2745E" w:rsidRDefault="0031151A" w:rsidP="00F770A3">
      <w:pPr>
        <w:rPr>
          <w:rFonts w:cs="Arial"/>
          <w:b/>
          <w:bCs/>
          <w:noProof/>
          <w:sz w:val="22"/>
          <w:szCs w:val="22"/>
        </w:rPr>
      </w:pPr>
    </w:p>
    <w:p w14:paraId="11724E82" w14:textId="76FEE350" w:rsidR="00572E3E" w:rsidRPr="00B2745E" w:rsidRDefault="00F770A3" w:rsidP="00F770A3">
      <w:pPr>
        <w:rPr>
          <w:rFonts w:cs="Arial"/>
          <w:noProof/>
          <w:sz w:val="22"/>
          <w:szCs w:val="22"/>
        </w:rPr>
      </w:pPr>
      <w:r w:rsidRPr="00B2745E">
        <w:rPr>
          <w:rFonts w:cs="Arial"/>
          <w:noProof/>
          <w:sz w:val="22"/>
          <w:szCs w:val="22"/>
        </w:rPr>
        <w:t xml:space="preserve">În primul rând, noua lege aduce mult așteptata predictibilitate și stabilitate titularilor de acorduri petroliere din Marea Neagră (și nu numai). Cu alte cuvinte, aceștia au certitudinea, prin lege, că regimul de redevențe și regimul fiscal specific existent la data de 1 ianuarie 2023 </w:t>
      </w:r>
      <w:r w:rsidR="00A717CD" w:rsidRPr="00B2745E">
        <w:rPr>
          <w:rFonts w:cs="Arial"/>
          <w:noProof/>
          <w:sz w:val="22"/>
          <w:szCs w:val="22"/>
        </w:rPr>
        <w:t>(</w:t>
      </w:r>
      <w:r w:rsidR="00690F2B" w:rsidRPr="00B2745E">
        <w:rPr>
          <w:rFonts w:cs="Arial"/>
          <w:noProof/>
          <w:sz w:val="22"/>
          <w:szCs w:val="22"/>
        </w:rPr>
        <w:t xml:space="preserve">potrivit ultimelor </w:t>
      </w:r>
      <w:r w:rsidR="00567113" w:rsidRPr="00B2745E">
        <w:rPr>
          <w:rFonts w:cs="Arial"/>
          <w:noProof/>
          <w:sz w:val="22"/>
          <w:szCs w:val="22"/>
        </w:rPr>
        <w:t>știri</w:t>
      </w:r>
      <w:r w:rsidR="00690F2B" w:rsidRPr="00B2745E">
        <w:rPr>
          <w:rFonts w:cs="Arial"/>
          <w:noProof/>
          <w:sz w:val="22"/>
          <w:szCs w:val="22"/>
        </w:rPr>
        <w:t xml:space="preserve"> disponibile, se pare c</w:t>
      </w:r>
      <w:r w:rsidR="006475BA" w:rsidRPr="00B2745E">
        <w:rPr>
          <w:rFonts w:cs="Arial"/>
          <w:noProof/>
          <w:sz w:val="22"/>
          <w:szCs w:val="22"/>
        </w:rPr>
        <w:t>ă</w:t>
      </w:r>
      <w:r w:rsidR="00690F2B" w:rsidRPr="00B2745E">
        <w:rPr>
          <w:rFonts w:cs="Arial"/>
          <w:noProof/>
          <w:sz w:val="22"/>
          <w:szCs w:val="22"/>
        </w:rPr>
        <w:t xml:space="preserve"> acest termen va fi devansat </w:t>
      </w:r>
      <w:r w:rsidR="00B04FC6" w:rsidRPr="00B2745E">
        <w:rPr>
          <w:rFonts w:cs="Arial"/>
          <w:noProof/>
          <w:sz w:val="22"/>
          <w:szCs w:val="22"/>
        </w:rPr>
        <w:t xml:space="preserve">cu 4 luni, </w:t>
      </w:r>
      <w:r w:rsidR="00BF78D9" w:rsidRPr="00B2745E">
        <w:rPr>
          <w:rFonts w:cs="Arial"/>
          <w:noProof/>
          <w:sz w:val="22"/>
          <w:szCs w:val="22"/>
        </w:rPr>
        <w:t>noua dată de referin</w:t>
      </w:r>
      <w:r w:rsidR="00567113" w:rsidRPr="00B2745E">
        <w:rPr>
          <w:rFonts w:cs="Arial"/>
          <w:noProof/>
          <w:sz w:val="22"/>
          <w:szCs w:val="22"/>
        </w:rPr>
        <w:t xml:space="preserve">ță </w:t>
      </w:r>
      <w:r w:rsidR="00BF78D9" w:rsidRPr="00B2745E">
        <w:rPr>
          <w:rFonts w:cs="Arial"/>
          <w:noProof/>
          <w:sz w:val="22"/>
          <w:szCs w:val="22"/>
        </w:rPr>
        <w:t xml:space="preserve">urmând a fi </w:t>
      </w:r>
      <w:r w:rsidR="00567113" w:rsidRPr="00B2745E">
        <w:rPr>
          <w:rFonts w:cs="Arial"/>
          <w:noProof/>
          <w:sz w:val="22"/>
          <w:szCs w:val="22"/>
        </w:rPr>
        <w:t>1 septembrie 2022)</w:t>
      </w:r>
      <w:r w:rsidR="00180927" w:rsidRPr="00B2745E">
        <w:rPr>
          <w:rFonts w:cs="Arial"/>
          <w:noProof/>
          <w:sz w:val="22"/>
          <w:szCs w:val="22"/>
        </w:rPr>
        <w:t xml:space="preserve"> </w:t>
      </w:r>
      <w:r w:rsidRPr="00B2745E">
        <w:rPr>
          <w:rFonts w:cs="Arial"/>
          <w:noProof/>
          <w:sz w:val="22"/>
          <w:szCs w:val="22"/>
        </w:rPr>
        <w:t xml:space="preserve">va rămâne același (nu se va modifica sub nicio formă în favoarea sau în defavoarea titularilor de acorduri) pe întreaga durată de derulare a acordurilor petroliere. </w:t>
      </w:r>
      <w:r w:rsidR="004727BE" w:rsidRPr="00B2745E">
        <w:rPr>
          <w:rFonts w:cs="Arial"/>
          <w:noProof/>
          <w:sz w:val="22"/>
          <w:szCs w:val="22"/>
        </w:rPr>
        <w:t>În plu</w:t>
      </w:r>
      <w:r w:rsidR="0011258E" w:rsidRPr="00B2745E">
        <w:rPr>
          <w:rFonts w:cs="Arial"/>
          <w:noProof/>
          <w:sz w:val="22"/>
          <w:szCs w:val="22"/>
        </w:rPr>
        <w:t xml:space="preserve">s de certitudinea oferită prin lege </w:t>
      </w:r>
      <w:r w:rsidR="006269DA" w:rsidRPr="00B2745E">
        <w:rPr>
          <w:rFonts w:cs="Arial"/>
          <w:noProof/>
          <w:sz w:val="22"/>
          <w:szCs w:val="22"/>
        </w:rPr>
        <w:t xml:space="preserve">este recomandabil ca </w:t>
      </w:r>
      <w:r w:rsidR="001A164F" w:rsidRPr="00B2745E">
        <w:rPr>
          <w:rFonts w:cs="Arial"/>
          <w:noProof/>
          <w:sz w:val="22"/>
          <w:szCs w:val="22"/>
        </w:rPr>
        <w:t xml:space="preserve">titularii de acorduri petroliere </w:t>
      </w:r>
      <w:r w:rsidR="006269DA" w:rsidRPr="00B2745E">
        <w:rPr>
          <w:rFonts w:cs="Arial"/>
          <w:noProof/>
          <w:sz w:val="22"/>
          <w:szCs w:val="22"/>
        </w:rPr>
        <w:t xml:space="preserve">să prevadă </w:t>
      </w:r>
      <w:r w:rsidR="00E64B13" w:rsidRPr="00B2745E">
        <w:rPr>
          <w:rFonts w:cs="Arial"/>
          <w:noProof/>
          <w:sz w:val="22"/>
          <w:szCs w:val="22"/>
        </w:rPr>
        <w:t xml:space="preserve">la nivel contractual cu Agenția Națională </w:t>
      </w:r>
      <w:r w:rsidR="00955409" w:rsidRPr="00B2745E">
        <w:rPr>
          <w:rFonts w:cs="Arial"/>
          <w:noProof/>
          <w:sz w:val="22"/>
          <w:szCs w:val="22"/>
        </w:rPr>
        <w:t xml:space="preserve">a Resurselor Minerale </w:t>
      </w:r>
      <w:r w:rsidR="00E64B13" w:rsidRPr="00B2745E">
        <w:rPr>
          <w:rFonts w:cs="Arial"/>
          <w:noProof/>
          <w:sz w:val="22"/>
          <w:szCs w:val="22"/>
        </w:rPr>
        <w:t>în mod clar sistemul de impozitare aplicabil</w:t>
      </w:r>
      <w:r w:rsidR="00955409" w:rsidRPr="00B2745E">
        <w:rPr>
          <w:rFonts w:cs="Arial"/>
          <w:noProof/>
          <w:sz w:val="22"/>
          <w:szCs w:val="22"/>
        </w:rPr>
        <w:t xml:space="preserve">, așa cum este </w:t>
      </w:r>
      <w:r w:rsidR="00572E3E" w:rsidRPr="00B2745E">
        <w:rPr>
          <w:rFonts w:cs="Arial"/>
          <w:noProof/>
          <w:sz w:val="22"/>
          <w:szCs w:val="22"/>
        </w:rPr>
        <w:t xml:space="preserve">el specificat în Legea Offshore, </w:t>
      </w:r>
      <w:r w:rsidR="00986E43" w:rsidRPr="00B2745E">
        <w:rPr>
          <w:rFonts w:cs="Arial"/>
          <w:noProof/>
          <w:sz w:val="22"/>
          <w:szCs w:val="22"/>
        </w:rPr>
        <w:t xml:space="preserve">inclusiv pentru </w:t>
      </w:r>
      <w:r w:rsidR="00572E3E" w:rsidRPr="00B2745E">
        <w:rPr>
          <w:rFonts w:cs="Arial"/>
          <w:noProof/>
          <w:sz w:val="22"/>
          <w:szCs w:val="22"/>
        </w:rPr>
        <w:t>acordurile petroliere aflate în curs de executare</w:t>
      </w:r>
      <w:r w:rsidR="002A3331" w:rsidRPr="00B2745E">
        <w:rPr>
          <w:rFonts w:cs="Arial"/>
          <w:noProof/>
          <w:sz w:val="22"/>
          <w:szCs w:val="22"/>
        </w:rPr>
        <w:t xml:space="preserve"> (</w:t>
      </w:r>
      <w:r w:rsidR="0002551A" w:rsidRPr="00B2745E">
        <w:rPr>
          <w:rFonts w:cs="Arial"/>
          <w:noProof/>
          <w:sz w:val="22"/>
          <w:szCs w:val="22"/>
        </w:rPr>
        <w:t xml:space="preserve">opțiune prevăzută în mod expres în </w:t>
      </w:r>
      <w:r w:rsidR="002A3331" w:rsidRPr="00B2745E">
        <w:rPr>
          <w:rFonts w:cs="Arial"/>
          <w:noProof/>
          <w:sz w:val="22"/>
          <w:szCs w:val="22"/>
        </w:rPr>
        <w:t>Legea Offshore</w:t>
      </w:r>
      <w:r w:rsidR="0002551A" w:rsidRPr="00B2745E">
        <w:rPr>
          <w:rFonts w:cs="Arial"/>
          <w:noProof/>
          <w:sz w:val="22"/>
          <w:szCs w:val="22"/>
        </w:rPr>
        <w:t>)</w:t>
      </w:r>
      <w:r w:rsidR="0003704B" w:rsidRPr="00B2745E">
        <w:rPr>
          <w:rFonts w:cs="Arial"/>
          <w:noProof/>
          <w:sz w:val="22"/>
          <w:szCs w:val="22"/>
        </w:rPr>
        <w:t xml:space="preserve">.  </w:t>
      </w:r>
      <w:r w:rsidR="00572E3E" w:rsidRPr="00B2745E">
        <w:rPr>
          <w:rFonts w:cs="Arial"/>
          <w:noProof/>
          <w:sz w:val="22"/>
          <w:szCs w:val="22"/>
        </w:rPr>
        <w:t xml:space="preserve"> </w:t>
      </w:r>
    </w:p>
    <w:p w14:paraId="3151F628" w14:textId="77777777" w:rsidR="005914BD" w:rsidRPr="00B2745E" w:rsidRDefault="005914BD" w:rsidP="00F770A3">
      <w:pPr>
        <w:rPr>
          <w:rFonts w:cs="Arial"/>
          <w:noProof/>
          <w:sz w:val="22"/>
          <w:szCs w:val="22"/>
        </w:rPr>
      </w:pPr>
    </w:p>
    <w:p w14:paraId="7060DA3B" w14:textId="133D611C" w:rsidR="00F770A3" w:rsidRPr="00B2745E" w:rsidRDefault="00F770A3" w:rsidP="00F770A3">
      <w:pPr>
        <w:rPr>
          <w:rFonts w:cs="Arial"/>
          <w:noProof/>
          <w:sz w:val="22"/>
          <w:szCs w:val="22"/>
        </w:rPr>
      </w:pPr>
      <w:r w:rsidRPr="00B2745E">
        <w:rPr>
          <w:rFonts w:cs="Arial"/>
          <w:noProof/>
          <w:sz w:val="22"/>
          <w:szCs w:val="22"/>
        </w:rPr>
        <w:t xml:space="preserve">Fiind vorba de acorduri pe termen lung (15 – 25 de ani, chiar mai mult), cea mai mare temere a investitorilor în zăcăminte offshore a fost dintotdeauna lipsa </w:t>
      </w:r>
      <w:r w:rsidR="005914BD" w:rsidRPr="00B2745E">
        <w:rPr>
          <w:rFonts w:cs="Arial"/>
          <w:noProof/>
          <w:sz w:val="22"/>
          <w:szCs w:val="22"/>
        </w:rPr>
        <w:t xml:space="preserve">aceluiași </w:t>
      </w:r>
      <w:r w:rsidRPr="00B2745E">
        <w:rPr>
          <w:rFonts w:cs="Arial"/>
          <w:noProof/>
          <w:sz w:val="22"/>
          <w:szCs w:val="22"/>
        </w:rPr>
        <w:t>tratament din punct de vedere a</w:t>
      </w:r>
      <w:r w:rsidR="005914BD" w:rsidRPr="00B2745E">
        <w:rPr>
          <w:rFonts w:cs="Arial"/>
          <w:noProof/>
          <w:sz w:val="22"/>
          <w:szCs w:val="22"/>
        </w:rPr>
        <w:t>l</w:t>
      </w:r>
      <w:r w:rsidRPr="00B2745E">
        <w:rPr>
          <w:rFonts w:cs="Arial"/>
          <w:noProof/>
          <w:sz w:val="22"/>
          <w:szCs w:val="22"/>
        </w:rPr>
        <w:t xml:space="preserve"> taxelor </w:t>
      </w:r>
      <w:r w:rsidR="005914BD" w:rsidRPr="00B2745E">
        <w:rPr>
          <w:rFonts w:cs="Arial"/>
          <w:noProof/>
          <w:sz w:val="22"/>
          <w:szCs w:val="22"/>
        </w:rPr>
        <w:t xml:space="preserve">și redevențelor </w:t>
      </w:r>
      <w:r w:rsidRPr="00B2745E">
        <w:rPr>
          <w:rFonts w:cs="Arial"/>
          <w:noProof/>
          <w:sz w:val="22"/>
          <w:szCs w:val="22"/>
        </w:rPr>
        <w:t xml:space="preserve">datorate pe </w:t>
      </w:r>
      <w:r w:rsidR="005914BD" w:rsidRPr="00B2745E">
        <w:rPr>
          <w:rFonts w:cs="Arial"/>
          <w:noProof/>
          <w:sz w:val="22"/>
          <w:szCs w:val="22"/>
        </w:rPr>
        <w:t xml:space="preserve">întreaga durată </w:t>
      </w:r>
      <w:r w:rsidRPr="00B2745E">
        <w:rPr>
          <w:rFonts w:cs="Arial"/>
          <w:noProof/>
          <w:sz w:val="22"/>
          <w:szCs w:val="22"/>
        </w:rPr>
        <w:t>de derulare a acordului.</w:t>
      </w:r>
      <w:r w:rsidR="005914BD" w:rsidRPr="00B2745E">
        <w:rPr>
          <w:rFonts w:cs="Arial"/>
          <w:noProof/>
          <w:sz w:val="22"/>
          <w:szCs w:val="22"/>
        </w:rPr>
        <w:t xml:space="preserve"> </w:t>
      </w:r>
      <w:r w:rsidRPr="00B2745E">
        <w:rPr>
          <w:rFonts w:cs="Arial"/>
          <w:noProof/>
          <w:sz w:val="22"/>
          <w:szCs w:val="22"/>
        </w:rPr>
        <w:t xml:space="preserve">Trecerea unui </w:t>
      </w:r>
      <w:r w:rsidR="005914BD" w:rsidRPr="00B2745E">
        <w:rPr>
          <w:rFonts w:cs="Arial"/>
          <w:noProof/>
          <w:sz w:val="22"/>
          <w:szCs w:val="22"/>
        </w:rPr>
        <w:t xml:space="preserve">zăcământ </w:t>
      </w:r>
      <w:r w:rsidRPr="00B2745E">
        <w:rPr>
          <w:rFonts w:cs="Arial"/>
          <w:noProof/>
          <w:sz w:val="22"/>
          <w:szCs w:val="22"/>
        </w:rPr>
        <w:t xml:space="preserve">offshore din faza de explorare spre cea de exploatare </w:t>
      </w:r>
      <w:r w:rsidR="005914BD" w:rsidRPr="00B2745E">
        <w:rPr>
          <w:rFonts w:cs="Arial"/>
          <w:noProof/>
          <w:sz w:val="22"/>
          <w:szCs w:val="22"/>
        </w:rPr>
        <w:t xml:space="preserve">necesită </w:t>
      </w:r>
      <w:r w:rsidRPr="00B2745E">
        <w:rPr>
          <w:rFonts w:cs="Arial"/>
          <w:noProof/>
          <w:sz w:val="22"/>
          <w:szCs w:val="22"/>
        </w:rPr>
        <w:t xml:space="preserve">calcule complexe de profitabilitate, ponderate cu </w:t>
      </w:r>
      <w:r w:rsidR="005914BD" w:rsidRPr="00B2745E">
        <w:rPr>
          <w:rFonts w:cs="Arial"/>
          <w:noProof/>
          <w:sz w:val="22"/>
          <w:szCs w:val="22"/>
        </w:rPr>
        <w:t xml:space="preserve">coeficienți </w:t>
      </w:r>
      <w:r w:rsidRPr="00B2745E">
        <w:rPr>
          <w:rFonts w:cs="Arial"/>
          <w:noProof/>
          <w:sz w:val="22"/>
          <w:szCs w:val="22"/>
        </w:rPr>
        <w:t xml:space="preserve">de risc </w:t>
      </w:r>
      <w:r w:rsidR="005914BD" w:rsidRPr="00B2745E">
        <w:rPr>
          <w:rFonts w:cs="Arial"/>
          <w:noProof/>
          <w:sz w:val="22"/>
          <w:szCs w:val="22"/>
        </w:rPr>
        <w:t xml:space="preserve">în </w:t>
      </w:r>
      <w:r w:rsidRPr="00B2745E">
        <w:rPr>
          <w:rFonts w:cs="Arial"/>
          <w:noProof/>
          <w:sz w:val="22"/>
          <w:szCs w:val="22"/>
        </w:rPr>
        <w:t xml:space="preserve">caz de </w:t>
      </w:r>
      <w:r w:rsidR="005914BD" w:rsidRPr="00B2745E">
        <w:rPr>
          <w:rFonts w:cs="Arial"/>
          <w:noProof/>
          <w:sz w:val="22"/>
          <w:szCs w:val="22"/>
        </w:rPr>
        <w:t>eșec</w:t>
      </w:r>
      <w:r w:rsidRPr="00B2745E">
        <w:rPr>
          <w:rFonts w:cs="Arial"/>
          <w:noProof/>
          <w:sz w:val="22"/>
          <w:szCs w:val="22"/>
        </w:rPr>
        <w:t xml:space="preserve"> </w:t>
      </w:r>
      <w:r w:rsidR="005914BD" w:rsidRPr="00B2745E">
        <w:rPr>
          <w:rFonts w:cs="Arial"/>
          <w:noProof/>
          <w:sz w:val="22"/>
          <w:szCs w:val="22"/>
        </w:rPr>
        <w:t xml:space="preserve">ș.a.m.d., </w:t>
      </w:r>
      <w:r w:rsidRPr="00B2745E">
        <w:rPr>
          <w:rFonts w:cs="Arial"/>
          <w:noProof/>
          <w:sz w:val="22"/>
          <w:szCs w:val="22"/>
        </w:rPr>
        <w:t xml:space="preserve">iar schimbarea ipotezelor de taxare </w:t>
      </w:r>
      <w:r w:rsidR="005914BD" w:rsidRPr="00B2745E">
        <w:rPr>
          <w:rFonts w:cs="Arial"/>
          <w:noProof/>
          <w:sz w:val="22"/>
          <w:szCs w:val="22"/>
        </w:rPr>
        <w:t xml:space="preserve">inițiale, </w:t>
      </w:r>
      <w:r w:rsidRPr="00B2745E">
        <w:rPr>
          <w:rFonts w:cs="Arial"/>
          <w:noProof/>
          <w:sz w:val="22"/>
          <w:szCs w:val="22"/>
        </w:rPr>
        <w:t>peste 5</w:t>
      </w:r>
      <w:r w:rsidR="006475BA" w:rsidRPr="00B2745E">
        <w:rPr>
          <w:rFonts w:cs="Arial"/>
          <w:noProof/>
          <w:sz w:val="22"/>
          <w:szCs w:val="22"/>
        </w:rPr>
        <w:t xml:space="preserve"> </w:t>
      </w:r>
      <w:r w:rsidRPr="00B2745E">
        <w:rPr>
          <w:rFonts w:cs="Arial"/>
          <w:noProof/>
          <w:sz w:val="22"/>
          <w:szCs w:val="22"/>
        </w:rPr>
        <w:t>-10 ani de la semnare</w:t>
      </w:r>
      <w:r w:rsidR="005914BD" w:rsidRPr="00B2745E">
        <w:rPr>
          <w:rFonts w:cs="Arial"/>
          <w:noProof/>
          <w:sz w:val="22"/>
          <w:szCs w:val="22"/>
        </w:rPr>
        <w:t>,</w:t>
      </w:r>
      <w:r w:rsidRPr="00B2745E">
        <w:rPr>
          <w:rFonts w:cs="Arial"/>
          <w:noProof/>
          <w:sz w:val="22"/>
          <w:szCs w:val="22"/>
        </w:rPr>
        <w:t xml:space="preserve"> nu a fost </w:t>
      </w:r>
      <w:r w:rsidR="005914BD" w:rsidRPr="00B2745E">
        <w:rPr>
          <w:rFonts w:cs="Arial"/>
          <w:noProof/>
          <w:sz w:val="22"/>
          <w:szCs w:val="22"/>
        </w:rPr>
        <w:t xml:space="preserve">niciodată </w:t>
      </w:r>
      <w:r w:rsidRPr="00B2745E">
        <w:rPr>
          <w:rFonts w:cs="Arial"/>
          <w:noProof/>
          <w:sz w:val="22"/>
          <w:szCs w:val="22"/>
        </w:rPr>
        <w:t xml:space="preserve">de ajutor.  </w:t>
      </w:r>
    </w:p>
    <w:p w14:paraId="03768932" w14:textId="77777777" w:rsidR="005914BD" w:rsidRPr="00B2745E" w:rsidRDefault="005914BD" w:rsidP="00F770A3">
      <w:pPr>
        <w:rPr>
          <w:rFonts w:cs="Arial"/>
          <w:noProof/>
          <w:sz w:val="22"/>
          <w:szCs w:val="22"/>
        </w:rPr>
      </w:pPr>
    </w:p>
    <w:p w14:paraId="4EA0F987" w14:textId="1C26AB32" w:rsidR="00F770A3" w:rsidRPr="00B2745E" w:rsidRDefault="00F770A3" w:rsidP="00F770A3">
      <w:pPr>
        <w:rPr>
          <w:rFonts w:cs="Arial"/>
          <w:noProof/>
          <w:sz w:val="22"/>
          <w:szCs w:val="22"/>
        </w:rPr>
      </w:pPr>
      <w:r w:rsidRPr="00B2745E">
        <w:rPr>
          <w:rFonts w:cs="Arial"/>
          <w:noProof/>
          <w:sz w:val="22"/>
          <w:szCs w:val="22"/>
        </w:rPr>
        <w:t xml:space="preserve">Prin </w:t>
      </w:r>
      <w:r w:rsidR="005914BD" w:rsidRPr="00B2745E">
        <w:rPr>
          <w:rFonts w:cs="Arial"/>
          <w:noProof/>
          <w:sz w:val="22"/>
          <w:szCs w:val="22"/>
        </w:rPr>
        <w:t xml:space="preserve">această nouă </w:t>
      </w:r>
      <w:r w:rsidRPr="00B2745E">
        <w:rPr>
          <w:rFonts w:cs="Arial"/>
          <w:noProof/>
          <w:sz w:val="22"/>
          <w:szCs w:val="22"/>
        </w:rPr>
        <w:t>lege</w:t>
      </w:r>
      <w:r w:rsidR="005914BD" w:rsidRPr="00B2745E">
        <w:rPr>
          <w:rFonts w:cs="Arial"/>
          <w:noProof/>
          <w:sz w:val="22"/>
          <w:szCs w:val="22"/>
        </w:rPr>
        <w:t>,</w:t>
      </w:r>
      <w:r w:rsidRPr="00B2745E">
        <w:rPr>
          <w:rFonts w:cs="Arial"/>
          <w:noProof/>
          <w:sz w:val="22"/>
          <w:szCs w:val="22"/>
        </w:rPr>
        <w:t xml:space="preserve"> </w:t>
      </w:r>
      <w:r w:rsidR="005914BD" w:rsidRPr="00B2745E">
        <w:rPr>
          <w:rFonts w:cs="Arial"/>
          <w:noProof/>
          <w:sz w:val="22"/>
          <w:szCs w:val="22"/>
        </w:rPr>
        <w:t xml:space="preserve">România </w:t>
      </w:r>
      <w:r w:rsidRPr="00B2745E">
        <w:rPr>
          <w:rFonts w:cs="Arial"/>
          <w:noProof/>
          <w:sz w:val="22"/>
          <w:szCs w:val="22"/>
        </w:rPr>
        <w:t xml:space="preserve">transmite un mesaj de </w:t>
      </w:r>
      <w:r w:rsidR="005914BD" w:rsidRPr="00B2745E">
        <w:rPr>
          <w:rFonts w:cs="Arial"/>
          <w:noProof/>
          <w:sz w:val="22"/>
          <w:szCs w:val="22"/>
        </w:rPr>
        <w:t xml:space="preserve">încredere și </w:t>
      </w:r>
      <w:r w:rsidRPr="00B2745E">
        <w:rPr>
          <w:rFonts w:cs="Arial"/>
          <w:noProof/>
          <w:sz w:val="22"/>
          <w:szCs w:val="22"/>
        </w:rPr>
        <w:t xml:space="preserve">stabilitate investitorilor </w:t>
      </w:r>
      <w:r w:rsidR="005914BD" w:rsidRPr="00B2745E">
        <w:rPr>
          <w:rFonts w:cs="Arial"/>
          <w:noProof/>
          <w:sz w:val="22"/>
          <w:szCs w:val="22"/>
        </w:rPr>
        <w:t xml:space="preserve">și </w:t>
      </w:r>
      <w:r w:rsidRPr="00B2745E">
        <w:rPr>
          <w:rFonts w:cs="Arial"/>
          <w:noProof/>
          <w:sz w:val="22"/>
          <w:szCs w:val="22"/>
        </w:rPr>
        <w:t xml:space="preserve">titularilor de acorduri petroliere din Marea </w:t>
      </w:r>
      <w:r w:rsidR="005914BD" w:rsidRPr="00B2745E">
        <w:rPr>
          <w:rFonts w:cs="Arial"/>
          <w:noProof/>
          <w:sz w:val="22"/>
          <w:szCs w:val="22"/>
        </w:rPr>
        <w:t>Neagră</w:t>
      </w:r>
      <w:r w:rsidRPr="00B2745E">
        <w:rPr>
          <w:rFonts w:cs="Arial"/>
          <w:noProof/>
          <w:sz w:val="22"/>
          <w:szCs w:val="22"/>
        </w:rPr>
        <w:t xml:space="preserve">, fiind gata </w:t>
      </w:r>
      <w:r w:rsidR="005914BD" w:rsidRPr="00B2745E">
        <w:rPr>
          <w:rFonts w:cs="Arial"/>
          <w:noProof/>
          <w:sz w:val="22"/>
          <w:szCs w:val="22"/>
        </w:rPr>
        <w:t xml:space="preserve">să </w:t>
      </w:r>
      <w:r w:rsidRPr="00B2745E">
        <w:rPr>
          <w:rFonts w:cs="Arial"/>
          <w:noProof/>
          <w:sz w:val="22"/>
          <w:szCs w:val="22"/>
        </w:rPr>
        <w:t>le ofere acela</w:t>
      </w:r>
      <w:r w:rsidR="005914BD" w:rsidRPr="00B2745E">
        <w:rPr>
          <w:rFonts w:cs="Arial"/>
          <w:noProof/>
          <w:sz w:val="22"/>
          <w:szCs w:val="22"/>
        </w:rPr>
        <w:t>ș</w:t>
      </w:r>
      <w:r w:rsidRPr="00B2745E">
        <w:rPr>
          <w:rFonts w:cs="Arial"/>
          <w:noProof/>
          <w:sz w:val="22"/>
          <w:szCs w:val="22"/>
        </w:rPr>
        <w:t xml:space="preserve">i </w:t>
      </w:r>
      <w:r w:rsidR="005914BD" w:rsidRPr="00B2745E">
        <w:rPr>
          <w:rFonts w:cs="Arial"/>
          <w:noProof/>
          <w:sz w:val="22"/>
          <w:szCs w:val="22"/>
        </w:rPr>
        <w:t xml:space="preserve">condiții </w:t>
      </w:r>
      <w:r w:rsidRPr="00B2745E">
        <w:rPr>
          <w:rFonts w:cs="Arial"/>
          <w:noProof/>
          <w:sz w:val="22"/>
          <w:szCs w:val="22"/>
        </w:rPr>
        <w:t xml:space="preserve">pe termen lung </w:t>
      </w:r>
      <w:r w:rsidR="005914BD" w:rsidRPr="00B2745E">
        <w:rPr>
          <w:rFonts w:cs="Arial"/>
          <w:noProof/>
          <w:sz w:val="22"/>
          <w:szCs w:val="22"/>
        </w:rPr>
        <w:t xml:space="preserve">și </w:t>
      </w:r>
      <w:r w:rsidRPr="00B2745E">
        <w:rPr>
          <w:rFonts w:cs="Arial"/>
          <w:noProof/>
          <w:sz w:val="22"/>
          <w:szCs w:val="22"/>
        </w:rPr>
        <w:t xml:space="preserve">foarte lung.  </w:t>
      </w:r>
    </w:p>
    <w:p w14:paraId="65911873" w14:textId="77777777" w:rsidR="005914BD" w:rsidRPr="00B2745E" w:rsidRDefault="005914BD" w:rsidP="00F770A3">
      <w:pPr>
        <w:rPr>
          <w:rFonts w:cs="Arial"/>
          <w:noProof/>
          <w:sz w:val="22"/>
          <w:szCs w:val="22"/>
        </w:rPr>
      </w:pPr>
    </w:p>
    <w:p w14:paraId="10917FB2" w14:textId="5E6DA0D3" w:rsidR="00F770A3" w:rsidRPr="00B2745E" w:rsidRDefault="005914BD" w:rsidP="00F770A3">
      <w:pPr>
        <w:rPr>
          <w:rFonts w:cs="Arial"/>
          <w:noProof/>
          <w:sz w:val="22"/>
          <w:szCs w:val="22"/>
        </w:rPr>
      </w:pPr>
      <w:r w:rsidRPr="00B2745E">
        <w:rPr>
          <w:rFonts w:cs="Arial"/>
          <w:noProof/>
          <w:sz w:val="22"/>
          <w:szCs w:val="22"/>
        </w:rPr>
        <w:t xml:space="preserve">În </w:t>
      </w:r>
      <w:r w:rsidR="00F770A3" w:rsidRPr="00B2745E">
        <w:rPr>
          <w:rFonts w:cs="Arial"/>
          <w:noProof/>
          <w:sz w:val="22"/>
          <w:szCs w:val="22"/>
        </w:rPr>
        <w:t xml:space="preserve">al doilea </w:t>
      </w:r>
      <w:r w:rsidRPr="00B2745E">
        <w:rPr>
          <w:rFonts w:cs="Arial"/>
          <w:noProof/>
          <w:sz w:val="22"/>
          <w:szCs w:val="22"/>
        </w:rPr>
        <w:t>rând</w:t>
      </w:r>
      <w:r w:rsidR="00F770A3" w:rsidRPr="00B2745E">
        <w:rPr>
          <w:rFonts w:cs="Arial"/>
          <w:noProof/>
          <w:sz w:val="22"/>
          <w:szCs w:val="22"/>
        </w:rPr>
        <w:t xml:space="preserve">, modificările aduse Legii Offshore au îmbunătățit semnificativ metodologia de calcul a impozitului asupra veniturilor suplimentare din </w:t>
      </w:r>
      <w:r w:rsidRPr="00B2745E">
        <w:rPr>
          <w:rFonts w:cs="Arial"/>
          <w:noProof/>
          <w:sz w:val="22"/>
          <w:szCs w:val="22"/>
        </w:rPr>
        <w:t xml:space="preserve">vânzarea </w:t>
      </w:r>
      <w:r w:rsidR="00F770A3" w:rsidRPr="00B2745E">
        <w:rPr>
          <w:rFonts w:cs="Arial"/>
          <w:noProof/>
          <w:sz w:val="22"/>
          <w:szCs w:val="22"/>
        </w:rPr>
        <w:t xml:space="preserve">de gaze, </w:t>
      </w:r>
      <w:r w:rsidRPr="00B2745E">
        <w:rPr>
          <w:rFonts w:cs="Arial"/>
          <w:noProof/>
          <w:sz w:val="22"/>
          <w:szCs w:val="22"/>
        </w:rPr>
        <w:t xml:space="preserve">în </w:t>
      </w:r>
      <w:r w:rsidR="00F770A3" w:rsidRPr="00B2745E">
        <w:rPr>
          <w:rFonts w:cs="Arial"/>
          <w:noProof/>
          <w:sz w:val="22"/>
          <w:szCs w:val="22"/>
        </w:rPr>
        <w:t xml:space="preserve">sensul unei </w:t>
      </w:r>
      <w:r w:rsidRPr="00B2745E">
        <w:rPr>
          <w:rFonts w:cs="Arial"/>
          <w:noProof/>
          <w:sz w:val="22"/>
          <w:szCs w:val="22"/>
        </w:rPr>
        <w:t xml:space="preserve">împărțiri cât </w:t>
      </w:r>
      <w:r w:rsidR="00F770A3" w:rsidRPr="00B2745E">
        <w:rPr>
          <w:rFonts w:cs="Arial"/>
          <w:noProof/>
          <w:sz w:val="22"/>
          <w:szCs w:val="22"/>
        </w:rPr>
        <w:t xml:space="preserve">mai echitabile a unor </w:t>
      </w:r>
      <w:r w:rsidR="008B1F2C" w:rsidRPr="00B2745E">
        <w:rPr>
          <w:rFonts w:cs="Arial"/>
          <w:noProof/>
          <w:sz w:val="22"/>
          <w:szCs w:val="22"/>
        </w:rPr>
        <w:t xml:space="preserve">potențiale </w:t>
      </w:r>
      <w:r w:rsidR="00F770A3" w:rsidRPr="00B2745E">
        <w:rPr>
          <w:rFonts w:cs="Arial"/>
          <w:noProof/>
          <w:sz w:val="22"/>
          <w:szCs w:val="22"/>
        </w:rPr>
        <w:t xml:space="preserve">venituri extraordinare (datorate unor </w:t>
      </w:r>
      <w:r w:rsidR="008B1F2C" w:rsidRPr="00B2745E">
        <w:rPr>
          <w:rFonts w:cs="Arial"/>
          <w:noProof/>
          <w:sz w:val="22"/>
          <w:szCs w:val="22"/>
        </w:rPr>
        <w:t xml:space="preserve">creșteri </w:t>
      </w:r>
      <w:r w:rsidR="00F770A3" w:rsidRPr="00B2745E">
        <w:rPr>
          <w:rFonts w:cs="Arial"/>
          <w:noProof/>
          <w:sz w:val="22"/>
          <w:szCs w:val="22"/>
        </w:rPr>
        <w:t xml:space="preserve">semnificative de </w:t>
      </w:r>
      <w:r w:rsidR="008B1F2C" w:rsidRPr="00B2745E">
        <w:rPr>
          <w:rFonts w:cs="Arial"/>
          <w:noProof/>
          <w:sz w:val="22"/>
          <w:szCs w:val="22"/>
        </w:rPr>
        <w:t>preț</w:t>
      </w:r>
      <w:r w:rsidR="00F770A3" w:rsidRPr="00B2745E">
        <w:rPr>
          <w:rFonts w:cs="Arial"/>
          <w:noProof/>
          <w:sz w:val="22"/>
          <w:szCs w:val="22"/>
        </w:rPr>
        <w:t xml:space="preserve">, cum se poate vedea </w:t>
      </w:r>
      <w:r w:rsidR="008B1F2C" w:rsidRPr="00B2745E">
        <w:rPr>
          <w:rFonts w:cs="Arial"/>
          <w:noProof/>
          <w:sz w:val="22"/>
          <w:szCs w:val="22"/>
        </w:rPr>
        <w:t xml:space="preserve">în </w:t>
      </w:r>
      <w:r w:rsidR="00F770A3" w:rsidRPr="00B2745E">
        <w:rPr>
          <w:rFonts w:cs="Arial"/>
          <w:noProof/>
          <w:sz w:val="22"/>
          <w:szCs w:val="22"/>
        </w:rPr>
        <w:t xml:space="preserve">prezent) </w:t>
      </w:r>
      <w:r w:rsidR="008B1F2C" w:rsidRPr="00B2745E">
        <w:rPr>
          <w:rFonts w:cs="Arial"/>
          <w:noProof/>
          <w:sz w:val="22"/>
          <w:szCs w:val="22"/>
        </w:rPr>
        <w:t xml:space="preserve">între </w:t>
      </w:r>
      <w:r w:rsidR="00F770A3" w:rsidRPr="00B2745E">
        <w:rPr>
          <w:rFonts w:cs="Arial"/>
          <w:noProof/>
          <w:sz w:val="22"/>
          <w:szCs w:val="22"/>
        </w:rPr>
        <w:t xml:space="preserve">titularul acordului </w:t>
      </w:r>
      <w:r w:rsidR="008B1F2C" w:rsidRPr="00B2745E">
        <w:rPr>
          <w:rFonts w:cs="Arial"/>
          <w:noProof/>
          <w:sz w:val="22"/>
          <w:szCs w:val="22"/>
        </w:rPr>
        <w:t>și România</w:t>
      </w:r>
      <w:r w:rsidR="00F770A3" w:rsidRPr="00B2745E">
        <w:rPr>
          <w:rFonts w:cs="Arial"/>
          <w:noProof/>
          <w:sz w:val="22"/>
          <w:szCs w:val="22"/>
        </w:rPr>
        <w:t xml:space="preserve">.  </w:t>
      </w:r>
    </w:p>
    <w:p w14:paraId="1C1CBEE9" w14:textId="77777777" w:rsidR="008B1F2C" w:rsidRPr="00B2745E" w:rsidRDefault="008B1F2C" w:rsidP="00F770A3">
      <w:pPr>
        <w:rPr>
          <w:rFonts w:cs="Arial"/>
          <w:noProof/>
          <w:sz w:val="22"/>
          <w:szCs w:val="22"/>
        </w:rPr>
      </w:pPr>
    </w:p>
    <w:p w14:paraId="38DC865D" w14:textId="7392C416" w:rsidR="00F770A3" w:rsidRPr="00B2745E" w:rsidRDefault="00F770A3" w:rsidP="00F770A3">
      <w:pPr>
        <w:rPr>
          <w:rFonts w:cs="Arial"/>
          <w:noProof/>
          <w:sz w:val="22"/>
          <w:szCs w:val="22"/>
        </w:rPr>
      </w:pPr>
      <w:r w:rsidRPr="00B2745E">
        <w:rPr>
          <w:rFonts w:cs="Arial"/>
          <w:noProof/>
          <w:sz w:val="22"/>
          <w:szCs w:val="22"/>
        </w:rPr>
        <w:t xml:space="preserve">Pe scurt, impozitul pe venituri suplimentare din </w:t>
      </w:r>
      <w:r w:rsidR="008B1F2C" w:rsidRPr="00B2745E">
        <w:rPr>
          <w:rFonts w:cs="Arial"/>
          <w:noProof/>
          <w:sz w:val="22"/>
          <w:szCs w:val="22"/>
        </w:rPr>
        <w:t xml:space="preserve">vânzarea </w:t>
      </w:r>
      <w:r w:rsidRPr="00B2745E">
        <w:rPr>
          <w:rFonts w:cs="Arial"/>
          <w:noProof/>
          <w:sz w:val="22"/>
          <w:szCs w:val="22"/>
        </w:rPr>
        <w:t xml:space="preserve">de gaze naturale extrase din perimetre offshore/onshore de mare </w:t>
      </w:r>
      <w:r w:rsidR="008B1F2C" w:rsidRPr="00B2745E">
        <w:rPr>
          <w:rFonts w:cs="Arial"/>
          <w:noProof/>
          <w:sz w:val="22"/>
          <w:szCs w:val="22"/>
        </w:rPr>
        <w:t xml:space="preserve">adâncime </w:t>
      </w:r>
      <w:r w:rsidRPr="00B2745E">
        <w:rPr>
          <w:rFonts w:cs="Arial"/>
          <w:noProof/>
          <w:sz w:val="22"/>
          <w:szCs w:val="22"/>
        </w:rPr>
        <w:t xml:space="preserve">are </w:t>
      </w:r>
      <w:r w:rsidR="008B1F2C" w:rsidRPr="00B2745E">
        <w:rPr>
          <w:rFonts w:cs="Arial"/>
          <w:noProof/>
          <w:sz w:val="22"/>
          <w:szCs w:val="22"/>
        </w:rPr>
        <w:t>următoarele particularități</w:t>
      </w:r>
      <w:r w:rsidRPr="00B2745E">
        <w:rPr>
          <w:rFonts w:cs="Arial"/>
          <w:noProof/>
          <w:sz w:val="22"/>
          <w:szCs w:val="22"/>
        </w:rPr>
        <w:t xml:space="preserve">: </w:t>
      </w:r>
    </w:p>
    <w:p w14:paraId="1A753128" w14:textId="77777777" w:rsidR="008B1F2C" w:rsidRPr="00B2745E" w:rsidRDefault="008B1F2C" w:rsidP="00F770A3">
      <w:pPr>
        <w:rPr>
          <w:rFonts w:cs="Arial"/>
          <w:noProof/>
          <w:sz w:val="22"/>
          <w:szCs w:val="22"/>
        </w:rPr>
      </w:pPr>
    </w:p>
    <w:p w14:paraId="7F1B682F" w14:textId="2B6358D8" w:rsidR="00F770A3" w:rsidRPr="00B2745E" w:rsidRDefault="00F770A3" w:rsidP="00F770A3">
      <w:pPr>
        <w:pStyle w:val="ListParagraph"/>
        <w:numPr>
          <w:ilvl w:val="0"/>
          <w:numId w:val="10"/>
        </w:numPr>
        <w:rPr>
          <w:rFonts w:ascii="Arial" w:hAnsi="Arial" w:cs="Arial"/>
          <w:noProof/>
          <w:lang w:val="ro-RO"/>
        </w:rPr>
      </w:pPr>
      <w:r w:rsidRPr="00B2745E">
        <w:rPr>
          <w:rFonts w:ascii="Arial" w:hAnsi="Arial" w:cs="Arial"/>
          <w:noProof/>
          <w:lang w:val="ro-RO"/>
        </w:rPr>
        <w:t>Impozitul pe venituri suplimentare este un impozit progresiv</w:t>
      </w:r>
      <w:r w:rsidR="008B1F2C" w:rsidRPr="00B2745E">
        <w:rPr>
          <w:rFonts w:ascii="Arial" w:hAnsi="Arial" w:cs="Arial"/>
          <w:noProof/>
          <w:lang w:val="ro-RO"/>
        </w:rPr>
        <w:t>,</w:t>
      </w:r>
      <w:r w:rsidRPr="00B2745E">
        <w:rPr>
          <w:rFonts w:ascii="Arial" w:hAnsi="Arial" w:cs="Arial"/>
          <w:noProof/>
          <w:lang w:val="ro-RO"/>
        </w:rPr>
        <w:t xml:space="preserve"> cu cote de taxare </w:t>
      </w:r>
      <w:r w:rsidR="008B1F2C" w:rsidRPr="00B2745E">
        <w:rPr>
          <w:rFonts w:ascii="Arial" w:hAnsi="Arial" w:cs="Arial"/>
          <w:noProof/>
          <w:lang w:val="ro-RO"/>
        </w:rPr>
        <w:t xml:space="preserve">între </w:t>
      </w:r>
      <w:r w:rsidRPr="00B2745E">
        <w:rPr>
          <w:rFonts w:ascii="Arial" w:hAnsi="Arial" w:cs="Arial"/>
          <w:noProof/>
          <w:lang w:val="ro-RO"/>
        </w:rPr>
        <w:t xml:space="preserve">15% </w:t>
      </w:r>
      <w:r w:rsidR="008B1F2C" w:rsidRPr="00B2745E">
        <w:rPr>
          <w:rFonts w:ascii="Arial" w:hAnsi="Arial" w:cs="Arial"/>
          <w:noProof/>
          <w:lang w:val="ro-RO"/>
        </w:rPr>
        <w:t xml:space="preserve">și </w:t>
      </w:r>
      <w:r w:rsidRPr="00B2745E">
        <w:rPr>
          <w:rFonts w:ascii="Arial" w:hAnsi="Arial" w:cs="Arial"/>
          <w:noProof/>
          <w:lang w:val="ro-RO"/>
        </w:rPr>
        <w:t>70%</w:t>
      </w:r>
      <w:r w:rsidR="008B1F2C" w:rsidRPr="00B2745E">
        <w:rPr>
          <w:rFonts w:ascii="Arial" w:hAnsi="Arial" w:cs="Arial"/>
          <w:noProof/>
          <w:lang w:val="ro-RO"/>
        </w:rPr>
        <w:t>,</w:t>
      </w:r>
      <w:r w:rsidRPr="00B2745E">
        <w:rPr>
          <w:rFonts w:ascii="Arial" w:hAnsi="Arial" w:cs="Arial"/>
          <w:noProof/>
          <w:lang w:val="ro-RO"/>
        </w:rPr>
        <w:t xml:space="preserve"> aplicate gradual, </w:t>
      </w:r>
      <w:r w:rsidR="008B1F2C" w:rsidRPr="00B2745E">
        <w:rPr>
          <w:rFonts w:ascii="Arial" w:hAnsi="Arial" w:cs="Arial"/>
          <w:noProof/>
          <w:lang w:val="ro-RO"/>
        </w:rPr>
        <w:t xml:space="preserve">în </w:t>
      </w:r>
      <w:r w:rsidRPr="00B2745E">
        <w:rPr>
          <w:rFonts w:ascii="Arial" w:hAnsi="Arial" w:cs="Arial"/>
          <w:noProof/>
          <w:lang w:val="ro-RO"/>
        </w:rPr>
        <w:t>func</w:t>
      </w:r>
      <w:r w:rsidR="00ED6C1C" w:rsidRPr="00B2745E">
        <w:rPr>
          <w:rFonts w:ascii="Arial" w:hAnsi="Arial" w:cs="Arial"/>
          <w:noProof/>
          <w:lang w:val="ro-RO"/>
        </w:rPr>
        <w:t>ţ</w:t>
      </w:r>
      <w:r w:rsidRPr="00B2745E">
        <w:rPr>
          <w:rFonts w:ascii="Arial" w:hAnsi="Arial" w:cs="Arial"/>
          <w:noProof/>
          <w:lang w:val="ro-RO"/>
        </w:rPr>
        <w:t xml:space="preserve">ie de intervalul de </w:t>
      </w:r>
      <w:r w:rsidR="008B1F2C" w:rsidRPr="00B2745E">
        <w:rPr>
          <w:rFonts w:ascii="Arial" w:hAnsi="Arial" w:cs="Arial"/>
          <w:noProof/>
          <w:lang w:val="ro-RO"/>
        </w:rPr>
        <w:t xml:space="preserve">preț </w:t>
      </w:r>
      <w:r w:rsidRPr="00B2745E">
        <w:rPr>
          <w:rFonts w:ascii="Arial" w:hAnsi="Arial" w:cs="Arial"/>
          <w:noProof/>
          <w:lang w:val="ro-RO"/>
        </w:rPr>
        <w:t xml:space="preserve">(a se vedea </w:t>
      </w:r>
      <w:r w:rsidR="00327D59" w:rsidRPr="00B2745E">
        <w:rPr>
          <w:rFonts w:ascii="Arial" w:hAnsi="Arial" w:cs="Arial"/>
          <w:noProof/>
          <w:lang w:val="ro-RO"/>
        </w:rPr>
        <w:t>T</w:t>
      </w:r>
      <w:r w:rsidRPr="00B2745E">
        <w:rPr>
          <w:rFonts w:ascii="Arial" w:hAnsi="Arial" w:cs="Arial"/>
          <w:noProof/>
          <w:lang w:val="ro-RO"/>
        </w:rPr>
        <w:t xml:space="preserve">abelul 1 </w:t>
      </w:r>
      <w:r w:rsidR="004E5DFF" w:rsidRPr="00B2745E">
        <w:rPr>
          <w:rFonts w:ascii="Arial" w:hAnsi="Arial" w:cs="Arial"/>
          <w:noProof/>
          <w:lang w:val="ro-RO"/>
        </w:rPr>
        <w:t>p</w:t>
      </w:r>
      <w:r w:rsidRPr="00B2745E">
        <w:rPr>
          <w:rFonts w:ascii="Arial" w:hAnsi="Arial" w:cs="Arial"/>
          <w:noProof/>
          <w:lang w:val="ro-RO"/>
        </w:rPr>
        <w:t>entru detalii).</w:t>
      </w:r>
      <w:r w:rsidR="008B1F2C" w:rsidRPr="00B2745E">
        <w:rPr>
          <w:rFonts w:ascii="Arial" w:hAnsi="Arial" w:cs="Arial"/>
          <w:noProof/>
          <w:lang w:val="ro-RO"/>
        </w:rPr>
        <w:t xml:space="preserve"> </w:t>
      </w:r>
      <w:r w:rsidR="004E5DFF" w:rsidRPr="00B2745E">
        <w:rPr>
          <w:rFonts w:ascii="Arial" w:hAnsi="Arial" w:cs="Arial"/>
          <w:noProof/>
          <w:lang w:val="ro-RO"/>
        </w:rPr>
        <w:t xml:space="preserve"> </w:t>
      </w:r>
      <w:r w:rsidRPr="00B2745E">
        <w:rPr>
          <w:rFonts w:ascii="Arial" w:hAnsi="Arial" w:cs="Arial"/>
          <w:noProof/>
          <w:lang w:val="ro-RO"/>
        </w:rPr>
        <w:t>Merit</w:t>
      </w:r>
      <w:r w:rsidR="008B1F2C" w:rsidRPr="00B2745E">
        <w:rPr>
          <w:rFonts w:ascii="Arial" w:hAnsi="Arial" w:cs="Arial"/>
          <w:noProof/>
          <w:lang w:val="ro-RO"/>
        </w:rPr>
        <w:t>ă</w:t>
      </w:r>
      <w:r w:rsidRPr="00B2745E">
        <w:rPr>
          <w:rFonts w:ascii="Arial" w:hAnsi="Arial" w:cs="Arial"/>
          <w:noProof/>
          <w:lang w:val="ro-RO"/>
        </w:rPr>
        <w:t xml:space="preserve"> </w:t>
      </w:r>
      <w:r w:rsidR="008B1F2C" w:rsidRPr="00B2745E">
        <w:rPr>
          <w:rFonts w:ascii="Arial" w:hAnsi="Arial" w:cs="Arial"/>
          <w:noProof/>
          <w:lang w:val="ro-RO"/>
        </w:rPr>
        <w:t xml:space="preserve">reținut </w:t>
      </w:r>
      <w:r w:rsidRPr="00B2745E">
        <w:rPr>
          <w:rFonts w:ascii="Arial" w:hAnsi="Arial" w:cs="Arial"/>
          <w:noProof/>
          <w:lang w:val="ro-RO"/>
        </w:rPr>
        <w:t xml:space="preserve">faptul </w:t>
      </w:r>
      <w:r w:rsidR="008B1F2C" w:rsidRPr="00B2745E">
        <w:rPr>
          <w:rFonts w:ascii="Arial" w:hAnsi="Arial" w:cs="Arial"/>
          <w:noProof/>
          <w:lang w:val="ro-RO"/>
        </w:rPr>
        <w:t xml:space="preserve">că </w:t>
      </w:r>
      <w:r w:rsidRPr="00B2745E">
        <w:rPr>
          <w:rFonts w:ascii="Arial" w:hAnsi="Arial" w:cs="Arial"/>
          <w:noProof/>
          <w:lang w:val="ro-RO"/>
        </w:rPr>
        <w:t xml:space="preserve">intervalurile de </w:t>
      </w:r>
      <w:r w:rsidR="008B1F2C" w:rsidRPr="00B2745E">
        <w:rPr>
          <w:rFonts w:ascii="Arial" w:hAnsi="Arial" w:cs="Arial"/>
          <w:noProof/>
          <w:lang w:val="ro-RO"/>
        </w:rPr>
        <w:t xml:space="preserve">preț </w:t>
      </w:r>
      <w:r w:rsidRPr="00B2745E">
        <w:rPr>
          <w:rFonts w:ascii="Arial" w:hAnsi="Arial" w:cs="Arial"/>
          <w:noProof/>
          <w:lang w:val="ro-RO"/>
        </w:rPr>
        <w:t xml:space="preserve">(date </w:t>
      </w:r>
      <w:r w:rsidR="008B1F2C" w:rsidRPr="00B2745E">
        <w:rPr>
          <w:rFonts w:ascii="Arial" w:hAnsi="Arial" w:cs="Arial"/>
          <w:noProof/>
          <w:lang w:val="ro-RO"/>
        </w:rPr>
        <w:t xml:space="preserve">în </w:t>
      </w:r>
      <w:r w:rsidRPr="00B2745E">
        <w:rPr>
          <w:rFonts w:ascii="Arial" w:hAnsi="Arial" w:cs="Arial"/>
          <w:noProof/>
          <w:lang w:val="ro-RO"/>
        </w:rPr>
        <w:t>valori nominale</w:t>
      </w:r>
      <w:r w:rsidR="008B1F2C" w:rsidRPr="00B2745E">
        <w:rPr>
          <w:rFonts w:ascii="Arial" w:hAnsi="Arial" w:cs="Arial"/>
          <w:noProof/>
          <w:lang w:val="ro-RO"/>
        </w:rPr>
        <w:t>,</w:t>
      </w:r>
      <w:r w:rsidRPr="00B2745E">
        <w:rPr>
          <w:rFonts w:ascii="Arial" w:hAnsi="Arial" w:cs="Arial"/>
          <w:noProof/>
          <w:lang w:val="ro-RO"/>
        </w:rPr>
        <w:t xml:space="preserve"> la 1 ianuarie 2019) se </w:t>
      </w:r>
      <w:r w:rsidR="008B1F2C" w:rsidRPr="00B2745E">
        <w:rPr>
          <w:rFonts w:ascii="Arial" w:hAnsi="Arial" w:cs="Arial"/>
          <w:noProof/>
          <w:lang w:val="ro-RO"/>
        </w:rPr>
        <w:t xml:space="preserve">actualizează </w:t>
      </w:r>
      <w:r w:rsidRPr="00B2745E">
        <w:rPr>
          <w:rFonts w:ascii="Arial" w:hAnsi="Arial" w:cs="Arial"/>
          <w:noProof/>
          <w:lang w:val="ro-RO"/>
        </w:rPr>
        <w:t xml:space="preserve">cu indicele </w:t>
      </w:r>
      <w:r w:rsidR="008B1F2C" w:rsidRPr="00B2745E">
        <w:rPr>
          <w:rFonts w:ascii="Arial" w:hAnsi="Arial" w:cs="Arial"/>
          <w:noProof/>
          <w:lang w:val="ro-RO"/>
        </w:rPr>
        <w:t xml:space="preserve">prețurilor </w:t>
      </w:r>
      <w:r w:rsidRPr="00B2745E">
        <w:rPr>
          <w:rFonts w:ascii="Arial" w:hAnsi="Arial" w:cs="Arial"/>
          <w:noProof/>
          <w:lang w:val="ro-RO"/>
        </w:rPr>
        <w:t>de consum (</w:t>
      </w:r>
      <w:r w:rsidR="00BD2DA5" w:rsidRPr="00B2745E">
        <w:rPr>
          <w:rFonts w:ascii="Arial" w:hAnsi="Arial" w:cs="Arial"/>
          <w:noProof/>
          <w:lang w:val="ro-RO"/>
        </w:rPr>
        <w:t xml:space="preserve">de exemplu, </w:t>
      </w:r>
      <w:r w:rsidR="008B1F2C" w:rsidRPr="00B2745E">
        <w:rPr>
          <w:rFonts w:ascii="Arial" w:hAnsi="Arial" w:cs="Arial"/>
          <w:noProof/>
          <w:lang w:val="ro-RO"/>
        </w:rPr>
        <w:t xml:space="preserve">în </w:t>
      </w:r>
      <w:r w:rsidRPr="00B2745E">
        <w:rPr>
          <w:rFonts w:ascii="Arial" w:hAnsi="Arial" w:cs="Arial"/>
          <w:noProof/>
          <w:lang w:val="ro-RO"/>
        </w:rPr>
        <w:t>perioada 1 ianuarie 2019 – 31 mai 2022</w:t>
      </w:r>
      <w:r w:rsidR="008B1F2C" w:rsidRPr="00B2745E">
        <w:rPr>
          <w:rFonts w:ascii="Arial" w:hAnsi="Arial" w:cs="Arial"/>
          <w:noProof/>
          <w:lang w:val="ro-RO"/>
        </w:rPr>
        <w:t>,</w:t>
      </w:r>
      <w:r w:rsidRPr="00B2745E">
        <w:rPr>
          <w:rFonts w:ascii="Arial" w:hAnsi="Arial" w:cs="Arial"/>
          <w:noProof/>
          <w:lang w:val="ro-RO"/>
        </w:rPr>
        <w:t xml:space="preserve"> </w:t>
      </w:r>
      <w:r w:rsidR="00BD2DA5" w:rsidRPr="00B2745E">
        <w:rPr>
          <w:rFonts w:ascii="Arial" w:hAnsi="Arial" w:cs="Arial"/>
          <w:noProof/>
          <w:lang w:val="ro-RO"/>
        </w:rPr>
        <w:t xml:space="preserve">acesta </w:t>
      </w:r>
      <w:r w:rsidRPr="00B2745E">
        <w:rPr>
          <w:rFonts w:ascii="Arial" w:hAnsi="Arial" w:cs="Arial"/>
          <w:noProof/>
          <w:lang w:val="ro-RO"/>
        </w:rPr>
        <w:t>a fost de 124</w:t>
      </w:r>
      <w:r w:rsidR="006475BA" w:rsidRPr="00B2745E">
        <w:rPr>
          <w:rFonts w:ascii="Arial" w:hAnsi="Arial" w:cs="Arial"/>
          <w:noProof/>
          <w:lang w:val="ro-RO"/>
        </w:rPr>
        <w:t>,</w:t>
      </w:r>
      <w:r w:rsidR="00327D59" w:rsidRPr="00B2745E">
        <w:rPr>
          <w:rFonts w:ascii="Arial" w:hAnsi="Arial" w:cs="Arial"/>
          <w:noProof/>
          <w:lang w:val="ro-RO"/>
        </w:rPr>
        <w:t>35</w:t>
      </w:r>
      <w:r w:rsidRPr="00B2745E">
        <w:rPr>
          <w:rFonts w:ascii="Arial" w:hAnsi="Arial" w:cs="Arial"/>
          <w:noProof/>
          <w:lang w:val="ro-RO"/>
        </w:rPr>
        <w:t>%</w:t>
      </w:r>
      <w:r w:rsidR="00BD2DA5" w:rsidRPr="00B2745E">
        <w:rPr>
          <w:rFonts w:ascii="Arial" w:hAnsi="Arial" w:cs="Arial"/>
          <w:noProof/>
          <w:lang w:val="ro-RO"/>
        </w:rPr>
        <w:t>)</w:t>
      </w:r>
      <w:r w:rsidRPr="00B2745E">
        <w:rPr>
          <w:rFonts w:ascii="Arial" w:hAnsi="Arial" w:cs="Arial"/>
          <w:noProof/>
          <w:lang w:val="ro-RO"/>
        </w:rPr>
        <w:t xml:space="preserve">  </w:t>
      </w:r>
    </w:p>
    <w:p w14:paraId="5978E170" w14:textId="44C133F1" w:rsidR="00F770A3" w:rsidRPr="00B2745E" w:rsidRDefault="00F770A3" w:rsidP="00F770A3">
      <w:pPr>
        <w:pStyle w:val="ListParagraph"/>
        <w:numPr>
          <w:ilvl w:val="0"/>
          <w:numId w:val="10"/>
        </w:numPr>
        <w:rPr>
          <w:rFonts w:ascii="Arial" w:hAnsi="Arial" w:cs="Arial"/>
          <w:noProof/>
          <w:lang w:val="ro-RO"/>
        </w:rPr>
      </w:pPr>
      <w:r w:rsidRPr="00B2745E">
        <w:rPr>
          <w:rFonts w:ascii="Arial" w:hAnsi="Arial" w:cs="Arial"/>
          <w:noProof/>
          <w:lang w:val="ro-RO"/>
        </w:rPr>
        <w:t xml:space="preserve">Venitul suplimentar este calculat </w:t>
      </w:r>
      <w:r w:rsidR="008B1F2C" w:rsidRPr="00B2745E">
        <w:rPr>
          <w:rFonts w:ascii="Arial" w:hAnsi="Arial" w:cs="Arial"/>
          <w:noProof/>
          <w:lang w:val="ro-RO"/>
        </w:rPr>
        <w:t xml:space="preserve">după </w:t>
      </w:r>
      <w:r w:rsidRPr="00B2745E">
        <w:rPr>
          <w:rFonts w:ascii="Arial" w:hAnsi="Arial" w:cs="Arial"/>
          <w:noProof/>
          <w:lang w:val="ro-RO"/>
        </w:rPr>
        <w:t xml:space="preserve">deducerea din </w:t>
      </w:r>
      <w:r w:rsidR="008B1F2C" w:rsidRPr="00B2745E">
        <w:rPr>
          <w:rFonts w:ascii="Arial" w:hAnsi="Arial" w:cs="Arial"/>
          <w:noProof/>
          <w:lang w:val="ro-RO"/>
        </w:rPr>
        <w:t xml:space="preserve">prețul </w:t>
      </w:r>
      <w:r w:rsidRPr="00B2745E">
        <w:rPr>
          <w:rFonts w:ascii="Arial" w:hAnsi="Arial" w:cs="Arial"/>
          <w:noProof/>
          <w:lang w:val="ro-RO"/>
        </w:rPr>
        <w:t xml:space="preserve">de </w:t>
      </w:r>
      <w:r w:rsidR="008B1F2C" w:rsidRPr="00B2745E">
        <w:rPr>
          <w:rFonts w:ascii="Arial" w:hAnsi="Arial" w:cs="Arial"/>
          <w:noProof/>
          <w:lang w:val="ro-RO"/>
        </w:rPr>
        <w:t xml:space="preserve">vânzare </w:t>
      </w:r>
      <w:r w:rsidRPr="00B2745E">
        <w:rPr>
          <w:rFonts w:ascii="Arial" w:hAnsi="Arial" w:cs="Arial"/>
          <w:noProof/>
          <w:lang w:val="ro-RO"/>
        </w:rPr>
        <w:t xml:space="preserve">(mediu ponderat) a costurilor de transport, </w:t>
      </w:r>
      <w:r w:rsidR="008B1F2C" w:rsidRPr="00B2745E">
        <w:rPr>
          <w:rFonts w:ascii="Arial" w:hAnsi="Arial" w:cs="Arial"/>
          <w:noProof/>
          <w:lang w:val="ro-RO"/>
        </w:rPr>
        <w:t>distribuție</w:t>
      </w:r>
      <w:r w:rsidRPr="00B2745E">
        <w:rPr>
          <w:rFonts w:ascii="Arial" w:hAnsi="Arial" w:cs="Arial"/>
          <w:noProof/>
          <w:lang w:val="ro-RO"/>
        </w:rPr>
        <w:t xml:space="preserve">, </w:t>
      </w:r>
      <w:r w:rsidR="008B1F2C" w:rsidRPr="00B2745E">
        <w:rPr>
          <w:rFonts w:ascii="Arial" w:hAnsi="Arial" w:cs="Arial"/>
          <w:noProof/>
          <w:lang w:val="ro-RO"/>
        </w:rPr>
        <w:t>înmagazinare</w:t>
      </w:r>
      <w:r w:rsidRPr="00B2745E">
        <w:rPr>
          <w:rFonts w:ascii="Arial" w:hAnsi="Arial" w:cs="Arial"/>
          <w:noProof/>
          <w:lang w:val="ro-RO"/>
        </w:rPr>
        <w:t xml:space="preserve"> </w:t>
      </w:r>
      <w:r w:rsidR="008B1F2C" w:rsidRPr="00B2745E">
        <w:rPr>
          <w:rFonts w:ascii="Arial" w:hAnsi="Arial" w:cs="Arial"/>
          <w:noProof/>
          <w:lang w:val="ro-RO"/>
        </w:rPr>
        <w:t xml:space="preserve">și </w:t>
      </w:r>
      <w:r w:rsidRPr="00B2745E">
        <w:rPr>
          <w:rFonts w:ascii="Arial" w:hAnsi="Arial" w:cs="Arial"/>
          <w:noProof/>
          <w:lang w:val="ro-RO"/>
        </w:rPr>
        <w:t>alte costuri logistice (</w:t>
      </w:r>
      <w:r w:rsidR="008B1F2C" w:rsidRPr="00B2745E">
        <w:rPr>
          <w:rFonts w:ascii="Arial" w:hAnsi="Arial" w:cs="Arial"/>
          <w:noProof/>
          <w:lang w:val="ro-RO"/>
        </w:rPr>
        <w:t>î</w:t>
      </w:r>
      <w:r w:rsidRPr="00B2745E">
        <w:rPr>
          <w:rFonts w:ascii="Arial" w:hAnsi="Arial" w:cs="Arial"/>
          <w:noProof/>
          <w:lang w:val="ro-RO"/>
        </w:rPr>
        <w:t xml:space="preserve">n </w:t>
      </w:r>
      <w:r w:rsidR="008B1F2C" w:rsidRPr="00B2745E">
        <w:rPr>
          <w:rFonts w:ascii="Arial" w:hAnsi="Arial" w:cs="Arial"/>
          <w:noProof/>
          <w:lang w:val="ro-RO"/>
        </w:rPr>
        <w:t>măsura î</w:t>
      </w:r>
      <w:r w:rsidRPr="00B2745E">
        <w:rPr>
          <w:rFonts w:ascii="Arial" w:hAnsi="Arial" w:cs="Arial"/>
          <w:noProof/>
          <w:lang w:val="ro-RO"/>
        </w:rPr>
        <w:t xml:space="preserve">n care sunt suportate de </w:t>
      </w:r>
      <w:r w:rsidR="008B1F2C" w:rsidRPr="00B2745E">
        <w:rPr>
          <w:rFonts w:ascii="Arial" w:hAnsi="Arial" w:cs="Arial"/>
          <w:noProof/>
          <w:lang w:val="ro-RO"/>
        </w:rPr>
        <w:t xml:space="preserve">către </w:t>
      </w:r>
      <w:r w:rsidRPr="00B2745E">
        <w:rPr>
          <w:rFonts w:ascii="Arial" w:hAnsi="Arial" w:cs="Arial"/>
          <w:noProof/>
          <w:lang w:val="ro-RO"/>
        </w:rPr>
        <w:t xml:space="preserve">titularul acordului petrolier)  </w:t>
      </w:r>
    </w:p>
    <w:p w14:paraId="0D6D6407" w14:textId="3BF10371" w:rsidR="00F770A3" w:rsidRPr="00B2745E" w:rsidRDefault="00F770A3" w:rsidP="00F770A3">
      <w:pPr>
        <w:pStyle w:val="ListParagraph"/>
        <w:numPr>
          <w:ilvl w:val="0"/>
          <w:numId w:val="10"/>
        </w:numPr>
        <w:rPr>
          <w:rFonts w:ascii="Arial" w:hAnsi="Arial" w:cs="Arial"/>
          <w:noProof/>
          <w:lang w:val="ro-RO"/>
        </w:rPr>
      </w:pPr>
      <w:r w:rsidRPr="00B2745E">
        <w:rPr>
          <w:rFonts w:ascii="Arial" w:hAnsi="Arial" w:cs="Arial"/>
          <w:noProof/>
          <w:lang w:val="ro-RO"/>
        </w:rPr>
        <w:t xml:space="preserve">Din impozitul pe venituri suplimentare calculat lunar, titularul acordului petrolier </w:t>
      </w:r>
      <w:r w:rsidR="008B1F2C" w:rsidRPr="00B2745E">
        <w:rPr>
          <w:rFonts w:ascii="Arial" w:hAnsi="Arial" w:cs="Arial"/>
          <w:noProof/>
          <w:lang w:val="ro-RO"/>
        </w:rPr>
        <w:t xml:space="preserve">plătește, în </w:t>
      </w:r>
      <w:r w:rsidRPr="00B2745E">
        <w:rPr>
          <w:rFonts w:ascii="Arial" w:hAnsi="Arial" w:cs="Arial"/>
          <w:noProof/>
          <w:lang w:val="ro-RO"/>
        </w:rPr>
        <w:t>fapt</w:t>
      </w:r>
      <w:r w:rsidR="008B1F2C" w:rsidRPr="00B2745E">
        <w:rPr>
          <w:rFonts w:ascii="Arial" w:hAnsi="Arial" w:cs="Arial"/>
          <w:noProof/>
          <w:lang w:val="ro-RO"/>
        </w:rPr>
        <w:t>,</w:t>
      </w:r>
      <w:r w:rsidRPr="00B2745E">
        <w:rPr>
          <w:rFonts w:ascii="Arial" w:hAnsi="Arial" w:cs="Arial"/>
          <w:noProof/>
          <w:lang w:val="ro-RO"/>
        </w:rPr>
        <w:t xml:space="preserve"> 60% Statului </w:t>
      </w:r>
      <w:r w:rsidR="008B1F2C" w:rsidRPr="00B2745E">
        <w:rPr>
          <w:rFonts w:ascii="Arial" w:hAnsi="Arial" w:cs="Arial"/>
          <w:noProof/>
          <w:lang w:val="ro-RO"/>
        </w:rPr>
        <w:t>Român</w:t>
      </w:r>
      <w:r w:rsidRPr="00B2745E">
        <w:rPr>
          <w:rFonts w:ascii="Arial" w:hAnsi="Arial" w:cs="Arial"/>
          <w:noProof/>
          <w:lang w:val="ro-RO"/>
        </w:rPr>
        <w:t xml:space="preserve">, </w:t>
      </w:r>
      <w:r w:rsidR="008B1F2C" w:rsidRPr="00B2745E">
        <w:rPr>
          <w:rFonts w:ascii="Arial" w:hAnsi="Arial" w:cs="Arial"/>
          <w:noProof/>
          <w:lang w:val="ro-RO"/>
        </w:rPr>
        <w:t xml:space="preserve">întrucât </w:t>
      </w:r>
      <w:r w:rsidRPr="00B2745E">
        <w:rPr>
          <w:rFonts w:ascii="Arial" w:hAnsi="Arial" w:cs="Arial"/>
          <w:noProof/>
          <w:lang w:val="ro-RO"/>
        </w:rPr>
        <w:t xml:space="preserve">restul de 40% </w:t>
      </w:r>
      <w:r w:rsidR="008B1F2C" w:rsidRPr="00B2745E">
        <w:rPr>
          <w:rFonts w:ascii="Arial" w:hAnsi="Arial" w:cs="Arial"/>
          <w:noProof/>
          <w:lang w:val="ro-RO"/>
        </w:rPr>
        <w:t xml:space="preserve">îi </w:t>
      </w:r>
      <w:r w:rsidR="00E03EB7" w:rsidRPr="00B2745E">
        <w:rPr>
          <w:rFonts w:ascii="Arial" w:hAnsi="Arial" w:cs="Arial"/>
          <w:noProof/>
          <w:lang w:val="ro-RO"/>
        </w:rPr>
        <w:t>păstrează</w:t>
      </w:r>
      <w:r w:rsidR="008B1F2C" w:rsidRPr="00B2745E">
        <w:rPr>
          <w:rFonts w:ascii="Arial" w:hAnsi="Arial" w:cs="Arial"/>
          <w:noProof/>
          <w:lang w:val="ro-RO"/>
        </w:rPr>
        <w:t xml:space="preserve"> în </w:t>
      </w:r>
      <w:r w:rsidRPr="00B2745E">
        <w:rPr>
          <w:rFonts w:ascii="Arial" w:hAnsi="Arial" w:cs="Arial"/>
          <w:noProof/>
          <w:lang w:val="ro-RO"/>
        </w:rPr>
        <w:t xml:space="preserve">contul </w:t>
      </w:r>
      <w:r w:rsidR="008B1F2C" w:rsidRPr="00B2745E">
        <w:rPr>
          <w:rFonts w:ascii="Arial" w:hAnsi="Arial" w:cs="Arial"/>
          <w:noProof/>
          <w:lang w:val="ro-RO"/>
        </w:rPr>
        <w:t xml:space="preserve">recuperării investițiilor </w:t>
      </w:r>
      <w:r w:rsidRPr="00B2745E">
        <w:rPr>
          <w:rFonts w:ascii="Arial" w:hAnsi="Arial" w:cs="Arial"/>
          <w:noProof/>
          <w:lang w:val="ro-RO"/>
        </w:rPr>
        <w:t xml:space="preserve">efectuate </w:t>
      </w:r>
      <w:r w:rsidR="008B1F2C" w:rsidRPr="00B2745E">
        <w:rPr>
          <w:rFonts w:ascii="Arial" w:hAnsi="Arial" w:cs="Arial"/>
          <w:noProof/>
          <w:lang w:val="ro-RO"/>
        </w:rPr>
        <w:t xml:space="preserve">în </w:t>
      </w:r>
      <w:r w:rsidRPr="00B2745E">
        <w:rPr>
          <w:rFonts w:ascii="Arial" w:hAnsi="Arial" w:cs="Arial"/>
          <w:noProof/>
          <w:lang w:val="ro-RO"/>
        </w:rPr>
        <w:t>segment</w:t>
      </w:r>
      <w:r w:rsidR="008B1F2C" w:rsidRPr="00B2745E">
        <w:rPr>
          <w:rFonts w:ascii="Arial" w:hAnsi="Arial" w:cs="Arial"/>
          <w:noProof/>
          <w:lang w:val="ro-RO"/>
        </w:rPr>
        <w:t>ul</w:t>
      </w:r>
      <w:r w:rsidRPr="00B2745E">
        <w:rPr>
          <w:rFonts w:ascii="Arial" w:hAnsi="Arial" w:cs="Arial"/>
          <w:noProof/>
          <w:lang w:val="ro-RO"/>
        </w:rPr>
        <w:t xml:space="preserve"> upstream  </w:t>
      </w:r>
    </w:p>
    <w:p w14:paraId="38A307F5" w14:textId="3415F890" w:rsidR="00F770A3" w:rsidRPr="00B2745E" w:rsidRDefault="00F770A3" w:rsidP="00F770A3">
      <w:pPr>
        <w:pStyle w:val="ListParagraph"/>
        <w:numPr>
          <w:ilvl w:val="0"/>
          <w:numId w:val="10"/>
        </w:numPr>
        <w:rPr>
          <w:rFonts w:ascii="Arial" w:hAnsi="Arial" w:cs="Arial"/>
          <w:noProof/>
          <w:lang w:val="ro-RO"/>
        </w:rPr>
      </w:pPr>
      <w:r w:rsidRPr="00B2745E">
        <w:rPr>
          <w:rFonts w:ascii="Arial" w:hAnsi="Arial" w:cs="Arial"/>
          <w:noProof/>
          <w:lang w:val="ro-RO"/>
        </w:rPr>
        <w:t xml:space="preserve">Cheltuiala cu impozitul pe venituri suplimentare este </w:t>
      </w:r>
      <w:r w:rsidR="0080463B" w:rsidRPr="00B2745E">
        <w:rPr>
          <w:rFonts w:ascii="Arial" w:hAnsi="Arial" w:cs="Arial"/>
          <w:noProof/>
          <w:lang w:val="ro-RO"/>
        </w:rPr>
        <w:t xml:space="preserve">considerată cheltuială deductibilă </w:t>
      </w:r>
      <w:r w:rsidRPr="00B2745E">
        <w:rPr>
          <w:rFonts w:ascii="Arial" w:hAnsi="Arial" w:cs="Arial"/>
          <w:noProof/>
          <w:lang w:val="ro-RO"/>
        </w:rPr>
        <w:t xml:space="preserve">la calculul impozitului pe profit (cota </w:t>
      </w:r>
      <w:r w:rsidR="0080463B" w:rsidRPr="00B2745E">
        <w:rPr>
          <w:rFonts w:ascii="Arial" w:hAnsi="Arial" w:cs="Arial"/>
          <w:noProof/>
          <w:lang w:val="ro-RO"/>
        </w:rPr>
        <w:t xml:space="preserve">actuală </w:t>
      </w:r>
      <w:r w:rsidRPr="00B2745E">
        <w:rPr>
          <w:rFonts w:ascii="Arial" w:hAnsi="Arial" w:cs="Arial"/>
          <w:noProof/>
          <w:lang w:val="ro-RO"/>
        </w:rPr>
        <w:t>a impozitului pe profit este de 16%)</w:t>
      </w:r>
      <w:r w:rsidR="0080463B" w:rsidRPr="00B2745E">
        <w:rPr>
          <w:rFonts w:ascii="Arial" w:hAnsi="Arial" w:cs="Arial"/>
          <w:noProof/>
          <w:lang w:val="ro-RO"/>
        </w:rPr>
        <w:t>.</w:t>
      </w:r>
    </w:p>
    <w:p w14:paraId="02F1AF44" w14:textId="3DD48627" w:rsidR="00B4598C" w:rsidRPr="00B2745E" w:rsidRDefault="00D24328" w:rsidP="00F770A3">
      <w:pPr>
        <w:rPr>
          <w:rFonts w:cs="Arial"/>
          <w:noProof/>
          <w:sz w:val="22"/>
          <w:szCs w:val="22"/>
        </w:rPr>
      </w:pPr>
      <w:r w:rsidRPr="00B2745E">
        <w:rPr>
          <w:rFonts w:cs="Arial"/>
          <w:noProof/>
          <w:sz w:val="22"/>
          <w:szCs w:val="22"/>
        </w:rPr>
        <w:t xml:space="preserve">Pentru exemplificare, </w:t>
      </w:r>
      <w:r w:rsidR="00587393" w:rsidRPr="00B2745E">
        <w:rPr>
          <w:rFonts w:cs="Arial"/>
          <w:noProof/>
          <w:sz w:val="22"/>
          <w:szCs w:val="22"/>
        </w:rPr>
        <w:t xml:space="preserve">în cele ce urmează am luat </w:t>
      </w:r>
      <w:r w:rsidR="004928FA" w:rsidRPr="00B2745E">
        <w:rPr>
          <w:rFonts w:cs="Arial"/>
          <w:noProof/>
          <w:sz w:val="22"/>
          <w:szCs w:val="22"/>
        </w:rPr>
        <w:t xml:space="preserve">un </w:t>
      </w:r>
      <w:r w:rsidR="0080463B" w:rsidRPr="00B2745E">
        <w:rPr>
          <w:rFonts w:cs="Arial"/>
          <w:noProof/>
          <w:sz w:val="22"/>
          <w:szCs w:val="22"/>
        </w:rPr>
        <w:t xml:space="preserve">preț </w:t>
      </w:r>
      <w:r w:rsidR="00F770A3" w:rsidRPr="00B2745E">
        <w:rPr>
          <w:rFonts w:cs="Arial"/>
          <w:noProof/>
          <w:sz w:val="22"/>
          <w:szCs w:val="22"/>
        </w:rPr>
        <w:t xml:space="preserve">de </w:t>
      </w:r>
      <w:r w:rsidR="0080463B" w:rsidRPr="00B2745E">
        <w:rPr>
          <w:rFonts w:cs="Arial"/>
          <w:noProof/>
          <w:sz w:val="22"/>
          <w:szCs w:val="22"/>
        </w:rPr>
        <w:t xml:space="preserve">vânzare </w:t>
      </w:r>
      <w:r w:rsidR="00F770A3" w:rsidRPr="00B2745E">
        <w:rPr>
          <w:rFonts w:cs="Arial"/>
          <w:noProof/>
          <w:sz w:val="22"/>
          <w:szCs w:val="22"/>
        </w:rPr>
        <w:t>mediu ponderat de 532</w:t>
      </w:r>
      <w:r w:rsidR="0080463B" w:rsidRPr="00B2745E">
        <w:rPr>
          <w:rFonts w:cs="Arial"/>
          <w:noProof/>
          <w:sz w:val="22"/>
          <w:szCs w:val="22"/>
        </w:rPr>
        <w:t xml:space="preserve"> Lei </w:t>
      </w:r>
      <w:r w:rsidR="00F770A3" w:rsidRPr="00B2745E">
        <w:rPr>
          <w:rFonts w:cs="Arial"/>
          <w:noProof/>
          <w:sz w:val="22"/>
          <w:szCs w:val="22"/>
        </w:rPr>
        <w:t xml:space="preserve">/MWh, </w:t>
      </w:r>
      <w:r w:rsidR="00587393" w:rsidRPr="00B2745E">
        <w:rPr>
          <w:rFonts w:cs="Arial"/>
          <w:noProof/>
          <w:sz w:val="22"/>
          <w:szCs w:val="22"/>
        </w:rPr>
        <w:t>și unul de</w:t>
      </w:r>
      <w:r w:rsidR="00F770A3" w:rsidRPr="00B2745E">
        <w:rPr>
          <w:rFonts w:cs="Arial"/>
          <w:noProof/>
          <w:sz w:val="22"/>
          <w:szCs w:val="22"/>
        </w:rPr>
        <w:t xml:space="preserve"> 199</w:t>
      </w:r>
      <w:r w:rsidR="0080463B" w:rsidRPr="00B2745E">
        <w:rPr>
          <w:rFonts w:cs="Arial"/>
          <w:noProof/>
          <w:sz w:val="22"/>
          <w:szCs w:val="22"/>
        </w:rPr>
        <w:t xml:space="preserve"> Lei </w:t>
      </w:r>
      <w:r w:rsidR="00F770A3" w:rsidRPr="00B2745E">
        <w:rPr>
          <w:rFonts w:cs="Arial"/>
          <w:noProof/>
          <w:sz w:val="22"/>
          <w:szCs w:val="22"/>
        </w:rPr>
        <w:t xml:space="preserve">/MWh, </w:t>
      </w:r>
      <w:r w:rsidR="004928FA" w:rsidRPr="00B2745E">
        <w:rPr>
          <w:rFonts w:cs="Arial"/>
          <w:noProof/>
          <w:sz w:val="22"/>
          <w:szCs w:val="22"/>
        </w:rPr>
        <w:t xml:space="preserve">prețuri nete </w:t>
      </w:r>
      <w:r w:rsidR="00192E1D" w:rsidRPr="00B2745E">
        <w:rPr>
          <w:rFonts w:cs="Arial"/>
          <w:noProof/>
          <w:sz w:val="22"/>
          <w:szCs w:val="22"/>
        </w:rPr>
        <w:t>de c</w:t>
      </w:r>
      <w:r w:rsidR="00F770A3" w:rsidRPr="00B2745E">
        <w:rPr>
          <w:rFonts w:cs="Arial"/>
          <w:noProof/>
          <w:sz w:val="22"/>
          <w:szCs w:val="22"/>
        </w:rPr>
        <w:t>osturi</w:t>
      </w:r>
      <w:r w:rsidR="00192E1D" w:rsidRPr="00B2745E">
        <w:rPr>
          <w:rFonts w:cs="Arial"/>
          <w:noProof/>
          <w:sz w:val="22"/>
          <w:szCs w:val="22"/>
        </w:rPr>
        <w:t xml:space="preserve"> </w:t>
      </w:r>
      <w:r w:rsidR="00F770A3" w:rsidRPr="00B2745E">
        <w:rPr>
          <w:rFonts w:cs="Arial"/>
          <w:noProof/>
          <w:sz w:val="22"/>
          <w:szCs w:val="22"/>
        </w:rPr>
        <w:t xml:space="preserve">de transport, </w:t>
      </w:r>
      <w:r w:rsidR="0080463B" w:rsidRPr="00B2745E">
        <w:rPr>
          <w:rFonts w:cs="Arial"/>
          <w:noProof/>
          <w:sz w:val="22"/>
          <w:szCs w:val="22"/>
        </w:rPr>
        <w:t>distribuție</w:t>
      </w:r>
      <w:r w:rsidR="00F770A3" w:rsidRPr="00B2745E">
        <w:rPr>
          <w:rFonts w:cs="Arial"/>
          <w:noProof/>
          <w:sz w:val="22"/>
          <w:szCs w:val="22"/>
        </w:rPr>
        <w:t xml:space="preserve">, </w:t>
      </w:r>
      <w:r w:rsidR="0080463B" w:rsidRPr="00B2745E">
        <w:rPr>
          <w:rFonts w:cs="Arial"/>
          <w:noProof/>
          <w:sz w:val="22"/>
          <w:szCs w:val="22"/>
        </w:rPr>
        <w:t>înmagazinare</w:t>
      </w:r>
      <w:r w:rsidR="00F770A3" w:rsidRPr="00B2745E">
        <w:rPr>
          <w:rFonts w:cs="Arial"/>
          <w:noProof/>
          <w:sz w:val="22"/>
          <w:szCs w:val="22"/>
        </w:rPr>
        <w:t xml:space="preserve"> </w:t>
      </w:r>
      <w:r w:rsidR="000553BB" w:rsidRPr="00B2745E">
        <w:rPr>
          <w:rFonts w:cs="Arial"/>
          <w:noProof/>
          <w:sz w:val="22"/>
          <w:szCs w:val="22"/>
        </w:rPr>
        <w:t>ş</w:t>
      </w:r>
      <w:r w:rsidR="00F770A3" w:rsidRPr="00B2745E">
        <w:rPr>
          <w:rFonts w:cs="Arial"/>
          <w:noProof/>
          <w:sz w:val="22"/>
          <w:szCs w:val="22"/>
        </w:rPr>
        <w:t>i alte costuri logistice</w:t>
      </w:r>
      <w:r w:rsidR="00192E1D" w:rsidRPr="00B2745E">
        <w:rPr>
          <w:rFonts w:cs="Arial"/>
          <w:noProof/>
          <w:sz w:val="22"/>
          <w:szCs w:val="22"/>
        </w:rPr>
        <w:t xml:space="preserve">, așa cum prevede actuala lege.  </w:t>
      </w:r>
    </w:p>
    <w:p w14:paraId="0361E6C9" w14:textId="77777777" w:rsidR="00B4598C" w:rsidRPr="00B2745E" w:rsidRDefault="00B4598C" w:rsidP="00F770A3">
      <w:pPr>
        <w:rPr>
          <w:rFonts w:cs="Arial"/>
          <w:noProof/>
          <w:sz w:val="22"/>
          <w:szCs w:val="22"/>
        </w:rPr>
      </w:pPr>
    </w:p>
    <w:p w14:paraId="246D6E4C" w14:textId="1D2B609C" w:rsidR="00B4598C" w:rsidRPr="00B2745E" w:rsidRDefault="00405F7F" w:rsidP="00E03EB7">
      <w:pPr>
        <w:pStyle w:val="ListParagraph"/>
        <w:numPr>
          <w:ilvl w:val="0"/>
          <w:numId w:val="13"/>
        </w:numPr>
        <w:rPr>
          <w:rFonts w:ascii="Arial" w:hAnsi="Arial" w:cs="Arial"/>
          <w:noProof/>
          <w:lang w:val="ro-RO"/>
        </w:rPr>
      </w:pPr>
      <w:r w:rsidRPr="00B2745E">
        <w:rPr>
          <w:rFonts w:ascii="Arial" w:hAnsi="Arial" w:cs="Arial"/>
          <w:noProof/>
          <w:lang w:val="ro-RO"/>
        </w:rPr>
        <w:t xml:space="preserve">Pe baza metodologiei de calcul prevăzute de lege, </w:t>
      </w:r>
      <w:r w:rsidR="0080463B" w:rsidRPr="00B2745E">
        <w:rPr>
          <w:rFonts w:ascii="Arial" w:hAnsi="Arial" w:cs="Arial"/>
          <w:noProof/>
          <w:lang w:val="ro-RO"/>
        </w:rPr>
        <w:t xml:space="preserve">în </w:t>
      </w:r>
      <w:r w:rsidR="00F770A3" w:rsidRPr="00B2745E">
        <w:rPr>
          <w:rFonts w:ascii="Arial" w:hAnsi="Arial" w:cs="Arial"/>
          <w:noProof/>
          <w:lang w:val="ro-RO"/>
        </w:rPr>
        <w:t xml:space="preserve">cazul unui </w:t>
      </w:r>
      <w:r w:rsidR="0080463B" w:rsidRPr="00B2745E">
        <w:rPr>
          <w:rFonts w:ascii="Arial" w:hAnsi="Arial" w:cs="Arial"/>
          <w:noProof/>
          <w:lang w:val="ro-RO"/>
        </w:rPr>
        <w:t xml:space="preserve">preț </w:t>
      </w:r>
      <w:r w:rsidR="00F770A3" w:rsidRPr="00B2745E">
        <w:rPr>
          <w:rFonts w:ascii="Arial" w:hAnsi="Arial" w:cs="Arial"/>
          <w:noProof/>
          <w:lang w:val="ro-RO"/>
        </w:rPr>
        <w:t xml:space="preserve">de </w:t>
      </w:r>
      <w:r w:rsidR="0080463B" w:rsidRPr="00B2745E">
        <w:rPr>
          <w:rFonts w:ascii="Arial" w:hAnsi="Arial" w:cs="Arial"/>
          <w:noProof/>
          <w:lang w:val="ro-RO"/>
        </w:rPr>
        <w:t xml:space="preserve">vânzare </w:t>
      </w:r>
      <w:r w:rsidR="00F770A3" w:rsidRPr="00B2745E">
        <w:rPr>
          <w:rFonts w:ascii="Arial" w:hAnsi="Arial" w:cs="Arial"/>
          <w:noProof/>
          <w:lang w:val="ro-RO"/>
        </w:rPr>
        <w:t>mediu ponderat de 532</w:t>
      </w:r>
      <w:r w:rsidR="0080463B" w:rsidRPr="00B2745E">
        <w:rPr>
          <w:rFonts w:ascii="Arial" w:hAnsi="Arial" w:cs="Arial"/>
          <w:noProof/>
          <w:lang w:val="ro-RO"/>
        </w:rPr>
        <w:t xml:space="preserve"> Lei </w:t>
      </w:r>
      <w:r w:rsidR="00F770A3" w:rsidRPr="00B2745E">
        <w:rPr>
          <w:rFonts w:ascii="Arial" w:hAnsi="Arial" w:cs="Arial"/>
          <w:noProof/>
          <w:lang w:val="ro-RO"/>
        </w:rPr>
        <w:t xml:space="preserve">/MWh, impozitul pe venituri suplimentare </w:t>
      </w:r>
      <w:r w:rsidR="00A31016" w:rsidRPr="00B2745E">
        <w:rPr>
          <w:rFonts w:ascii="Arial" w:hAnsi="Arial" w:cs="Arial"/>
          <w:noProof/>
          <w:lang w:val="ro-RO"/>
        </w:rPr>
        <w:t xml:space="preserve">ar fi de 260 de lei, adică </w:t>
      </w:r>
      <w:r w:rsidR="00F770A3" w:rsidRPr="00B2745E">
        <w:rPr>
          <w:rFonts w:ascii="Arial" w:hAnsi="Arial" w:cs="Arial"/>
          <w:noProof/>
          <w:lang w:val="ro-RO"/>
        </w:rPr>
        <w:t xml:space="preserve">o </w:t>
      </w:r>
      <w:r w:rsidR="0080463B" w:rsidRPr="00B2745E">
        <w:rPr>
          <w:rFonts w:ascii="Arial" w:hAnsi="Arial" w:cs="Arial"/>
          <w:noProof/>
          <w:lang w:val="ro-RO"/>
        </w:rPr>
        <w:t xml:space="preserve">rată efectivă </w:t>
      </w:r>
      <w:r w:rsidR="00F770A3" w:rsidRPr="00B2745E">
        <w:rPr>
          <w:rFonts w:ascii="Arial" w:hAnsi="Arial" w:cs="Arial"/>
          <w:noProof/>
          <w:lang w:val="ro-RO"/>
        </w:rPr>
        <w:t xml:space="preserve">de taxare </w:t>
      </w:r>
      <w:r w:rsidR="00A31016" w:rsidRPr="00B2745E">
        <w:rPr>
          <w:rFonts w:ascii="Arial" w:hAnsi="Arial" w:cs="Arial"/>
          <w:noProof/>
          <w:lang w:val="ro-RO"/>
        </w:rPr>
        <w:t xml:space="preserve">a veniturilor </w:t>
      </w:r>
      <w:r w:rsidR="00F770A3" w:rsidRPr="00B2745E">
        <w:rPr>
          <w:rFonts w:ascii="Arial" w:hAnsi="Arial" w:cs="Arial"/>
          <w:noProof/>
          <w:lang w:val="ro-RO"/>
        </w:rPr>
        <w:t>de 49%</w:t>
      </w:r>
      <w:r w:rsidR="00A31016" w:rsidRPr="00B2745E">
        <w:rPr>
          <w:rFonts w:ascii="Arial" w:hAnsi="Arial" w:cs="Arial"/>
          <w:noProof/>
          <w:lang w:val="ro-RO"/>
        </w:rPr>
        <w:t>. Din ace</w:t>
      </w:r>
      <w:r w:rsidR="005A298B" w:rsidRPr="00B2745E">
        <w:rPr>
          <w:rFonts w:ascii="Arial" w:hAnsi="Arial" w:cs="Arial"/>
          <w:noProof/>
          <w:lang w:val="ro-RO"/>
        </w:rPr>
        <w:t>s</w:t>
      </w:r>
      <w:r w:rsidR="00A31016" w:rsidRPr="00B2745E">
        <w:rPr>
          <w:rFonts w:ascii="Arial" w:hAnsi="Arial" w:cs="Arial"/>
          <w:noProof/>
          <w:lang w:val="ro-RO"/>
        </w:rPr>
        <w:t>t</w:t>
      </w:r>
      <w:r w:rsidR="005A298B" w:rsidRPr="00B2745E">
        <w:rPr>
          <w:rFonts w:ascii="Arial" w:hAnsi="Arial" w:cs="Arial"/>
          <w:noProof/>
          <w:lang w:val="ro-RO"/>
        </w:rPr>
        <w:t xml:space="preserve"> impozit, </w:t>
      </w:r>
      <w:r w:rsidR="00F770A3" w:rsidRPr="00B2745E">
        <w:rPr>
          <w:rFonts w:ascii="Arial" w:hAnsi="Arial" w:cs="Arial"/>
          <w:noProof/>
          <w:lang w:val="ro-RO"/>
        </w:rPr>
        <w:t xml:space="preserve">titularul acordului petrolier </w:t>
      </w:r>
      <w:r w:rsidR="0080463B" w:rsidRPr="00B2745E">
        <w:rPr>
          <w:rFonts w:ascii="Arial" w:hAnsi="Arial" w:cs="Arial"/>
          <w:noProof/>
          <w:lang w:val="ro-RO"/>
        </w:rPr>
        <w:t xml:space="preserve">reține </w:t>
      </w:r>
      <w:r w:rsidR="00F770A3" w:rsidRPr="00B2745E">
        <w:rPr>
          <w:rFonts w:ascii="Arial" w:hAnsi="Arial" w:cs="Arial"/>
          <w:noProof/>
          <w:lang w:val="ro-RO"/>
        </w:rPr>
        <w:t xml:space="preserve">o </w:t>
      </w:r>
      <w:r w:rsidR="0080463B" w:rsidRPr="00B2745E">
        <w:rPr>
          <w:rFonts w:ascii="Arial" w:hAnsi="Arial" w:cs="Arial"/>
          <w:noProof/>
          <w:lang w:val="ro-RO"/>
        </w:rPr>
        <w:t>cotă</w:t>
      </w:r>
      <w:r w:rsidR="000E4633" w:rsidRPr="00B2745E">
        <w:rPr>
          <w:rFonts w:ascii="Arial" w:hAnsi="Arial" w:cs="Arial"/>
          <w:noProof/>
          <w:lang w:val="ro-RO"/>
        </w:rPr>
        <w:t>-parte</w:t>
      </w:r>
      <w:r w:rsidR="0080463B" w:rsidRPr="00B2745E">
        <w:rPr>
          <w:rFonts w:ascii="Arial" w:hAnsi="Arial" w:cs="Arial"/>
          <w:noProof/>
          <w:lang w:val="ro-RO"/>
        </w:rPr>
        <w:t xml:space="preserve"> </w:t>
      </w:r>
      <w:r w:rsidR="00F770A3" w:rsidRPr="00B2745E">
        <w:rPr>
          <w:rFonts w:ascii="Arial" w:hAnsi="Arial" w:cs="Arial"/>
          <w:noProof/>
          <w:lang w:val="ro-RO"/>
        </w:rPr>
        <w:t xml:space="preserve">de 40% </w:t>
      </w:r>
      <w:r w:rsidR="0080463B" w:rsidRPr="00B2745E">
        <w:rPr>
          <w:rFonts w:ascii="Arial" w:hAnsi="Arial" w:cs="Arial"/>
          <w:noProof/>
          <w:lang w:val="ro-RO"/>
        </w:rPr>
        <w:t xml:space="preserve">în </w:t>
      </w:r>
      <w:r w:rsidR="00F770A3" w:rsidRPr="00B2745E">
        <w:rPr>
          <w:rFonts w:ascii="Arial" w:hAnsi="Arial" w:cs="Arial"/>
          <w:noProof/>
          <w:lang w:val="ro-RO"/>
        </w:rPr>
        <w:t xml:space="preserve">vederea </w:t>
      </w:r>
      <w:r w:rsidR="0080463B" w:rsidRPr="00B2745E">
        <w:rPr>
          <w:rFonts w:ascii="Arial" w:hAnsi="Arial" w:cs="Arial"/>
          <w:noProof/>
          <w:lang w:val="ro-RO"/>
        </w:rPr>
        <w:t>recuperării investiției făcute</w:t>
      </w:r>
      <w:r w:rsidR="00F770A3" w:rsidRPr="00B2745E">
        <w:rPr>
          <w:rFonts w:ascii="Arial" w:hAnsi="Arial" w:cs="Arial"/>
          <w:noProof/>
          <w:lang w:val="ro-RO"/>
        </w:rPr>
        <w:t xml:space="preserve">, 60% </w:t>
      </w:r>
      <w:r w:rsidR="000E4633" w:rsidRPr="00B2745E">
        <w:rPr>
          <w:rFonts w:ascii="Arial" w:hAnsi="Arial" w:cs="Arial"/>
          <w:noProof/>
          <w:lang w:val="ro-RO"/>
        </w:rPr>
        <w:t xml:space="preserve">din impozit fiind </w:t>
      </w:r>
      <w:r w:rsidR="0080463B" w:rsidRPr="00B2745E">
        <w:rPr>
          <w:rFonts w:ascii="Arial" w:hAnsi="Arial" w:cs="Arial"/>
          <w:noProof/>
          <w:lang w:val="ro-RO"/>
        </w:rPr>
        <w:t>vir</w:t>
      </w:r>
      <w:r w:rsidR="000E4633" w:rsidRPr="00B2745E">
        <w:rPr>
          <w:rFonts w:ascii="Arial" w:hAnsi="Arial" w:cs="Arial"/>
          <w:noProof/>
          <w:lang w:val="ro-RO"/>
        </w:rPr>
        <w:t>at efectiv l</w:t>
      </w:r>
      <w:r w:rsidR="00F770A3" w:rsidRPr="00B2745E">
        <w:rPr>
          <w:rFonts w:ascii="Arial" w:hAnsi="Arial" w:cs="Arial"/>
          <w:noProof/>
          <w:lang w:val="ro-RO"/>
        </w:rPr>
        <w:t xml:space="preserve">a bugetul de stat, </w:t>
      </w:r>
      <w:r w:rsidR="0080463B" w:rsidRPr="00B2745E">
        <w:rPr>
          <w:rFonts w:ascii="Arial" w:hAnsi="Arial" w:cs="Arial"/>
          <w:noProof/>
          <w:lang w:val="ro-RO"/>
        </w:rPr>
        <w:t xml:space="preserve">adică </w:t>
      </w:r>
      <w:r w:rsidR="00F770A3" w:rsidRPr="00B2745E">
        <w:rPr>
          <w:rFonts w:ascii="Arial" w:hAnsi="Arial" w:cs="Arial"/>
          <w:noProof/>
          <w:lang w:val="ro-RO"/>
        </w:rPr>
        <w:t>29</w:t>
      </w:r>
      <w:r w:rsidR="0080463B" w:rsidRPr="00B2745E">
        <w:rPr>
          <w:rFonts w:ascii="Arial" w:hAnsi="Arial" w:cs="Arial"/>
          <w:noProof/>
          <w:lang w:val="ro-RO"/>
        </w:rPr>
        <w:t>,</w:t>
      </w:r>
      <w:r w:rsidR="00F770A3" w:rsidRPr="00B2745E">
        <w:rPr>
          <w:rFonts w:ascii="Arial" w:hAnsi="Arial" w:cs="Arial"/>
          <w:noProof/>
          <w:lang w:val="ro-RO"/>
        </w:rPr>
        <w:t xml:space="preserve">4% din totalul veniturilor suplimentare </w:t>
      </w:r>
      <w:r w:rsidR="0080463B" w:rsidRPr="00B2745E">
        <w:rPr>
          <w:rFonts w:ascii="Arial" w:hAnsi="Arial" w:cs="Arial"/>
          <w:noProof/>
          <w:lang w:val="ro-RO"/>
        </w:rPr>
        <w:t xml:space="preserve">obținute </w:t>
      </w:r>
      <w:r w:rsidR="00F770A3" w:rsidRPr="00B2745E">
        <w:rPr>
          <w:rFonts w:ascii="Arial" w:hAnsi="Arial" w:cs="Arial"/>
          <w:noProof/>
          <w:lang w:val="ro-RO"/>
        </w:rPr>
        <w:t xml:space="preserve">la un </w:t>
      </w:r>
      <w:r w:rsidR="0080463B" w:rsidRPr="00B2745E">
        <w:rPr>
          <w:rFonts w:ascii="Arial" w:hAnsi="Arial" w:cs="Arial"/>
          <w:noProof/>
          <w:lang w:val="ro-RO"/>
        </w:rPr>
        <w:t xml:space="preserve">preț </w:t>
      </w:r>
      <w:r w:rsidR="00F770A3" w:rsidRPr="00B2745E">
        <w:rPr>
          <w:rFonts w:ascii="Arial" w:hAnsi="Arial" w:cs="Arial"/>
          <w:noProof/>
          <w:lang w:val="ro-RO"/>
        </w:rPr>
        <w:t xml:space="preserve">de </w:t>
      </w:r>
      <w:r w:rsidR="0080463B" w:rsidRPr="00B2745E">
        <w:rPr>
          <w:rFonts w:ascii="Arial" w:hAnsi="Arial" w:cs="Arial"/>
          <w:noProof/>
          <w:lang w:val="ro-RO"/>
        </w:rPr>
        <w:t xml:space="preserve">vânzare </w:t>
      </w:r>
      <w:r w:rsidR="00F770A3" w:rsidRPr="00B2745E">
        <w:rPr>
          <w:rFonts w:ascii="Arial" w:hAnsi="Arial" w:cs="Arial"/>
          <w:noProof/>
          <w:lang w:val="ro-RO"/>
        </w:rPr>
        <w:t>de 532</w:t>
      </w:r>
      <w:r w:rsidR="0080463B" w:rsidRPr="00B2745E">
        <w:rPr>
          <w:rFonts w:ascii="Arial" w:hAnsi="Arial" w:cs="Arial"/>
          <w:noProof/>
          <w:lang w:val="ro-RO"/>
        </w:rPr>
        <w:t xml:space="preserve"> Lei </w:t>
      </w:r>
      <w:r w:rsidR="00F770A3" w:rsidRPr="00B2745E">
        <w:rPr>
          <w:rFonts w:ascii="Arial" w:hAnsi="Arial" w:cs="Arial"/>
          <w:noProof/>
          <w:lang w:val="ro-RO"/>
        </w:rPr>
        <w:t xml:space="preserve">/MWh. </w:t>
      </w:r>
      <w:r w:rsidR="000E4633" w:rsidRPr="00B2745E">
        <w:rPr>
          <w:rFonts w:ascii="Arial" w:hAnsi="Arial" w:cs="Arial"/>
          <w:noProof/>
          <w:lang w:val="ro-RO"/>
        </w:rPr>
        <w:t xml:space="preserve">  </w:t>
      </w:r>
    </w:p>
    <w:p w14:paraId="0221170E" w14:textId="2425FD5E" w:rsidR="00F770A3" w:rsidRPr="00B2745E" w:rsidRDefault="0080463B" w:rsidP="00E03EB7">
      <w:pPr>
        <w:pStyle w:val="ListParagraph"/>
        <w:numPr>
          <w:ilvl w:val="0"/>
          <w:numId w:val="13"/>
        </w:numPr>
        <w:rPr>
          <w:rFonts w:ascii="Arial" w:hAnsi="Arial" w:cs="Arial"/>
          <w:noProof/>
          <w:lang w:val="ro-RO"/>
        </w:rPr>
      </w:pPr>
      <w:r w:rsidRPr="00B2745E">
        <w:rPr>
          <w:rFonts w:ascii="Arial" w:hAnsi="Arial" w:cs="Arial"/>
          <w:noProof/>
          <w:lang w:val="ro-RO"/>
        </w:rPr>
        <w:t xml:space="preserve">În </w:t>
      </w:r>
      <w:r w:rsidR="00F770A3" w:rsidRPr="00B2745E">
        <w:rPr>
          <w:rFonts w:ascii="Arial" w:hAnsi="Arial" w:cs="Arial"/>
          <w:noProof/>
          <w:lang w:val="ro-RO"/>
        </w:rPr>
        <w:t xml:space="preserve">cazul unui </w:t>
      </w:r>
      <w:r w:rsidRPr="00B2745E">
        <w:rPr>
          <w:rFonts w:ascii="Arial" w:hAnsi="Arial" w:cs="Arial"/>
          <w:noProof/>
          <w:lang w:val="ro-RO"/>
        </w:rPr>
        <w:t xml:space="preserve">preț </w:t>
      </w:r>
      <w:r w:rsidR="00F770A3" w:rsidRPr="00B2745E">
        <w:rPr>
          <w:rFonts w:ascii="Arial" w:hAnsi="Arial" w:cs="Arial"/>
          <w:noProof/>
          <w:lang w:val="ro-RO"/>
        </w:rPr>
        <w:t xml:space="preserve">de </w:t>
      </w:r>
      <w:r w:rsidRPr="00B2745E">
        <w:rPr>
          <w:rFonts w:ascii="Arial" w:hAnsi="Arial" w:cs="Arial"/>
          <w:noProof/>
          <w:lang w:val="ro-RO"/>
        </w:rPr>
        <w:t xml:space="preserve">vânzare </w:t>
      </w:r>
      <w:r w:rsidR="00F770A3" w:rsidRPr="00B2745E">
        <w:rPr>
          <w:rFonts w:ascii="Arial" w:hAnsi="Arial" w:cs="Arial"/>
          <w:noProof/>
          <w:lang w:val="ro-RO"/>
        </w:rPr>
        <w:t>mediu ponderat de 199</w:t>
      </w:r>
      <w:r w:rsidRPr="00B2745E">
        <w:rPr>
          <w:rFonts w:ascii="Arial" w:hAnsi="Arial" w:cs="Arial"/>
          <w:noProof/>
          <w:lang w:val="ro-RO"/>
        </w:rPr>
        <w:t xml:space="preserve"> Lei </w:t>
      </w:r>
      <w:r w:rsidR="00F770A3" w:rsidRPr="00B2745E">
        <w:rPr>
          <w:rFonts w:ascii="Arial" w:hAnsi="Arial" w:cs="Arial"/>
          <w:noProof/>
          <w:lang w:val="ro-RO"/>
        </w:rPr>
        <w:t xml:space="preserve">/MWh, impozitul pe venituri suplimentare </w:t>
      </w:r>
      <w:r w:rsidR="00DF18C2" w:rsidRPr="00B2745E">
        <w:rPr>
          <w:rFonts w:ascii="Arial" w:hAnsi="Arial" w:cs="Arial"/>
          <w:noProof/>
          <w:lang w:val="ro-RO"/>
        </w:rPr>
        <w:t xml:space="preserve">ar fi de </w:t>
      </w:r>
      <w:r w:rsidR="005349C3" w:rsidRPr="00B2745E">
        <w:rPr>
          <w:rFonts w:ascii="Arial" w:hAnsi="Arial" w:cs="Arial"/>
          <w:noProof/>
          <w:lang w:val="ro-RO"/>
        </w:rPr>
        <w:t>32 de lei, adic</w:t>
      </w:r>
      <w:r w:rsidRPr="00B2745E">
        <w:rPr>
          <w:rFonts w:ascii="Arial" w:hAnsi="Arial" w:cs="Arial"/>
          <w:noProof/>
          <w:lang w:val="ro-RO"/>
        </w:rPr>
        <w:t xml:space="preserve">ă </w:t>
      </w:r>
      <w:r w:rsidR="00F770A3" w:rsidRPr="00B2745E">
        <w:rPr>
          <w:rFonts w:ascii="Arial" w:hAnsi="Arial" w:cs="Arial"/>
          <w:noProof/>
          <w:lang w:val="ro-RO"/>
        </w:rPr>
        <w:t xml:space="preserve">o </w:t>
      </w:r>
      <w:r w:rsidRPr="00B2745E">
        <w:rPr>
          <w:rFonts w:ascii="Arial" w:hAnsi="Arial" w:cs="Arial"/>
          <w:noProof/>
          <w:lang w:val="ro-RO"/>
        </w:rPr>
        <w:t xml:space="preserve">rată efectivă </w:t>
      </w:r>
      <w:r w:rsidR="00F770A3" w:rsidRPr="00B2745E">
        <w:rPr>
          <w:rFonts w:ascii="Arial" w:hAnsi="Arial" w:cs="Arial"/>
          <w:noProof/>
          <w:lang w:val="ro-RO"/>
        </w:rPr>
        <w:t xml:space="preserve">de taxare </w:t>
      </w:r>
      <w:r w:rsidR="005349C3" w:rsidRPr="00B2745E">
        <w:rPr>
          <w:rFonts w:ascii="Arial" w:hAnsi="Arial" w:cs="Arial"/>
          <w:noProof/>
          <w:lang w:val="ro-RO"/>
        </w:rPr>
        <w:t xml:space="preserve">a veniturilor </w:t>
      </w:r>
      <w:r w:rsidR="00F770A3" w:rsidRPr="00B2745E">
        <w:rPr>
          <w:rFonts w:ascii="Arial" w:hAnsi="Arial" w:cs="Arial"/>
          <w:noProof/>
          <w:lang w:val="ro-RO"/>
        </w:rPr>
        <w:t>de 16%</w:t>
      </w:r>
      <w:r w:rsidR="005349C3" w:rsidRPr="00B2745E">
        <w:rPr>
          <w:rFonts w:ascii="Arial" w:hAnsi="Arial" w:cs="Arial"/>
          <w:noProof/>
          <w:lang w:val="ro-RO"/>
        </w:rPr>
        <w:t>. Din ace</w:t>
      </w:r>
      <w:r w:rsidR="002957A4" w:rsidRPr="00B2745E">
        <w:rPr>
          <w:rFonts w:ascii="Arial" w:hAnsi="Arial" w:cs="Arial"/>
          <w:noProof/>
          <w:lang w:val="ro-RO"/>
        </w:rPr>
        <w:t xml:space="preserve">st impozit, </w:t>
      </w:r>
      <w:r w:rsidR="00F770A3" w:rsidRPr="00B2745E">
        <w:rPr>
          <w:rFonts w:ascii="Arial" w:hAnsi="Arial" w:cs="Arial"/>
          <w:noProof/>
          <w:lang w:val="ro-RO"/>
        </w:rPr>
        <w:t xml:space="preserve">titularul acordului petrolier </w:t>
      </w:r>
      <w:r w:rsidRPr="00B2745E">
        <w:rPr>
          <w:rFonts w:ascii="Arial" w:hAnsi="Arial" w:cs="Arial"/>
          <w:noProof/>
          <w:lang w:val="ro-RO"/>
        </w:rPr>
        <w:t xml:space="preserve">reține </w:t>
      </w:r>
      <w:r w:rsidR="00F770A3" w:rsidRPr="00B2745E">
        <w:rPr>
          <w:rFonts w:ascii="Arial" w:hAnsi="Arial" w:cs="Arial"/>
          <w:noProof/>
          <w:lang w:val="ro-RO"/>
        </w:rPr>
        <w:t xml:space="preserve">o </w:t>
      </w:r>
      <w:r w:rsidRPr="00B2745E">
        <w:rPr>
          <w:rFonts w:ascii="Arial" w:hAnsi="Arial" w:cs="Arial"/>
          <w:noProof/>
          <w:lang w:val="ro-RO"/>
        </w:rPr>
        <w:t>cotă</w:t>
      </w:r>
      <w:r w:rsidR="005349C3" w:rsidRPr="00B2745E">
        <w:rPr>
          <w:rFonts w:ascii="Arial" w:hAnsi="Arial" w:cs="Arial"/>
          <w:noProof/>
          <w:lang w:val="ro-RO"/>
        </w:rPr>
        <w:t>-parte</w:t>
      </w:r>
      <w:r w:rsidRPr="00B2745E">
        <w:rPr>
          <w:rFonts w:ascii="Arial" w:hAnsi="Arial" w:cs="Arial"/>
          <w:noProof/>
          <w:lang w:val="ro-RO"/>
        </w:rPr>
        <w:t xml:space="preserve"> </w:t>
      </w:r>
      <w:r w:rsidR="00F770A3" w:rsidRPr="00B2745E">
        <w:rPr>
          <w:rFonts w:ascii="Arial" w:hAnsi="Arial" w:cs="Arial"/>
          <w:noProof/>
          <w:lang w:val="ro-RO"/>
        </w:rPr>
        <w:t>de 40%</w:t>
      </w:r>
      <w:r w:rsidRPr="00B2745E">
        <w:rPr>
          <w:rFonts w:ascii="Arial" w:hAnsi="Arial" w:cs="Arial"/>
          <w:noProof/>
          <w:lang w:val="ro-RO"/>
        </w:rPr>
        <w:t>,</w:t>
      </w:r>
      <w:r w:rsidR="00F770A3" w:rsidRPr="00B2745E">
        <w:rPr>
          <w:rFonts w:ascii="Arial" w:hAnsi="Arial" w:cs="Arial"/>
          <w:noProof/>
          <w:lang w:val="ro-RO"/>
        </w:rPr>
        <w:t xml:space="preserve"> </w:t>
      </w:r>
      <w:r w:rsidRPr="00B2745E">
        <w:rPr>
          <w:rFonts w:ascii="Arial" w:hAnsi="Arial" w:cs="Arial"/>
          <w:noProof/>
          <w:lang w:val="ro-RO"/>
        </w:rPr>
        <w:t>î</w:t>
      </w:r>
      <w:r w:rsidR="00F770A3" w:rsidRPr="00B2745E">
        <w:rPr>
          <w:rFonts w:ascii="Arial" w:hAnsi="Arial" w:cs="Arial"/>
          <w:noProof/>
          <w:lang w:val="ro-RO"/>
        </w:rPr>
        <w:t xml:space="preserve">n vederea </w:t>
      </w:r>
      <w:r w:rsidRPr="00B2745E">
        <w:rPr>
          <w:rFonts w:ascii="Arial" w:hAnsi="Arial" w:cs="Arial"/>
          <w:noProof/>
          <w:lang w:val="ro-RO"/>
        </w:rPr>
        <w:t>recuperării investiției făcute</w:t>
      </w:r>
      <w:r w:rsidR="00F770A3" w:rsidRPr="00B2745E">
        <w:rPr>
          <w:rFonts w:ascii="Arial" w:hAnsi="Arial" w:cs="Arial"/>
          <w:noProof/>
          <w:lang w:val="ro-RO"/>
        </w:rPr>
        <w:t xml:space="preserve">, 60% </w:t>
      </w:r>
      <w:r w:rsidR="005349C3" w:rsidRPr="00B2745E">
        <w:rPr>
          <w:rFonts w:ascii="Arial" w:hAnsi="Arial" w:cs="Arial"/>
          <w:noProof/>
          <w:lang w:val="ro-RO"/>
        </w:rPr>
        <w:t>din impozit fiind v</w:t>
      </w:r>
      <w:r w:rsidRPr="00B2745E">
        <w:rPr>
          <w:rFonts w:ascii="Arial" w:hAnsi="Arial" w:cs="Arial"/>
          <w:noProof/>
          <w:lang w:val="ro-RO"/>
        </w:rPr>
        <w:t>ir</w:t>
      </w:r>
      <w:r w:rsidR="005349C3" w:rsidRPr="00B2745E">
        <w:rPr>
          <w:rFonts w:ascii="Arial" w:hAnsi="Arial" w:cs="Arial"/>
          <w:noProof/>
          <w:lang w:val="ro-RO"/>
        </w:rPr>
        <w:t xml:space="preserve">at efectiv </w:t>
      </w:r>
      <w:r w:rsidR="00F770A3" w:rsidRPr="00B2745E">
        <w:rPr>
          <w:rFonts w:ascii="Arial" w:hAnsi="Arial" w:cs="Arial"/>
          <w:noProof/>
          <w:lang w:val="ro-RO"/>
        </w:rPr>
        <w:t xml:space="preserve">la bugetul de stat, </w:t>
      </w:r>
      <w:r w:rsidRPr="00B2745E">
        <w:rPr>
          <w:rFonts w:ascii="Arial" w:hAnsi="Arial" w:cs="Arial"/>
          <w:noProof/>
          <w:lang w:val="ro-RO"/>
        </w:rPr>
        <w:t xml:space="preserve">adică </w:t>
      </w:r>
      <w:r w:rsidR="00F770A3" w:rsidRPr="00B2745E">
        <w:rPr>
          <w:rFonts w:ascii="Arial" w:hAnsi="Arial" w:cs="Arial"/>
          <w:noProof/>
          <w:lang w:val="ro-RO"/>
        </w:rPr>
        <w:t>9</w:t>
      </w:r>
      <w:r w:rsidRPr="00B2745E">
        <w:rPr>
          <w:rFonts w:ascii="Arial" w:hAnsi="Arial" w:cs="Arial"/>
          <w:noProof/>
          <w:lang w:val="ro-RO"/>
        </w:rPr>
        <w:t>,</w:t>
      </w:r>
      <w:r w:rsidR="00F770A3" w:rsidRPr="00B2745E">
        <w:rPr>
          <w:rFonts w:ascii="Arial" w:hAnsi="Arial" w:cs="Arial"/>
          <w:noProof/>
          <w:lang w:val="ro-RO"/>
        </w:rPr>
        <w:t xml:space="preserve">6% din totalul veniturilor suplimentare </w:t>
      </w:r>
      <w:r w:rsidRPr="00B2745E">
        <w:rPr>
          <w:rFonts w:ascii="Arial" w:hAnsi="Arial" w:cs="Arial"/>
          <w:noProof/>
          <w:lang w:val="ro-RO"/>
        </w:rPr>
        <w:t xml:space="preserve">obținute </w:t>
      </w:r>
      <w:r w:rsidR="00F770A3" w:rsidRPr="00B2745E">
        <w:rPr>
          <w:rFonts w:ascii="Arial" w:hAnsi="Arial" w:cs="Arial"/>
          <w:noProof/>
          <w:lang w:val="ro-RO"/>
        </w:rPr>
        <w:t xml:space="preserve">la un </w:t>
      </w:r>
      <w:r w:rsidRPr="00B2745E">
        <w:rPr>
          <w:rFonts w:ascii="Arial" w:hAnsi="Arial" w:cs="Arial"/>
          <w:noProof/>
          <w:lang w:val="ro-RO"/>
        </w:rPr>
        <w:t xml:space="preserve">preț </w:t>
      </w:r>
      <w:r w:rsidR="00F770A3" w:rsidRPr="00B2745E">
        <w:rPr>
          <w:rFonts w:ascii="Arial" w:hAnsi="Arial" w:cs="Arial"/>
          <w:noProof/>
          <w:lang w:val="ro-RO"/>
        </w:rPr>
        <w:t xml:space="preserve">de </w:t>
      </w:r>
      <w:r w:rsidRPr="00B2745E">
        <w:rPr>
          <w:rFonts w:ascii="Arial" w:hAnsi="Arial" w:cs="Arial"/>
          <w:noProof/>
          <w:lang w:val="ro-RO"/>
        </w:rPr>
        <w:t xml:space="preserve">vânzare </w:t>
      </w:r>
      <w:r w:rsidR="00F770A3" w:rsidRPr="00B2745E">
        <w:rPr>
          <w:rFonts w:ascii="Arial" w:hAnsi="Arial" w:cs="Arial"/>
          <w:noProof/>
          <w:lang w:val="ro-RO"/>
        </w:rPr>
        <w:t>de</w:t>
      </w:r>
      <w:r w:rsidRPr="00B2745E">
        <w:rPr>
          <w:rFonts w:ascii="Arial" w:hAnsi="Arial" w:cs="Arial"/>
          <w:noProof/>
          <w:lang w:val="ro-RO"/>
        </w:rPr>
        <w:t xml:space="preserve"> </w:t>
      </w:r>
      <w:r w:rsidR="00F770A3" w:rsidRPr="00B2745E">
        <w:rPr>
          <w:rFonts w:ascii="Arial" w:hAnsi="Arial" w:cs="Arial"/>
          <w:noProof/>
          <w:lang w:val="ro-RO"/>
        </w:rPr>
        <w:t>199</w:t>
      </w:r>
      <w:r w:rsidRPr="00B2745E">
        <w:rPr>
          <w:rFonts w:ascii="Arial" w:hAnsi="Arial" w:cs="Arial"/>
          <w:noProof/>
          <w:lang w:val="ro-RO"/>
        </w:rPr>
        <w:t xml:space="preserve"> Lei </w:t>
      </w:r>
      <w:r w:rsidR="00F770A3" w:rsidRPr="00B2745E">
        <w:rPr>
          <w:rFonts w:ascii="Arial" w:hAnsi="Arial" w:cs="Arial"/>
          <w:noProof/>
          <w:lang w:val="ro-RO"/>
        </w:rPr>
        <w:t xml:space="preserve">/MWh.  </w:t>
      </w:r>
    </w:p>
    <w:p w14:paraId="23AB458A" w14:textId="77777777" w:rsidR="0080463B" w:rsidRPr="00B2745E" w:rsidRDefault="0080463B" w:rsidP="00F770A3">
      <w:pPr>
        <w:rPr>
          <w:rFonts w:cs="Arial"/>
          <w:noProof/>
          <w:sz w:val="22"/>
          <w:szCs w:val="22"/>
        </w:rPr>
      </w:pPr>
    </w:p>
    <w:p w14:paraId="0D797F60" w14:textId="6075B791" w:rsidR="0080463B" w:rsidRPr="00B2745E" w:rsidRDefault="00F770A3" w:rsidP="00F770A3">
      <w:pPr>
        <w:rPr>
          <w:rFonts w:cs="Arial"/>
          <w:noProof/>
          <w:sz w:val="22"/>
          <w:szCs w:val="22"/>
        </w:rPr>
      </w:pPr>
      <w:r w:rsidRPr="00B2745E">
        <w:rPr>
          <w:rFonts w:cs="Arial"/>
          <w:noProof/>
          <w:sz w:val="22"/>
          <w:szCs w:val="22"/>
        </w:rPr>
        <w:t xml:space="preserve">Nu </w:t>
      </w:r>
      <w:r w:rsidR="0080463B" w:rsidRPr="00B2745E">
        <w:rPr>
          <w:rFonts w:cs="Arial"/>
          <w:noProof/>
          <w:sz w:val="22"/>
          <w:szCs w:val="22"/>
        </w:rPr>
        <w:t xml:space="preserve">în </w:t>
      </w:r>
      <w:r w:rsidRPr="00B2745E">
        <w:rPr>
          <w:rFonts w:cs="Arial"/>
          <w:noProof/>
          <w:sz w:val="22"/>
          <w:szCs w:val="22"/>
        </w:rPr>
        <w:t xml:space="preserve">ultimul </w:t>
      </w:r>
      <w:r w:rsidR="0080463B" w:rsidRPr="00B2745E">
        <w:rPr>
          <w:rFonts w:cs="Arial"/>
          <w:noProof/>
          <w:sz w:val="22"/>
          <w:szCs w:val="22"/>
        </w:rPr>
        <w:t>rând</w:t>
      </w:r>
      <w:r w:rsidRPr="00B2745E">
        <w:rPr>
          <w:rFonts w:cs="Arial"/>
          <w:noProof/>
          <w:sz w:val="22"/>
          <w:szCs w:val="22"/>
        </w:rPr>
        <w:t xml:space="preserve">, </w:t>
      </w:r>
      <w:r w:rsidR="0080463B" w:rsidRPr="00B2745E">
        <w:rPr>
          <w:rFonts w:cs="Arial"/>
          <w:noProof/>
          <w:sz w:val="22"/>
          <w:szCs w:val="22"/>
        </w:rPr>
        <w:t xml:space="preserve">modificările </w:t>
      </w:r>
      <w:r w:rsidRPr="00B2745E">
        <w:rPr>
          <w:rFonts w:cs="Arial"/>
          <w:noProof/>
          <w:sz w:val="22"/>
          <w:szCs w:val="22"/>
        </w:rPr>
        <w:t xml:space="preserve">aduse Legii Offshore </w:t>
      </w:r>
      <w:r w:rsidR="0080463B" w:rsidRPr="00B2745E">
        <w:rPr>
          <w:rFonts w:cs="Arial"/>
          <w:noProof/>
          <w:sz w:val="22"/>
          <w:szCs w:val="22"/>
        </w:rPr>
        <w:t xml:space="preserve">reglementează și potențiala destinație </w:t>
      </w:r>
      <w:r w:rsidRPr="00B2745E">
        <w:rPr>
          <w:rFonts w:cs="Arial"/>
          <w:noProof/>
          <w:sz w:val="22"/>
          <w:szCs w:val="22"/>
        </w:rPr>
        <w:t>de comercializare a gazelor extrase. Mai precis</w:t>
      </w:r>
      <w:r w:rsidR="0080463B" w:rsidRPr="00B2745E">
        <w:rPr>
          <w:rFonts w:cs="Arial"/>
          <w:noProof/>
          <w:sz w:val="22"/>
          <w:szCs w:val="22"/>
        </w:rPr>
        <w:t>:</w:t>
      </w:r>
    </w:p>
    <w:p w14:paraId="4A7E375F" w14:textId="66D4D197" w:rsidR="00F770A3" w:rsidRPr="00B2745E" w:rsidRDefault="00F770A3" w:rsidP="00F770A3">
      <w:pPr>
        <w:rPr>
          <w:rFonts w:cs="Arial"/>
          <w:noProof/>
          <w:sz w:val="22"/>
          <w:szCs w:val="22"/>
        </w:rPr>
      </w:pPr>
      <w:r w:rsidRPr="00B2745E">
        <w:rPr>
          <w:rFonts w:cs="Arial"/>
          <w:noProof/>
          <w:sz w:val="22"/>
          <w:szCs w:val="22"/>
        </w:rPr>
        <w:t xml:space="preserve"> </w:t>
      </w:r>
    </w:p>
    <w:p w14:paraId="671F15B2" w14:textId="7CFF299C" w:rsidR="00F770A3" w:rsidRPr="00B2745E" w:rsidRDefault="0080463B" w:rsidP="00F770A3">
      <w:pPr>
        <w:pStyle w:val="ListParagraph"/>
        <w:numPr>
          <w:ilvl w:val="0"/>
          <w:numId w:val="10"/>
        </w:numPr>
        <w:rPr>
          <w:rFonts w:ascii="Arial" w:hAnsi="Arial" w:cs="Arial"/>
          <w:noProof/>
          <w:lang w:val="ro-RO"/>
        </w:rPr>
      </w:pPr>
      <w:r w:rsidRPr="00B2745E">
        <w:rPr>
          <w:rFonts w:ascii="Arial" w:hAnsi="Arial" w:cs="Arial"/>
          <w:noProof/>
          <w:lang w:val="ro-RO"/>
        </w:rPr>
        <w:t>t</w:t>
      </w:r>
      <w:r w:rsidR="00F770A3" w:rsidRPr="00B2745E">
        <w:rPr>
          <w:rFonts w:ascii="Arial" w:hAnsi="Arial" w:cs="Arial"/>
          <w:noProof/>
          <w:lang w:val="ro-RO"/>
        </w:rPr>
        <w:t xml:space="preserve">itularii acordurilor au dreptul de a comercializa liber </w:t>
      </w:r>
      <w:r w:rsidR="00B4598C" w:rsidRPr="00B2745E">
        <w:rPr>
          <w:rFonts w:ascii="Arial" w:hAnsi="Arial" w:cs="Arial"/>
          <w:noProof/>
          <w:lang w:val="ro-RO"/>
        </w:rPr>
        <w:t xml:space="preserve">și </w:t>
      </w:r>
      <w:r w:rsidR="00F770A3" w:rsidRPr="00B2745E">
        <w:rPr>
          <w:rFonts w:ascii="Arial" w:hAnsi="Arial" w:cs="Arial"/>
          <w:noProof/>
          <w:lang w:val="ro-RO"/>
        </w:rPr>
        <w:t xml:space="preserve">la </w:t>
      </w:r>
      <w:r w:rsidR="00B4598C" w:rsidRPr="00B2745E">
        <w:rPr>
          <w:rFonts w:ascii="Arial" w:hAnsi="Arial" w:cs="Arial"/>
          <w:noProof/>
          <w:lang w:val="ro-RO"/>
        </w:rPr>
        <w:t xml:space="preserve">prețurile și cantitățile </w:t>
      </w:r>
      <w:r w:rsidR="00F770A3" w:rsidRPr="00B2745E">
        <w:rPr>
          <w:rFonts w:ascii="Arial" w:hAnsi="Arial" w:cs="Arial"/>
          <w:noProof/>
          <w:lang w:val="ro-RO"/>
        </w:rPr>
        <w:t xml:space="preserve">determinate de </w:t>
      </w:r>
      <w:r w:rsidR="00B4598C" w:rsidRPr="00B2745E">
        <w:rPr>
          <w:rFonts w:ascii="Arial" w:hAnsi="Arial" w:cs="Arial"/>
          <w:noProof/>
          <w:lang w:val="ro-RO"/>
        </w:rPr>
        <w:t>aceștia</w:t>
      </w:r>
      <w:r w:rsidR="00F770A3" w:rsidRPr="00B2745E">
        <w:rPr>
          <w:rFonts w:ascii="Arial" w:hAnsi="Arial" w:cs="Arial"/>
          <w:noProof/>
          <w:lang w:val="ro-RO"/>
        </w:rPr>
        <w:t xml:space="preserve">, ca </w:t>
      </w:r>
      <w:r w:rsidR="00B4598C" w:rsidRPr="00B2745E">
        <w:rPr>
          <w:rFonts w:ascii="Arial" w:hAnsi="Arial" w:cs="Arial"/>
          <w:noProof/>
          <w:lang w:val="ro-RO"/>
        </w:rPr>
        <w:t xml:space="preserve">regulă generală și </w:t>
      </w:r>
      <w:r w:rsidR="00F770A3" w:rsidRPr="00B2745E">
        <w:rPr>
          <w:rFonts w:ascii="Arial" w:hAnsi="Arial" w:cs="Arial"/>
          <w:noProof/>
          <w:lang w:val="ro-RO"/>
        </w:rPr>
        <w:t xml:space="preserve">cu respectarea </w:t>
      </w:r>
      <w:r w:rsidR="00B4598C" w:rsidRPr="00B2745E">
        <w:rPr>
          <w:rFonts w:ascii="Arial" w:hAnsi="Arial" w:cs="Arial"/>
          <w:noProof/>
          <w:lang w:val="ro-RO"/>
        </w:rPr>
        <w:t xml:space="preserve">legislației naționale și </w:t>
      </w:r>
      <w:r w:rsidR="00F770A3" w:rsidRPr="00B2745E">
        <w:rPr>
          <w:rFonts w:ascii="Arial" w:hAnsi="Arial" w:cs="Arial"/>
          <w:noProof/>
          <w:lang w:val="ro-RO"/>
        </w:rPr>
        <w:t xml:space="preserve">unionale incidente  </w:t>
      </w:r>
    </w:p>
    <w:p w14:paraId="2E904ADF" w14:textId="63B92274" w:rsidR="00F770A3" w:rsidRPr="00B2745E" w:rsidRDefault="00B4598C" w:rsidP="00F770A3">
      <w:pPr>
        <w:pStyle w:val="ListParagraph"/>
        <w:numPr>
          <w:ilvl w:val="0"/>
          <w:numId w:val="10"/>
        </w:numPr>
        <w:rPr>
          <w:rFonts w:ascii="Arial" w:hAnsi="Arial" w:cs="Arial"/>
          <w:noProof/>
          <w:lang w:val="ro-RO"/>
        </w:rPr>
      </w:pPr>
      <w:r w:rsidRPr="00B2745E">
        <w:rPr>
          <w:rFonts w:ascii="Arial" w:hAnsi="Arial" w:cs="Arial"/>
          <w:noProof/>
          <w:lang w:val="ro-RO"/>
        </w:rPr>
        <w:t>c</w:t>
      </w:r>
      <w:r w:rsidR="00F770A3" w:rsidRPr="00B2745E">
        <w:rPr>
          <w:rFonts w:ascii="Arial" w:hAnsi="Arial" w:cs="Arial"/>
          <w:noProof/>
          <w:lang w:val="ro-RO"/>
        </w:rPr>
        <w:t xml:space="preserve">u toate acestea, Guvernul </w:t>
      </w:r>
      <w:r w:rsidRPr="00B2745E">
        <w:rPr>
          <w:rFonts w:ascii="Arial" w:hAnsi="Arial" w:cs="Arial"/>
          <w:noProof/>
          <w:lang w:val="ro-RO"/>
        </w:rPr>
        <w:t xml:space="preserve">României </w:t>
      </w:r>
      <w:r w:rsidR="00F770A3" w:rsidRPr="00B2745E">
        <w:rPr>
          <w:rFonts w:ascii="Arial" w:hAnsi="Arial" w:cs="Arial"/>
          <w:noProof/>
          <w:lang w:val="ro-RO"/>
        </w:rPr>
        <w:t xml:space="preserve">poate introduce </w:t>
      </w:r>
      <w:r w:rsidRPr="00B2745E">
        <w:rPr>
          <w:rFonts w:ascii="Arial" w:hAnsi="Arial" w:cs="Arial"/>
          <w:noProof/>
          <w:lang w:val="ro-RO"/>
        </w:rPr>
        <w:t xml:space="preserve">restricții </w:t>
      </w:r>
      <w:r w:rsidR="00F770A3" w:rsidRPr="00B2745E">
        <w:rPr>
          <w:rFonts w:ascii="Arial" w:hAnsi="Arial" w:cs="Arial"/>
          <w:noProof/>
          <w:lang w:val="ro-RO"/>
        </w:rPr>
        <w:t xml:space="preserve">temporare de </w:t>
      </w:r>
      <w:r w:rsidRPr="00B2745E">
        <w:rPr>
          <w:rFonts w:ascii="Arial" w:hAnsi="Arial" w:cs="Arial"/>
          <w:noProof/>
          <w:lang w:val="ro-RO"/>
        </w:rPr>
        <w:t xml:space="preserve">preț și vânzare, </w:t>
      </w:r>
      <w:r w:rsidR="00F770A3" w:rsidRPr="00B2745E">
        <w:rPr>
          <w:rFonts w:ascii="Arial" w:hAnsi="Arial" w:cs="Arial"/>
          <w:noProof/>
          <w:lang w:val="ro-RO"/>
        </w:rPr>
        <w:t>pentru a asigura consumul casnic (</w:t>
      </w:r>
      <w:r w:rsidRPr="00B2745E">
        <w:rPr>
          <w:rFonts w:ascii="Arial" w:hAnsi="Arial" w:cs="Arial"/>
          <w:noProof/>
          <w:lang w:val="ro-RO"/>
        </w:rPr>
        <w:t xml:space="preserve">și producția </w:t>
      </w:r>
      <w:r w:rsidR="00F770A3" w:rsidRPr="00B2745E">
        <w:rPr>
          <w:rFonts w:ascii="Arial" w:hAnsi="Arial" w:cs="Arial"/>
          <w:noProof/>
          <w:lang w:val="ro-RO"/>
        </w:rPr>
        <w:t xml:space="preserve">de energie </w:t>
      </w:r>
      <w:r w:rsidRPr="00B2745E">
        <w:rPr>
          <w:rFonts w:ascii="Arial" w:hAnsi="Arial" w:cs="Arial"/>
          <w:noProof/>
          <w:lang w:val="ro-RO"/>
        </w:rPr>
        <w:t xml:space="preserve">termică </w:t>
      </w:r>
      <w:r w:rsidR="00F770A3" w:rsidRPr="00B2745E">
        <w:rPr>
          <w:rFonts w:ascii="Arial" w:hAnsi="Arial" w:cs="Arial"/>
          <w:noProof/>
          <w:lang w:val="ro-RO"/>
        </w:rPr>
        <w:t xml:space="preserve">pentru </w:t>
      </w:r>
      <w:r w:rsidRPr="00B2745E">
        <w:rPr>
          <w:rFonts w:ascii="Arial" w:hAnsi="Arial" w:cs="Arial"/>
          <w:noProof/>
          <w:lang w:val="ro-RO"/>
        </w:rPr>
        <w:t>populație</w:t>
      </w:r>
      <w:r w:rsidR="00F770A3" w:rsidRPr="00B2745E">
        <w:rPr>
          <w:rFonts w:ascii="Arial" w:hAnsi="Arial" w:cs="Arial"/>
          <w:noProof/>
          <w:lang w:val="ro-RO"/>
        </w:rPr>
        <w:t xml:space="preserve">) </w:t>
      </w:r>
      <w:r w:rsidRPr="00B2745E">
        <w:rPr>
          <w:rFonts w:ascii="Arial" w:hAnsi="Arial" w:cs="Arial"/>
          <w:noProof/>
          <w:lang w:val="ro-RO"/>
        </w:rPr>
        <w:t xml:space="preserve">și </w:t>
      </w:r>
      <w:r w:rsidR="00F770A3" w:rsidRPr="00B2745E">
        <w:rPr>
          <w:rFonts w:ascii="Arial" w:hAnsi="Arial" w:cs="Arial"/>
          <w:noProof/>
          <w:lang w:val="ro-RO"/>
        </w:rPr>
        <w:t xml:space="preserve">a </w:t>
      </w:r>
      <w:r w:rsidRPr="00B2745E">
        <w:rPr>
          <w:rFonts w:ascii="Arial" w:hAnsi="Arial" w:cs="Arial"/>
          <w:noProof/>
          <w:lang w:val="ro-RO"/>
        </w:rPr>
        <w:t xml:space="preserve">obligațiilor </w:t>
      </w:r>
      <w:r w:rsidR="00F770A3" w:rsidRPr="00B2745E">
        <w:rPr>
          <w:rFonts w:ascii="Arial" w:hAnsi="Arial" w:cs="Arial"/>
          <w:noProof/>
          <w:lang w:val="ro-RO"/>
        </w:rPr>
        <w:t xml:space="preserve">de solidaritate asumate de </w:t>
      </w:r>
      <w:r w:rsidRPr="00B2745E">
        <w:rPr>
          <w:rFonts w:ascii="Arial" w:hAnsi="Arial" w:cs="Arial"/>
          <w:noProof/>
          <w:lang w:val="ro-RO"/>
        </w:rPr>
        <w:t xml:space="preserve">România, </w:t>
      </w:r>
      <w:r w:rsidR="00F770A3" w:rsidRPr="00B2745E">
        <w:rPr>
          <w:rFonts w:ascii="Arial" w:hAnsi="Arial" w:cs="Arial"/>
          <w:noProof/>
          <w:lang w:val="ro-RO"/>
        </w:rPr>
        <w:t xml:space="preserve">ca parte din mecanismele Uniunii Europene  </w:t>
      </w:r>
    </w:p>
    <w:p w14:paraId="7095147E" w14:textId="6E78573D" w:rsidR="00F770A3" w:rsidRPr="00B2745E" w:rsidRDefault="00B4598C" w:rsidP="00F770A3">
      <w:pPr>
        <w:pStyle w:val="ListParagraph"/>
        <w:numPr>
          <w:ilvl w:val="0"/>
          <w:numId w:val="10"/>
        </w:numPr>
        <w:rPr>
          <w:rFonts w:ascii="Arial" w:hAnsi="Arial" w:cs="Arial"/>
          <w:noProof/>
          <w:lang w:val="ro-RO"/>
        </w:rPr>
      </w:pPr>
      <w:r w:rsidRPr="00B2745E">
        <w:rPr>
          <w:rFonts w:ascii="Arial" w:hAnsi="Arial" w:cs="Arial"/>
          <w:noProof/>
          <w:lang w:val="ro-RO"/>
        </w:rPr>
        <w:lastRenderedPageBreak/>
        <w:t>c</w:t>
      </w:r>
      <w:r w:rsidR="00F770A3" w:rsidRPr="00B2745E">
        <w:rPr>
          <w:rFonts w:ascii="Arial" w:hAnsi="Arial" w:cs="Arial"/>
          <w:noProof/>
          <w:lang w:val="ro-RO"/>
        </w:rPr>
        <w:t>antit</w:t>
      </w:r>
      <w:r w:rsidRPr="00B2745E">
        <w:rPr>
          <w:rFonts w:ascii="Arial" w:hAnsi="Arial" w:cs="Arial"/>
          <w:noProof/>
          <w:lang w:val="ro-RO"/>
        </w:rPr>
        <w:t>ăț</w:t>
      </w:r>
      <w:r w:rsidR="00F770A3" w:rsidRPr="00B2745E">
        <w:rPr>
          <w:rFonts w:ascii="Arial" w:hAnsi="Arial" w:cs="Arial"/>
          <w:noProof/>
          <w:lang w:val="ro-RO"/>
        </w:rPr>
        <w:t xml:space="preserve">ile comercializate </w:t>
      </w:r>
      <w:r w:rsidRPr="00B2745E">
        <w:rPr>
          <w:rFonts w:ascii="Arial" w:hAnsi="Arial" w:cs="Arial"/>
          <w:noProof/>
          <w:lang w:val="ro-RO"/>
        </w:rPr>
        <w:t xml:space="preserve">în </w:t>
      </w:r>
      <w:r w:rsidR="00F770A3" w:rsidRPr="00B2745E">
        <w:rPr>
          <w:rFonts w:ascii="Arial" w:hAnsi="Arial" w:cs="Arial"/>
          <w:noProof/>
          <w:lang w:val="ro-RO"/>
        </w:rPr>
        <w:t xml:space="preserve">baza contractelor bilaterale vor fi oferite cu prioritate statului </w:t>
      </w:r>
      <w:r w:rsidRPr="00B2745E">
        <w:rPr>
          <w:rFonts w:ascii="Arial" w:hAnsi="Arial" w:cs="Arial"/>
          <w:noProof/>
          <w:lang w:val="ro-RO"/>
        </w:rPr>
        <w:t>român</w:t>
      </w:r>
      <w:r w:rsidR="00F770A3" w:rsidRPr="00B2745E">
        <w:rPr>
          <w:rFonts w:ascii="Arial" w:hAnsi="Arial" w:cs="Arial"/>
          <w:noProof/>
          <w:lang w:val="ro-RO"/>
        </w:rPr>
        <w:t xml:space="preserve">, care va accepta sau refuza oferta </w:t>
      </w:r>
      <w:r w:rsidRPr="00B2745E">
        <w:rPr>
          <w:rFonts w:ascii="Arial" w:hAnsi="Arial" w:cs="Arial"/>
          <w:noProof/>
          <w:lang w:val="ro-RO"/>
        </w:rPr>
        <w:t xml:space="preserve">în </w:t>
      </w:r>
      <w:r w:rsidR="00F770A3" w:rsidRPr="00B2745E">
        <w:rPr>
          <w:rFonts w:ascii="Arial" w:hAnsi="Arial" w:cs="Arial"/>
          <w:noProof/>
          <w:lang w:val="ro-RO"/>
        </w:rPr>
        <w:t xml:space="preserve">termen de 7 zile de </w:t>
      </w:r>
      <w:r w:rsidR="006475BA" w:rsidRPr="00B2745E">
        <w:rPr>
          <w:rFonts w:ascii="Arial" w:hAnsi="Arial" w:cs="Arial"/>
          <w:noProof/>
          <w:lang w:val="ro-RO"/>
        </w:rPr>
        <w:t xml:space="preserve">la </w:t>
      </w:r>
      <w:r w:rsidR="00F770A3" w:rsidRPr="00B2745E">
        <w:rPr>
          <w:rFonts w:ascii="Arial" w:hAnsi="Arial" w:cs="Arial"/>
          <w:noProof/>
          <w:lang w:val="ro-RO"/>
        </w:rPr>
        <w:t>primirea ei</w:t>
      </w:r>
      <w:r w:rsidR="00CB453D" w:rsidRPr="00B2745E">
        <w:rPr>
          <w:rFonts w:ascii="Arial" w:hAnsi="Arial" w:cs="Arial"/>
          <w:noProof/>
          <w:lang w:val="ro-RO"/>
        </w:rPr>
        <w:t>.</w:t>
      </w:r>
      <w:r w:rsidR="00F770A3" w:rsidRPr="00B2745E">
        <w:rPr>
          <w:rFonts w:ascii="Arial" w:hAnsi="Arial" w:cs="Arial"/>
          <w:noProof/>
          <w:lang w:val="ro-RO"/>
        </w:rPr>
        <w:t xml:space="preserve"> </w:t>
      </w:r>
    </w:p>
    <w:p w14:paraId="22400A8E" w14:textId="1A0A7E94" w:rsidR="00F770A3" w:rsidRPr="00B2745E" w:rsidRDefault="00F770A3" w:rsidP="00F770A3">
      <w:pPr>
        <w:rPr>
          <w:noProof/>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121"/>
      </w:tblGrid>
      <w:tr w:rsidR="00327D59" w:rsidRPr="00B2745E" w14:paraId="0F6E50FC" w14:textId="77777777" w:rsidTr="005D40FC">
        <w:tc>
          <w:tcPr>
            <w:tcW w:w="4623" w:type="dxa"/>
          </w:tcPr>
          <w:p w14:paraId="689806D9" w14:textId="77777777" w:rsidR="00327D59" w:rsidRPr="00B2745E" w:rsidRDefault="00327D59" w:rsidP="005D40FC">
            <w:pPr>
              <w:rPr>
                <w:noProof/>
                <w:sz w:val="22"/>
                <w:szCs w:val="22"/>
              </w:rPr>
            </w:pPr>
            <w:r w:rsidRPr="00B2745E">
              <w:rPr>
                <w:noProof/>
                <w:sz w:val="22"/>
                <w:szCs w:val="22"/>
                <w:lang w:eastAsia="ro-RO"/>
              </w:rPr>
              <mc:AlternateContent>
                <mc:Choice Requires="wps">
                  <w:drawing>
                    <wp:anchor distT="45720" distB="45720" distL="114300" distR="114300" simplePos="0" relativeHeight="251659264" behindDoc="0" locked="0" layoutInCell="1" allowOverlap="1" wp14:anchorId="16257E2F" wp14:editId="3766921D">
                      <wp:simplePos x="0" y="0"/>
                      <wp:positionH relativeFrom="column">
                        <wp:posOffset>-635</wp:posOffset>
                      </wp:positionH>
                      <wp:positionV relativeFrom="paragraph">
                        <wp:posOffset>193675</wp:posOffset>
                      </wp:positionV>
                      <wp:extent cx="2875280" cy="1404620"/>
                      <wp:effectExtent l="0" t="0" r="2032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404620"/>
                              </a:xfrm>
                              <a:prstGeom prst="rect">
                                <a:avLst/>
                              </a:prstGeom>
                              <a:solidFill>
                                <a:srgbClr val="FFFFFF"/>
                              </a:solidFill>
                              <a:ln w="9525">
                                <a:solidFill>
                                  <a:srgbClr val="000000"/>
                                </a:solidFill>
                                <a:miter lim="800000"/>
                                <a:headEnd/>
                                <a:tailEnd/>
                              </a:ln>
                            </wps:spPr>
                            <wps:txbx>
                              <w:txbxContent>
                                <w:p w14:paraId="25CF5C2C" w14:textId="14C109AE" w:rsidR="00327D59" w:rsidRPr="0033170C" w:rsidRDefault="00327D59" w:rsidP="00327D59">
                                  <w:pPr>
                                    <w:rPr>
                                      <w:b/>
                                      <w:bCs/>
                                      <w:noProof/>
                                      <w:sz w:val="16"/>
                                      <w:szCs w:val="16"/>
                                    </w:rPr>
                                  </w:pPr>
                                  <w:r w:rsidRPr="0033170C">
                                    <w:rPr>
                                      <w:b/>
                                      <w:bCs/>
                                      <w:noProof/>
                                      <w:sz w:val="16"/>
                                      <w:szCs w:val="16"/>
                                    </w:rPr>
                                    <w:t xml:space="preserve">Tabel 1 </w:t>
                                  </w:r>
                                  <w:r w:rsidRPr="000318C7">
                                    <w:rPr>
                                      <w:noProof/>
                                      <w:sz w:val="16"/>
                                      <w:szCs w:val="16"/>
                                    </w:rPr>
                                    <w:t>(valorile dintre paranteze reprezintă pragurile de impozitare actualizate cu Indicele Preturilor de Consum pentru perioada 1 ianuarie 2019 – 31 mai 2022</w:t>
                                  </w:r>
                                  <w:r>
                                    <w:rPr>
                                      <w:noProof/>
                                      <w:sz w:val="16"/>
                                      <w:szCs w:val="16"/>
                                    </w:rPr>
                                    <w:t xml:space="preserve"> in valoare de 124</w:t>
                                  </w:r>
                                  <w:r w:rsidR="006475BA">
                                    <w:rPr>
                                      <w:noProof/>
                                      <w:sz w:val="16"/>
                                      <w:szCs w:val="16"/>
                                    </w:rPr>
                                    <w:t>,</w:t>
                                  </w:r>
                                  <w:r>
                                    <w:rPr>
                                      <w:noProof/>
                                      <w:sz w:val="16"/>
                                      <w:szCs w:val="16"/>
                                    </w:rPr>
                                    <w:t>35%</w:t>
                                  </w:r>
                                  <w:r w:rsidRPr="000318C7">
                                    <w:rPr>
                                      <w:noProof/>
                                      <w:sz w:val="16"/>
                                      <w:szCs w:val="16"/>
                                    </w:rPr>
                                    <w:t>)</w:t>
                                  </w:r>
                                </w:p>
                                <w:tbl>
                                  <w:tblPr>
                                    <w:tblW w:w="4314" w:type="dxa"/>
                                    <w:tblCellMar>
                                      <w:left w:w="0" w:type="dxa"/>
                                      <w:right w:w="0" w:type="dxa"/>
                                    </w:tblCellMar>
                                    <w:tblLook w:val="0420" w:firstRow="1" w:lastRow="0" w:firstColumn="0" w:lastColumn="0" w:noHBand="0" w:noVBand="1"/>
                                  </w:tblPr>
                                  <w:tblGrid>
                                    <w:gridCol w:w="1438"/>
                                    <w:gridCol w:w="1438"/>
                                    <w:gridCol w:w="1438"/>
                                  </w:tblGrid>
                                  <w:tr w:rsidR="00327D59" w:rsidRPr="00B4598C" w14:paraId="22D86E49" w14:textId="77777777" w:rsidTr="008C3E96">
                                    <w:trPr>
                                      <w:trHeight w:val="217"/>
                                    </w:trPr>
                                    <w:tc>
                                      <w:tcPr>
                                        <w:tcW w:w="1438" w:type="dxa"/>
                                        <w:tcBorders>
                                          <w:top w:val="single" w:sz="8" w:space="0" w:color="FFFFFF"/>
                                          <w:left w:val="single" w:sz="8" w:space="0" w:color="FFFFFF"/>
                                          <w:bottom w:val="single" w:sz="24" w:space="0" w:color="FFFFFF"/>
                                          <w:right w:val="single" w:sz="8" w:space="0" w:color="FFFFFF"/>
                                        </w:tcBorders>
                                        <w:shd w:val="clear" w:color="auto" w:fill="FFE600"/>
                                        <w:tcMar>
                                          <w:top w:w="72" w:type="dxa"/>
                                          <w:left w:w="144" w:type="dxa"/>
                                          <w:bottom w:w="72" w:type="dxa"/>
                                          <w:right w:w="144" w:type="dxa"/>
                                        </w:tcMar>
                                        <w:hideMark/>
                                      </w:tcPr>
                                      <w:p w14:paraId="1F0FD429" w14:textId="77777777" w:rsidR="00327D59" w:rsidRDefault="00327D59" w:rsidP="00D1281A">
                                        <w:pPr>
                                          <w:rPr>
                                            <w:b/>
                                            <w:bCs/>
                                            <w:noProof/>
                                            <w:sz w:val="16"/>
                                            <w:szCs w:val="16"/>
                                          </w:rPr>
                                        </w:pPr>
                                        <w:r w:rsidRPr="0033170C">
                                          <w:rPr>
                                            <w:b/>
                                            <w:bCs/>
                                            <w:noProof/>
                                            <w:sz w:val="16"/>
                                            <w:szCs w:val="16"/>
                                          </w:rPr>
                                          <w:t>Preț minim</w:t>
                                        </w:r>
                                      </w:p>
                                      <w:p w14:paraId="3D4AEA02" w14:textId="77777777" w:rsidR="00327D59" w:rsidRPr="0033170C" w:rsidRDefault="00327D59" w:rsidP="00D1281A">
                                        <w:pPr>
                                          <w:rPr>
                                            <w:noProof/>
                                            <w:sz w:val="16"/>
                                            <w:szCs w:val="16"/>
                                          </w:rPr>
                                        </w:pPr>
                                        <w:r>
                                          <w:rPr>
                                            <w:b/>
                                            <w:bCs/>
                                            <w:noProof/>
                                            <w:sz w:val="16"/>
                                            <w:szCs w:val="16"/>
                                          </w:rPr>
                                          <w:t>(RON/MWh)</w:t>
                                        </w:r>
                                      </w:p>
                                    </w:tc>
                                    <w:tc>
                                      <w:tcPr>
                                        <w:tcW w:w="1438" w:type="dxa"/>
                                        <w:tcBorders>
                                          <w:top w:val="single" w:sz="8" w:space="0" w:color="FFFFFF"/>
                                          <w:left w:val="single" w:sz="8" w:space="0" w:color="FFFFFF"/>
                                          <w:bottom w:val="single" w:sz="24" w:space="0" w:color="FFFFFF"/>
                                          <w:right w:val="single" w:sz="8" w:space="0" w:color="FFFFFF"/>
                                        </w:tcBorders>
                                        <w:shd w:val="clear" w:color="auto" w:fill="FFE600"/>
                                        <w:tcMar>
                                          <w:top w:w="72" w:type="dxa"/>
                                          <w:left w:w="144" w:type="dxa"/>
                                          <w:bottom w:w="72" w:type="dxa"/>
                                          <w:right w:w="144" w:type="dxa"/>
                                        </w:tcMar>
                                        <w:hideMark/>
                                      </w:tcPr>
                                      <w:p w14:paraId="7E0022A5" w14:textId="77777777" w:rsidR="00327D59" w:rsidRDefault="00327D59" w:rsidP="00D1281A">
                                        <w:pPr>
                                          <w:rPr>
                                            <w:b/>
                                            <w:bCs/>
                                            <w:noProof/>
                                            <w:sz w:val="16"/>
                                            <w:szCs w:val="16"/>
                                          </w:rPr>
                                        </w:pPr>
                                        <w:r w:rsidRPr="0033170C">
                                          <w:rPr>
                                            <w:b/>
                                            <w:bCs/>
                                            <w:noProof/>
                                            <w:sz w:val="16"/>
                                            <w:szCs w:val="16"/>
                                          </w:rPr>
                                          <w:t>Preț maxim</w:t>
                                        </w:r>
                                      </w:p>
                                      <w:p w14:paraId="663DFE90" w14:textId="77777777" w:rsidR="00327D59" w:rsidRPr="0033170C" w:rsidRDefault="00327D59" w:rsidP="00D1281A">
                                        <w:pPr>
                                          <w:rPr>
                                            <w:noProof/>
                                            <w:sz w:val="16"/>
                                            <w:szCs w:val="16"/>
                                          </w:rPr>
                                        </w:pPr>
                                        <w:r>
                                          <w:rPr>
                                            <w:b/>
                                            <w:bCs/>
                                            <w:noProof/>
                                            <w:sz w:val="16"/>
                                            <w:szCs w:val="16"/>
                                          </w:rPr>
                                          <w:t>(RON/MWh)</w:t>
                                        </w:r>
                                      </w:p>
                                    </w:tc>
                                    <w:tc>
                                      <w:tcPr>
                                        <w:tcW w:w="1438" w:type="dxa"/>
                                        <w:tcBorders>
                                          <w:top w:val="single" w:sz="8" w:space="0" w:color="FFFFFF"/>
                                          <w:left w:val="single" w:sz="8" w:space="0" w:color="FFFFFF"/>
                                          <w:bottom w:val="single" w:sz="24" w:space="0" w:color="FFFFFF"/>
                                          <w:right w:val="single" w:sz="8" w:space="0" w:color="FFFFFF"/>
                                        </w:tcBorders>
                                        <w:shd w:val="clear" w:color="auto" w:fill="FFE600"/>
                                        <w:tcMar>
                                          <w:top w:w="72" w:type="dxa"/>
                                          <w:left w:w="144" w:type="dxa"/>
                                          <w:bottom w:w="72" w:type="dxa"/>
                                          <w:right w:w="144" w:type="dxa"/>
                                        </w:tcMar>
                                        <w:hideMark/>
                                      </w:tcPr>
                                      <w:p w14:paraId="735BC66E" w14:textId="77777777" w:rsidR="00327D59" w:rsidRPr="0033170C" w:rsidRDefault="00327D59" w:rsidP="00D1281A">
                                        <w:pPr>
                                          <w:rPr>
                                            <w:noProof/>
                                            <w:sz w:val="16"/>
                                            <w:szCs w:val="16"/>
                                          </w:rPr>
                                        </w:pPr>
                                        <w:r w:rsidRPr="0033170C">
                                          <w:rPr>
                                            <w:b/>
                                            <w:bCs/>
                                            <w:noProof/>
                                            <w:sz w:val="16"/>
                                            <w:szCs w:val="16"/>
                                          </w:rPr>
                                          <w:t>Rata de impozitare</w:t>
                                        </w:r>
                                      </w:p>
                                    </w:tc>
                                  </w:tr>
                                  <w:tr w:rsidR="00327D59" w:rsidRPr="00B4598C" w14:paraId="6320C6AF" w14:textId="77777777" w:rsidTr="008C3E96">
                                    <w:trPr>
                                      <w:trHeight w:val="206"/>
                                    </w:trPr>
                                    <w:tc>
                                      <w:tcPr>
                                        <w:tcW w:w="143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40BB7F7" w14:textId="77777777" w:rsidR="00327D59" w:rsidRPr="0033170C" w:rsidRDefault="00327D59" w:rsidP="00D1281A">
                                        <w:pPr>
                                          <w:rPr>
                                            <w:noProof/>
                                            <w:sz w:val="16"/>
                                            <w:szCs w:val="16"/>
                                          </w:rPr>
                                        </w:pPr>
                                        <w:r w:rsidRPr="0033170C">
                                          <w:rPr>
                                            <w:b/>
                                            <w:bCs/>
                                            <w:noProof/>
                                            <w:sz w:val="16"/>
                                            <w:szCs w:val="16"/>
                                          </w:rPr>
                                          <w:t>85</w:t>
                                        </w:r>
                                        <w:r>
                                          <w:rPr>
                                            <w:b/>
                                            <w:bCs/>
                                            <w:noProof/>
                                            <w:sz w:val="16"/>
                                            <w:szCs w:val="16"/>
                                          </w:rPr>
                                          <w:t xml:space="preserve"> (106)</w:t>
                                        </w:r>
                                      </w:p>
                                    </w:tc>
                                    <w:tc>
                                      <w:tcPr>
                                        <w:tcW w:w="143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09D6994" w14:textId="77777777" w:rsidR="00327D59" w:rsidRPr="0033170C" w:rsidRDefault="00327D59" w:rsidP="00D1281A">
                                        <w:pPr>
                                          <w:rPr>
                                            <w:noProof/>
                                            <w:sz w:val="16"/>
                                            <w:szCs w:val="16"/>
                                          </w:rPr>
                                        </w:pPr>
                                        <w:r w:rsidRPr="0033170C">
                                          <w:rPr>
                                            <w:b/>
                                            <w:bCs/>
                                            <w:noProof/>
                                            <w:sz w:val="16"/>
                                            <w:szCs w:val="16"/>
                                          </w:rPr>
                                          <w:t>100</w:t>
                                        </w:r>
                                        <w:r>
                                          <w:rPr>
                                            <w:b/>
                                            <w:bCs/>
                                            <w:noProof/>
                                            <w:sz w:val="16"/>
                                            <w:szCs w:val="16"/>
                                          </w:rPr>
                                          <w:t xml:space="preserve"> (124)</w:t>
                                        </w:r>
                                      </w:p>
                                    </w:tc>
                                    <w:tc>
                                      <w:tcPr>
                                        <w:tcW w:w="143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1E82D5B" w14:textId="77777777" w:rsidR="00327D59" w:rsidRPr="0033170C" w:rsidRDefault="00327D59" w:rsidP="00D1281A">
                                        <w:pPr>
                                          <w:rPr>
                                            <w:noProof/>
                                            <w:sz w:val="16"/>
                                            <w:szCs w:val="16"/>
                                          </w:rPr>
                                        </w:pPr>
                                        <w:r w:rsidRPr="0033170C">
                                          <w:rPr>
                                            <w:b/>
                                            <w:bCs/>
                                            <w:noProof/>
                                            <w:sz w:val="16"/>
                                            <w:szCs w:val="16"/>
                                          </w:rPr>
                                          <w:t>15%</w:t>
                                        </w:r>
                                      </w:p>
                                    </w:tc>
                                  </w:tr>
                                  <w:tr w:rsidR="00327D59" w:rsidRPr="00B4598C" w14:paraId="426D714F"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7B73247A" w14:textId="77777777" w:rsidR="00327D59" w:rsidRPr="0033170C" w:rsidRDefault="00327D59" w:rsidP="00D1281A">
                                        <w:pPr>
                                          <w:rPr>
                                            <w:noProof/>
                                            <w:sz w:val="16"/>
                                            <w:szCs w:val="16"/>
                                          </w:rPr>
                                        </w:pPr>
                                        <w:r w:rsidRPr="0033170C">
                                          <w:rPr>
                                            <w:b/>
                                            <w:bCs/>
                                            <w:noProof/>
                                            <w:sz w:val="16"/>
                                            <w:szCs w:val="16"/>
                                          </w:rPr>
                                          <w:t>100</w:t>
                                        </w:r>
                                        <w:r>
                                          <w:rPr>
                                            <w:b/>
                                            <w:bCs/>
                                            <w:noProof/>
                                            <w:sz w:val="16"/>
                                            <w:szCs w:val="16"/>
                                          </w:rPr>
                                          <w:t xml:space="preserve"> (124</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0B4B54A9" w14:textId="77777777" w:rsidR="00327D59" w:rsidRPr="0033170C" w:rsidRDefault="00327D59" w:rsidP="00D1281A">
                                        <w:pPr>
                                          <w:rPr>
                                            <w:noProof/>
                                            <w:sz w:val="16"/>
                                            <w:szCs w:val="16"/>
                                          </w:rPr>
                                        </w:pPr>
                                        <w:r w:rsidRPr="0033170C">
                                          <w:rPr>
                                            <w:b/>
                                            <w:bCs/>
                                            <w:noProof/>
                                            <w:sz w:val="16"/>
                                            <w:szCs w:val="16"/>
                                          </w:rPr>
                                          <w:t>115</w:t>
                                        </w:r>
                                        <w:r>
                                          <w:rPr>
                                            <w:b/>
                                            <w:bCs/>
                                            <w:noProof/>
                                            <w:sz w:val="16"/>
                                            <w:szCs w:val="16"/>
                                          </w:rPr>
                                          <w:t xml:space="preserve"> (143)</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63FB8014" w14:textId="77777777" w:rsidR="00327D59" w:rsidRPr="0033170C" w:rsidRDefault="00327D59" w:rsidP="00D1281A">
                                        <w:pPr>
                                          <w:rPr>
                                            <w:noProof/>
                                            <w:sz w:val="16"/>
                                            <w:szCs w:val="16"/>
                                          </w:rPr>
                                        </w:pPr>
                                        <w:r w:rsidRPr="0033170C">
                                          <w:rPr>
                                            <w:b/>
                                            <w:bCs/>
                                            <w:noProof/>
                                            <w:sz w:val="16"/>
                                            <w:szCs w:val="16"/>
                                          </w:rPr>
                                          <w:t>30%</w:t>
                                        </w:r>
                                      </w:p>
                                    </w:tc>
                                  </w:tr>
                                  <w:tr w:rsidR="00327D59" w:rsidRPr="00B4598C" w14:paraId="7043A6EC"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BA0A8B4" w14:textId="77777777" w:rsidR="00327D59" w:rsidRPr="0033170C" w:rsidRDefault="00327D59" w:rsidP="00D1281A">
                                        <w:pPr>
                                          <w:rPr>
                                            <w:noProof/>
                                            <w:sz w:val="16"/>
                                            <w:szCs w:val="16"/>
                                          </w:rPr>
                                        </w:pPr>
                                        <w:r w:rsidRPr="0033170C">
                                          <w:rPr>
                                            <w:b/>
                                            <w:bCs/>
                                            <w:noProof/>
                                            <w:sz w:val="16"/>
                                            <w:szCs w:val="16"/>
                                          </w:rPr>
                                          <w:t>115</w:t>
                                        </w:r>
                                        <w:r>
                                          <w:rPr>
                                            <w:b/>
                                            <w:bCs/>
                                            <w:noProof/>
                                            <w:sz w:val="16"/>
                                            <w:szCs w:val="16"/>
                                          </w:rPr>
                                          <w:t xml:space="preserve"> (143)</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D750CC1" w14:textId="77777777" w:rsidR="00327D59" w:rsidRPr="0033170C" w:rsidRDefault="00327D59" w:rsidP="00D1281A">
                                        <w:pPr>
                                          <w:rPr>
                                            <w:noProof/>
                                            <w:sz w:val="16"/>
                                            <w:szCs w:val="16"/>
                                          </w:rPr>
                                        </w:pPr>
                                        <w:r w:rsidRPr="0033170C">
                                          <w:rPr>
                                            <w:b/>
                                            <w:bCs/>
                                            <w:noProof/>
                                            <w:sz w:val="16"/>
                                            <w:szCs w:val="16"/>
                                          </w:rPr>
                                          <w:t>130</w:t>
                                        </w:r>
                                        <w:r>
                                          <w:rPr>
                                            <w:b/>
                                            <w:bCs/>
                                            <w:noProof/>
                                            <w:sz w:val="16"/>
                                            <w:szCs w:val="16"/>
                                          </w:rPr>
                                          <w:t xml:space="preserve"> (162)</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E77429E" w14:textId="77777777" w:rsidR="00327D59" w:rsidRPr="0033170C" w:rsidRDefault="00327D59" w:rsidP="00D1281A">
                                        <w:pPr>
                                          <w:rPr>
                                            <w:noProof/>
                                            <w:sz w:val="16"/>
                                            <w:szCs w:val="16"/>
                                          </w:rPr>
                                        </w:pPr>
                                        <w:r w:rsidRPr="0033170C">
                                          <w:rPr>
                                            <w:b/>
                                            <w:bCs/>
                                            <w:noProof/>
                                            <w:sz w:val="16"/>
                                            <w:szCs w:val="16"/>
                                          </w:rPr>
                                          <w:t>35%</w:t>
                                        </w:r>
                                      </w:p>
                                    </w:tc>
                                  </w:tr>
                                  <w:tr w:rsidR="00327D59" w:rsidRPr="00B4598C" w14:paraId="69797145"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6E67B1EE" w14:textId="77777777" w:rsidR="00327D59" w:rsidRPr="0033170C" w:rsidRDefault="00327D59" w:rsidP="00D1281A">
                                        <w:pPr>
                                          <w:rPr>
                                            <w:noProof/>
                                            <w:sz w:val="16"/>
                                            <w:szCs w:val="16"/>
                                          </w:rPr>
                                        </w:pPr>
                                        <w:r w:rsidRPr="0033170C">
                                          <w:rPr>
                                            <w:b/>
                                            <w:bCs/>
                                            <w:noProof/>
                                            <w:sz w:val="16"/>
                                            <w:szCs w:val="16"/>
                                          </w:rPr>
                                          <w:t>130</w:t>
                                        </w:r>
                                        <w:r>
                                          <w:rPr>
                                            <w:b/>
                                            <w:bCs/>
                                            <w:noProof/>
                                            <w:sz w:val="16"/>
                                            <w:szCs w:val="16"/>
                                          </w:rPr>
                                          <w:t xml:space="preserve"> (162) </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1B21DD97" w14:textId="77777777" w:rsidR="00327D59" w:rsidRPr="0033170C" w:rsidRDefault="00327D59" w:rsidP="00D1281A">
                                        <w:pPr>
                                          <w:rPr>
                                            <w:noProof/>
                                            <w:sz w:val="16"/>
                                            <w:szCs w:val="16"/>
                                          </w:rPr>
                                        </w:pPr>
                                        <w:r w:rsidRPr="0033170C">
                                          <w:rPr>
                                            <w:b/>
                                            <w:bCs/>
                                            <w:noProof/>
                                            <w:sz w:val="16"/>
                                            <w:szCs w:val="16"/>
                                          </w:rPr>
                                          <w:t>145</w:t>
                                        </w:r>
                                        <w:r>
                                          <w:rPr>
                                            <w:b/>
                                            <w:bCs/>
                                            <w:noProof/>
                                            <w:sz w:val="16"/>
                                            <w:szCs w:val="16"/>
                                          </w:rPr>
                                          <w:t xml:space="preserve"> (180)</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7D3EB382" w14:textId="77777777" w:rsidR="00327D59" w:rsidRPr="0033170C" w:rsidRDefault="00327D59" w:rsidP="00D1281A">
                                        <w:pPr>
                                          <w:rPr>
                                            <w:noProof/>
                                            <w:sz w:val="16"/>
                                            <w:szCs w:val="16"/>
                                          </w:rPr>
                                        </w:pPr>
                                        <w:r w:rsidRPr="0033170C">
                                          <w:rPr>
                                            <w:b/>
                                            <w:bCs/>
                                            <w:noProof/>
                                            <w:sz w:val="16"/>
                                            <w:szCs w:val="16"/>
                                          </w:rPr>
                                          <w:t>40%</w:t>
                                        </w:r>
                                      </w:p>
                                    </w:tc>
                                  </w:tr>
                                  <w:tr w:rsidR="00327D59" w:rsidRPr="00B4598C" w14:paraId="0D7FC527"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2FB4565" w14:textId="77777777" w:rsidR="00327D59" w:rsidRPr="0033170C" w:rsidRDefault="00327D59" w:rsidP="00D1281A">
                                        <w:pPr>
                                          <w:rPr>
                                            <w:noProof/>
                                            <w:sz w:val="16"/>
                                            <w:szCs w:val="16"/>
                                          </w:rPr>
                                        </w:pPr>
                                        <w:r w:rsidRPr="0033170C">
                                          <w:rPr>
                                            <w:b/>
                                            <w:bCs/>
                                            <w:noProof/>
                                            <w:sz w:val="16"/>
                                            <w:szCs w:val="16"/>
                                          </w:rPr>
                                          <w:t>145</w:t>
                                        </w:r>
                                        <w:r>
                                          <w:rPr>
                                            <w:b/>
                                            <w:bCs/>
                                            <w:noProof/>
                                            <w:sz w:val="16"/>
                                            <w:szCs w:val="16"/>
                                          </w:rPr>
                                          <w:t xml:space="preserve"> (180) </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CA23206" w14:textId="77777777" w:rsidR="00327D59" w:rsidRPr="0033170C" w:rsidRDefault="00327D59" w:rsidP="00D1281A">
                                        <w:pPr>
                                          <w:rPr>
                                            <w:noProof/>
                                            <w:sz w:val="16"/>
                                            <w:szCs w:val="16"/>
                                          </w:rPr>
                                        </w:pPr>
                                        <w:r w:rsidRPr="0033170C">
                                          <w:rPr>
                                            <w:b/>
                                            <w:bCs/>
                                            <w:noProof/>
                                            <w:sz w:val="16"/>
                                            <w:szCs w:val="16"/>
                                          </w:rPr>
                                          <w:t>160</w:t>
                                        </w:r>
                                        <w:r>
                                          <w:rPr>
                                            <w:b/>
                                            <w:bCs/>
                                            <w:noProof/>
                                            <w:sz w:val="16"/>
                                            <w:szCs w:val="16"/>
                                          </w:rPr>
                                          <w:t xml:space="preserve"> (199)</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565CD3F" w14:textId="77777777" w:rsidR="00327D59" w:rsidRPr="0033170C" w:rsidRDefault="00327D59" w:rsidP="00D1281A">
                                        <w:pPr>
                                          <w:rPr>
                                            <w:noProof/>
                                            <w:sz w:val="16"/>
                                            <w:szCs w:val="16"/>
                                          </w:rPr>
                                        </w:pPr>
                                        <w:r w:rsidRPr="0033170C">
                                          <w:rPr>
                                            <w:b/>
                                            <w:bCs/>
                                            <w:noProof/>
                                            <w:sz w:val="16"/>
                                            <w:szCs w:val="16"/>
                                          </w:rPr>
                                          <w:t>50%</w:t>
                                        </w:r>
                                      </w:p>
                                    </w:tc>
                                  </w:tr>
                                  <w:tr w:rsidR="00327D59" w:rsidRPr="00B4598C" w14:paraId="4F92EB8F"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79BB25C8" w14:textId="77777777" w:rsidR="00327D59" w:rsidRPr="0033170C" w:rsidRDefault="00327D59" w:rsidP="00D1281A">
                                        <w:pPr>
                                          <w:rPr>
                                            <w:noProof/>
                                            <w:sz w:val="16"/>
                                            <w:szCs w:val="16"/>
                                          </w:rPr>
                                        </w:pPr>
                                        <w:r w:rsidRPr="0033170C">
                                          <w:rPr>
                                            <w:b/>
                                            <w:bCs/>
                                            <w:noProof/>
                                            <w:sz w:val="16"/>
                                            <w:szCs w:val="16"/>
                                          </w:rPr>
                                          <w:t>160</w:t>
                                        </w:r>
                                        <w:r>
                                          <w:rPr>
                                            <w:b/>
                                            <w:bCs/>
                                            <w:noProof/>
                                            <w:sz w:val="16"/>
                                            <w:szCs w:val="16"/>
                                          </w:rPr>
                                          <w:t xml:space="preserve"> (199)</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1BA567D7" w14:textId="77777777" w:rsidR="00327D59" w:rsidRPr="0033170C" w:rsidRDefault="00327D59" w:rsidP="00D1281A">
                                        <w:pPr>
                                          <w:rPr>
                                            <w:noProof/>
                                            <w:sz w:val="16"/>
                                            <w:szCs w:val="16"/>
                                          </w:rPr>
                                        </w:pPr>
                                        <w:r w:rsidRPr="0033170C">
                                          <w:rPr>
                                            <w:b/>
                                            <w:bCs/>
                                            <w:noProof/>
                                            <w:sz w:val="16"/>
                                            <w:szCs w:val="16"/>
                                          </w:rPr>
                                          <w:t>175</w:t>
                                        </w:r>
                                        <w:r>
                                          <w:rPr>
                                            <w:b/>
                                            <w:bCs/>
                                            <w:noProof/>
                                            <w:sz w:val="16"/>
                                            <w:szCs w:val="16"/>
                                          </w:rPr>
                                          <w:t xml:space="preserve"> (218)</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338D5216" w14:textId="77777777" w:rsidR="00327D59" w:rsidRPr="0033170C" w:rsidRDefault="00327D59" w:rsidP="00D1281A">
                                        <w:pPr>
                                          <w:rPr>
                                            <w:noProof/>
                                            <w:sz w:val="16"/>
                                            <w:szCs w:val="16"/>
                                          </w:rPr>
                                        </w:pPr>
                                        <w:r w:rsidRPr="0033170C">
                                          <w:rPr>
                                            <w:b/>
                                            <w:bCs/>
                                            <w:noProof/>
                                            <w:sz w:val="16"/>
                                            <w:szCs w:val="16"/>
                                          </w:rPr>
                                          <w:t>55%</w:t>
                                        </w:r>
                                      </w:p>
                                    </w:tc>
                                  </w:tr>
                                  <w:tr w:rsidR="00327D59" w:rsidRPr="00B4598C" w14:paraId="1918DA90"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263B76C" w14:textId="77777777" w:rsidR="00327D59" w:rsidRPr="0033170C" w:rsidRDefault="00327D59" w:rsidP="00D1281A">
                                        <w:pPr>
                                          <w:rPr>
                                            <w:noProof/>
                                            <w:sz w:val="16"/>
                                            <w:szCs w:val="16"/>
                                          </w:rPr>
                                        </w:pPr>
                                        <w:r w:rsidRPr="0033170C">
                                          <w:rPr>
                                            <w:b/>
                                            <w:bCs/>
                                            <w:noProof/>
                                            <w:sz w:val="16"/>
                                            <w:szCs w:val="16"/>
                                          </w:rPr>
                                          <w:t>175</w:t>
                                        </w:r>
                                        <w:r>
                                          <w:rPr>
                                            <w:b/>
                                            <w:bCs/>
                                            <w:noProof/>
                                            <w:sz w:val="16"/>
                                            <w:szCs w:val="16"/>
                                          </w:rPr>
                                          <w:t xml:space="preserve"> (218)</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6808858" w14:textId="77777777" w:rsidR="00327D59" w:rsidRPr="0033170C" w:rsidRDefault="00327D59" w:rsidP="00D1281A">
                                        <w:pPr>
                                          <w:rPr>
                                            <w:noProof/>
                                            <w:sz w:val="16"/>
                                            <w:szCs w:val="16"/>
                                          </w:rPr>
                                        </w:pPr>
                                        <w:r w:rsidRPr="0033170C">
                                          <w:rPr>
                                            <w:b/>
                                            <w:bCs/>
                                            <w:noProof/>
                                            <w:sz w:val="16"/>
                                            <w:szCs w:val="16"/>
                                          </w:rPr>
                                          <w:t>190</w:t>
                                        </w:r>
                                        <w:r>
                                          <w:rPr>
                                            <w:b/>
                                            <w:bCs/>
                                            <w:noProof/>
                                            <w:sz w:val="16"/>
                                            <w:szCs w:val="16"/>
                                          </w:rPr>
                                          <w:t xml:space="preserve"> (236)</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BFB7735" w14:textId="77777777" w:rsidR="00327D59" w:rsidRPr="0033170C" w:rsidRDefault="00327D59" w:rsidP="00D1281A">
                                        <w:pPr>
                                          <w:rPr>
                                            <w:noProof/>
                                            <w:sz w:val="16"/>
                                            <w:szCs w:val="16"/>
                                          </w:rPr>
                                        </w:pPr>
                                        <w:r w:rsidRPr="0033170C">
                                          <w:rPr>
                                            <w:b/>
                                            <w:bCs/>
                                            <w:noProof/>
                                            <w:sz w:val="16"/>
                                            <w:szCs w:val="16"/>
                                          </w:rPr>
                                          <w:t>60%</w:t>
                                        </w:r>
                                      </w:p>
                                    </w:tc>
                                  </w:tr>
                                  <w:tr w:rsidR="00327D59" w:rsidRPr="00B4598C" w14:paraId="332D26E8"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69858387" w14:textId="77777777" w:rsidR="00327D59" w:rsidRPr="0033170C" w:rsidRDefault="00327D59" w:rsidP="00D1281A">
                                        <w:pPr>
                                          <w:rPr>
                                            <w:noProof/>
                                            <w:sz w:val="16"/>
                                            <w:szCs w:val="16"/>
                                          </w:rPr>
                                        </w:pPr>
                                        <w:r w:rsidRPr="0033170C">
                                          <w:rPr>
                                            <w:b/>
                                            <w:bCs/>
                                            <w:noProof/>
                                            <w:sz w:val="16"/>
                                            <w:szCs w:val="16"/>
                                          </w:rPr>
                                          <w:t>190</w:t>
                                        </w:r>
                                        <w:r>
                                          <w:rPr>
                                            <w:b/>
                                            <w:bCs/>
                                            <w:noProof/>
                                            <w:sz w:val="16"/>
                                            <w:szCs w:val="16"/>
                                          </w:rPr>
                                          <w:t xml:space="preserve"> (236)</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4213BB3E" w14:textId="77777777" w:rsidR="00327D59" w:rsidRPr="0033170C" w:rsidRDefault="00327D59" w:rsidP="00D1281A">
                                        <w:pPr>
                                          <w:rPr>
                                            <w:noProof/>
                                            <w:sz w:val="16"/>
                                            <w:szCs w:val="16"/>
                                          </w:rPr>
                                        </w:pPr>
                                        <w:r w:rsidRPr="0033170C">
                                          <w:rPr>
                                            <w:b/>
                                            <w:bCs/>
                                            <w:noProof/>
                                            <w:sz w:val="16"/>
                                            <w:szCs w:val="16"/>
                                          </w:rPr>
                                          <w:t>+</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0A031444" w14:textId="77777777" w:rsidR="00327D59" w:rsidRPr="0033170C" w:rsidRDefault="00327D59" w:rsidP="00D1281A">
                                        <w:pPr>
                                          <w:rPr>
                                            <w:noProof/>
                                            <w:sz w:val="16"/>
                                            <w:szCs w:val="16"/>
                                          </w:rPr>
                                        </w:pPr>
                                        <w:r w:rsidRPr="0033170C">
                                          <w:rPr>
                                            <w:b/>
                                            <w:bCs/>
                                            <w:noProof/>
                                            <w:sz w:val="16"/>
                                            <w:szCs w:val="16"/>
                                          </w:rPr>
                                          <w:t>70%</w:t>
                                        </w:r>
                                      </w:p>
                                    </w:tc>
                                  </w:tr>
                                </w:tbl>
                                <w:p w14:paraId="663A6094" w14:textId="77777777" w:rsidR="00327D59" w:rsidRPr="0033170C" w:rsidRDefault="00327D59" w:rsidP="00327D59">
                                  <w:pPr>
                                    <w:rPr>
                                      <w:noProof/>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57E2F" id="_x0000_t202" coordsize="21600,21600" o:spt="202" path="m,l,21600r21600,l21600,xe">
                      <v:stroke joinstyle="miter"/>
                      <v:path gradientshapeok="t" o:connecttype="rect"/>
                    </v:shapetype>
                    <v:shape id="Text Box 2" o:spid="_x0000_s1026" type="#_x0000_t202" style="position:absolute;margin-left:-.05pt;margin-top:15.25pt;width:22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">
                      <v:textbox style="mso-fit-shape-to-text:t">
                        <w:txbxContent>
                          <w:p w14:paraId="25CF5C2C" w14:textId="14C109AE" w:rsidR="00327D59" w:rsidRPr="0033170C" w:rsidRDefault="00327D59" w:rsidP="00327D59">
                            <w:pPr>
                              <w:rPr>
                                <w:b/>
                                <w:bCs/>
                                <w:noProof/>
                                <w:sz w:val="16"/>
                                <w:szCs w:val="16"/>
                              </w:rPr>
                            </w:pPr>
                            <w:r w:rsidRPr="0033170C">
                              <w:rPr>
                                <w:b/>
                                <w:bCs/>
                                <w:noProof/>
                                <w:sz w:val="16"/>
                                <w:szCs w:val="16"/>
                              </w:rPr>
                              <w:t xml:space="preserve">Tabel 1 </w:t>
                            </w:r>
                            <w:r w:rsidRPr="000318C7">
                              <w:rPr>
                                <w:noProof/>
                                <w:sz w:val="16"/>
                                <w:szCs w:val="16"/>
                              </w:rPr>
                              <w:t>(valorile dintre paranteze reprezintă pragurile de impozitare actualizate cu Indicele Preturilor de Consum pentru perioada 1 ianuarie 2019 – 31 mai 2022</w:t>
                            </w:r>
                            <w:r>
                              <w:rPr>
                                <w:noProof/>
                                <w:sz w:val="16"/>
                                <w:szCs w:val="16"/>
                              </w:rPr>
                              <w:t xml:space="preserve"> in valoare de 124</w:t>
                            </w:r>
                            <w:r w:rsidR="006475BA">
                              <w:rPr>
                                <w:noProof/>
                                <w:sz w:val="16"/>
                                <w:szCs w:val="16"/>
                              </w:rPr>
                              <w:t>,</w:t>
                            </w:r>
                            <w:r>
                              <w:rPr>
                                <w:noProof/>
                                <w:sz w:val="16"/>
                                <w:szCs w:val="16"/>
                              </w:rPr>
                              <w:t>35%</w:t>
                            </w:r>
                            <w:r w:rsidRPr="000318C7">
                              <w:rPr>
                                <w:noProof/>
                                <w:sz w:val="16"/>
                                <w:szCs w:val="16"/>
                              </w:rPr>
                              <w:t>)</w:t>
                            </w:r>
                          </w:p>
                          <w:tbl>
                            <w:tblPr>
                              <w:tblW w:w="4314" w:type="dxa"/>
                              <w:tblCellMar>
                                <w:left w:w="0" w:type="dxa"/>
                                <w:right w:w="0" w:type="dxa"/>
                              </w:tblCellMar>
                              <w:tblLook w:val="0420" w:firstRow="1" w:lastRow="0" w:firstColumn="0" w:lastColumn="0" w:noHBand="0" w:noVBand="1"/>
                            </w:tblPr>
                            <w:tblGrid>
                              <w:gridCol w:w="1438"/>
                              <w:gridCol w:w="1438"/>
                              <w:gridCol w:w="1438"/>
                            </w:tblGrid>
                            <w:tr w:rsidR="00327D59" w:rsidRPr="00B4598C" w14:paraId="22D86E49" w14:textId="77777777" w:rsidTr="008C3E96">
                              <w:trPr>
                                <w:trHeight w:val="217"/>
                              </w:trPr>
                              <w:tc>
                                <w:tcPr>
                                  <w:tcW w:w="1438" w:type="dxa"/>
                                  <w:tcBorders>
                                    <w:top w:val="single" w:sz="8" w:space="0" w:color="FFFFFF"/>
                                    <w:left w:val="single" w:sz="8" w:space="0" w:color="FFFFFF"/>
                                    <w:bottom w:val="single" w:sz="24" w:space="0" w:color="FFFFFF"/>
                                    <w:right w:val="single" w:sz="8" w:space="0" w:color="FFFFFF"/>
                                  </w:tcBorders>
                                  <w:shd w:val="clear" w:color="auto" w:fill="FFE600"/>
                                  <w:tcMar>
                                    <w:top w:w="72" w:type="dxa"/>
                                    <w:left w:w="144" w:type="dxa"/>
                                    <w:bottom w:w="72" w:type="dxa"/>
                                    <w:right w:w="144" w:type="dxa"/>
                                  </w:tcMar>
                                  <w:hideMark/>
                                </w:tcPr>
                                <w:p w14:paraId="1F0FD429" w14:textId="77777777" w:rsidR="00327D59" w:rsidRDefault="00327D59" w:rsidP="00D1281A">
                                  <w:pPr>
                                    <w:rPr>
                                      <w:b/>
                                      <w:bCs/>
                                      <w:noProof/>
                                      <w:sz w:val="16"/>
                                      <w:szCs w:val="16"/>
                                    </w:rPr>
                                  </w:pPr>
                                  <w:r w:rsidRPr="0033170C">
                                    <w:rPr>
                                      <w:b/>
                                      <w:bCs/>
                                      <w:noProof/>
                                      <w:sz w:val="16"/>
                                      <w:szCs w:val="16"/>
                                    </w:rPr>
                                    <w:t>Preț minim</w:t>
                                  </w:r>
                                </w:p>
                                <w:p w14:paraId="3D4AEA02" w14:textId="77777777" w:rsidR="00327D59" w:rsidRPr="0033170C" w:rsidRDefault="00327D59" w:rsidP="00D1281A">
                                  <w:pPr>
                                    <w:rPr>
                                      <w:noProof/>
                                      <w:sz w:val="16"/>
                                      <w:szCs w:val="16"/>
                                    </w:rPr>
                                  </w:pPr>
                                  <w:r>
                                    <w:rPr>
                                      <w:b/>
                                      <w:bCs/>
                                      <w:noProof/>
                                      <w:sz w:val="16"/>
                                      <w:szCs w:val="16"/>
                                    </w:rPr>
                                    <w:t>(RON/MWh)</w:t>
                                  </w:r>
                                </w:p>
                              </w:tc>
                              <w:tc>
                                <w:tcPr>
                                  <w:tcW w:w="1438" w:type="dxa"/>
                                  <w:tcBorders>
                                    <w:top w:val="single" w:sz="8" w:space="0" w:color="FFFFFF"/>
                                    <w:left w:val="single" w:sz="8" w:space="0" w:color="FFFFFF"/>
                                    <w:bottom w:val="single" w:sz="24" w:space="0" w:color="FFFFFF"/>
                                    <w:right w:val="single" w:sz="8" w:space="0" w:color="FFFFFF"/>
                                  </w:tcBorders>
                                  <w:shd w:val="clear" w:color="auto" w:fill="FFE600"/>
                                  <w:tcMar>
                                    <w:top w:w="72" w:type="dxa"/>
                                    <w:left w:w="144" w:type="dxa"/>
                                    <w:bottom w:w="72" w:type="dxa"/>
                                    <w:right w:w="144" w:type="dxa"/>
                                  </w:tcMar>
                                  <w:hideMark/>
                                </w:tcPr>
                                <w:p w14:paraId="7E0022A5" w14:textId="77777777" w:rsidR="00327D59" w:rsidRDefault="00327D59" w:rsidP="00D1281A">
                                  <w:pPr>
                                    <w:rPr>
                                      <w:b/>
                                      <w:bCs/>
                                      <w:noProof/>
                                      <w:sz w:val="16"/>
                                      <w:szCs w:val="16"/>
                                    </w:rPr>
                                  </w:pPr>
                                  <w:r w:rsidRPr="0033170C">
                                    <w:rPr>
                                      <w:b/>
                                      <w:bCs/>
                                      <w:noProof/>
                                      <w:sz w:val="16"/>
                                      <w:szCs w:val="16"/>
                                    </w:rPr>
                                    <w:t>Preț maxim</w:t>
                                  </w:r>
                                </w:p>
                                <w:p w14:paraId="663DFE90" w14:textId="77777777" w:rsidR="00327D59" w:rsidRPr="0033170C" w:rsidRDefault="00327D59" w:rsidP="00D1281A">
                                  <w:pPr>
                                    <w:rPr>
                                      <w:noProof/>
                                      <w:sz w:val="16"/>
                                      <w:szCs w:val="16"/>
                                    </w:rPr>
                                  </w:pPr>
                                  <w:r>
                                    <w:rPr>
                                      <w:b/>
                                      <w:bCs/>
                                      <w:noProof/>
                                      <w:sz w:val="16"/>
                                      <w:szCs w:val="16"/>
                                    </w:rPr>
                                    <w:t>(RON/MWh)</w:t>
                                  </w:r>
                                </w:p>
                              </w:tc>
                              <w:tc>
                                <w:tcPr>
                                  <w:tcW w:w="1438" w:type="dxa"/>
                                  <w:tcBorders>
                                    <w:top w:val="single" w:sz="8" w:space="0" w:color="FFFFFF"/>
                                    <w:left w:val="single" w:sz="8" w:space="0" w:color="FFFFFF"/>
                                    <w:bottom w:val="single" w:sz="24" w:space="0" w:color="FFFFFF"/>
                                    <w:right w:val="single" w:sz="8" w:space="0" w:color="FFFFFF"/>
                                  </w:tcBorders>
                                  <w:shd w:val="clear" w:color="auto" w:fill="FFE600"/>
                                  <w:tcMar>
                                    <w:top w:w="72" w:type="dxa"/>
                                    <w:left w:w="144" w:type="dxa"/>
                                    <w:bottom w:w="72" w:type="dxa"/>
                                    <w:right w:w="144" w:type="dxa"/>
                                  </w:tcMar>
                                  <w:hideMark/>
                                </w:tcPr>
                                <w:p w14:paraId="735BC66E" w14:textId="77777777" w:rsidR="00327D59" w:rsidRPr="0033170C" w:rsidRDefault="00327D59" w:rsidP="00D1281A">
                                  <w:pPr>
                                    <w:rPr>
                                      <w:noProof/>
                                      <w:sz w:val="16"/>
                                      <w:szCs w:val="16"/>
                                    </w:rPr>
                                  </w:pPr>
                                  <w:r w:rsidRPr="0033170C">
                                    <w:rPr>
                                      <w:b/>
                                      <w:bCs/>
                                      <w:noProof/>
                                      <w:sz w:val="16"/>
                                      <w:szCs w:val="16"/>
                                    </w:rPr>
                                    <w:t>Rata de impozitare</w:t>
                                  </w:r>
                                </w:p>
                              </w:tc>
                            </w:tr>
                            <w:tr w:rsidR="00327D59" w:rsidRPr="00B4598C" w14:paraId="6320C6AF" w14:textId="77777777" w:rsidTr="008C3E96">
                              <w:trPr>
                                <w:trHeight w:val="206"/>
                              </w:trPr>
                              <w:tc>
                                <w:tcPr>
                                  <w:tcW w:w="143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40BB7F7" w14:textId="77777777" w:rsidR="00327D59" w:rsidRPr="0033170C" w:rsidRDefault="00327D59" w:rsidP="00D1281A">
                                  <w:pPr>
                                    <w:rPr>
                                      <w:noProof/>
                                      <w:sz w:val="16"/>
                                      <w:szCs w:val="16"/>
                                    </w:rPr>
                                  </w:pPr>
                                  <w:r w:rsidRPr="0033170C">
                                    <w:rPr>
                                      <w:b/>
                                      <w:bCs/>
                                      <w:noProof/>
                                      <w:sz w:val="16"/>
                                      <w:szCs w:val="16"/>
                                    </w:rPr>
                                    <w:t>85</w:t>
                                  </w:r>
                                  <w:r>
                                    <w:rPr>
                                      <w:b/>
                                      <w:bCs/>
                                      <w:noProof/>
                                      <w:sz w:val="16"/>
                                      <w:szCs w:val="16"/>
                                    </w:rPr>
                                    <w:t xml:space="preserve"> (106)</w:t>
                                  </w:r>
                                </w:p>
                              </w:tc>
                              <w:tc>
                                <w:tcPr>
                                  <w:tcW w:w="143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09D6994" w14:textId="77777777" w:rsidR="00327D59" w:rsidRPr="0033170C" w:rsidRDefault="00327D59" w:rsidP="00D1281A">
                                  <w:pPr>
                                    <w:rPr>
                                      <w:noProof/>
                                      <w:sz w:val="16"/>
                                      <w:szCs w:val="16"/>
                                    </w:rPr>
                                  </w:pPr>
                                  <w:r w:rsidRPr="0033170C">
                                    <w:rPr>
                                      <w:b/>
                                      <w:bCs/>
                                      <w:noProof/>
                                      <w:sz w:val="16"/>
                                      <w:szCs w:val="16"/>
                                    </w:rPr>
                                    <w:t>100</w:t>
                                  </w:r>
                                  <w:r>
                                    <w:rPr>
                                      <w:b/>
                                      <w:bCs/>
                                      <w:noProof/>
                                      <w:sz w:val="16"/>
                                      <w:szCs w:val="16"/>
                                    </w:rPr>
                                    <w:t xml:space="preserve"> (124)</w:t>
                                  </w:r>
                                </w:p>
                              </w:tc>
                              <w:tc>
                                <w:tcPr>
                                  <w:tcW w:w="143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1E82D5B" w14:textId="77777777" w:rsidR="00327D59" w:rsidRPr="0033170C" w:rsidRDefault="00327D59" w:rsidP="00D1281A">
                                  <w:pPr>
                                    <w:rPr>
                                      <w:noProof/>
                                      <w:sz w:val="16"/>
                                      <w:szCs w:val="16"/>
                                    </w:rPr>
                                  </w:pPr>
                                  <w:r w:rsidRPr="0033170C">
                                    <w:rPr>
                                      <w:b/>
                                      <w:bCs/>
                                      <w:noProof/>
                                      <w:sz w:val="16"/>
                                      <w:szCs w:val="16"/>
                                    </w:rPr>
                                    <w:t>15%</w:t>
                                  </w:r>
                                </w:p>
                              </w:tc>
                            </w:tr>
                            <w:tr w:rsidR="00327D59" w:rsidRPr="00B4598C" w14:paraId="426D714F"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7B73247A" w14:textId="77777777" w:rsidR="00327D59" w:rsidRPr="0033170C" w:rsidRDefault="00327D59" w:rsidP="00D1281A">
                                  <w:pPr>
                                    <w:rPr>
                                      <w:noProof/>
                                      <w:sz w:val="16"/>
                                      <w:szCs w:val="16"/>
                                    </w:rPr>
                                  </w:pPr>
                                  <w:r w:rsidRPr="0033170C">
                                    <w:rPr>
                                      <w:b/>
                                      <w:bCs/>
                                      <w:noProof/>
                                      <w:sz w:val="16"/>
                                      <w:szCs w:val="16"/>
                                    </w:rPr>
                                    <w:t>100</w:t>
                                  </w:r>
                                  <w:r>
                                    <w:rPr>
                                      <w:b/>
                                      <w:bCs/>
                                      <w:noProof/>
                                      <w:sz w:val="16"/>
                                      <w:szCs w:val="16"/>
                                    </w:rPr>
                                    <w:t xml:space="preserve"> (124</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0B4B54A9" w14:textId="77777777" w:rsidR="00327D59" w:rsidRPr="0033170C" w:rsidRDefault="00327D59" w:rsidP="00D1281A">
                                  <w:pPr>
                                    <w:rPr>
                                      <w:noProof/>
                                      <w:sz w:val="16"/>
                                      <w:szCs w:val="16"/>
                                    </w:rPr>
                                  </w:pPr>
                                  <w:r w:rsidRPr="0033170C">
                                    <w:rPr>
                                      <w:b/>
                                      <w:bCs/>
                                      <w:noProof/>
                                      <w:sz w:val="16"/>
                                      <w:szCs w:val="16"/>
                                    </w:rPr>
                                    <w:t>115</w:t>
                                  </w:r>
                                  <w:r>
                                    <w:rPr>
                                      <w:b/>
                                      <w:bCs/>
                                      <w:noProof/>
                                      <w:sz w:val="16"/>
                                      <w:szCs w:val="16"/>
                                    </w:rPr>
                                    <w:t xml:space="preserve"> (143)</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63FB8014" w14:textId="77777777" w:rsidR="00327D59" w:rsidRPr="0033170C" w:rsidRDefault="00327D59" w:rsidP="00D1281A">
                                  <w:pPr>
                                    <w:rPr>
                                      <w:noProof/>
                                      <w:sz w:val="16"/>
                                      <w:szCs w:val="16"/>
                                    </w:rPr>
                                  </w:pPr>
                                  <w:r w:rsidRPr="0033170C">
                                    <w:rPr>
                                      <w:b/>
                                      <w:bCs/>
                                      <w:noProof/>
                                      <w:sz w:val="16"/>
                                      <w:szCs w:val="16"/>
                                    </w:rPr>
                                    <w:t>30%</w:t>
                                  </w:r>
                                </w:p>
                              </w:tc>
                            </w:tr>
                            <w:tr w:rsidR="00327D59" w:rsidRPr="00B4598C" w14:paraId="7043A6EC"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BA0A8B4" w14:textId="77777777" w:rsidR="00327D59" w:rsidRPr="0033170C" w:rsidRDefault="00327D59" w:rsidP="00D1281A">
                                  <w:pPr>
                                    <w:rPr>
                                      <w:noProof/>
                                      <w:sz w:val="16"/>
                                      <w:szCs w:val="16"/>
                                    </w:rPr>
                                  </w:pPr>
                                  <w:r w:rsidRPr="0033170C">
                                    <w:rPr>
                                      <w:b/>
                                      <w:bCs/>
                                      <w:noProof/>
                                      <w:sz w:val="16"/>
                                      <w:szCs w:val="16"/>
                                    </w:rPr>
                                    <w:t>115</w:t>
                                  </w:r>
                                  <w:r>
                                    <w:rPr>
                                      <w:b/>
                                      <w:bCs/>
                                      <w:noProof/>
                                      <w:sz w:val="16"/>
                                      <w:szCs w:val="16"/>
                                    </w:rPr>
                                    <w:t xml:space="preserve"> (143)</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D750CC1" w14:textId="77777777" w:rsidR="00327D59" w:rsidRPr="0033170C" w:rsidRDefault="00327D59" w:rsidP="00D1281A">
                                  <w:pPr>
                                    <w:rPr>
                                      <w:noProof/>
                                      <w:sz w:val="16"/>
                                      <w:szCs w:val="16"/>
                                    </w:rPr>
                                  </w:pPr>
                                  <w:r w:rsidRPr="0033170C">
                                    <w:rPr>
                                      <w:b/>
                                      <w:bCs/>
                                      <w:noProof/>
                                      <w:sz w:val="16"/>
                                      <w:szCs w:val="16"/>
                                    </w:rPr>
                                    <w:t>130</w:t>
                                  </w:r>
                                  <w:r>
                                    <w:rPr>
                                      <w:b/>
                                      <w:bCs/>
                                      <w:noProof/>
                                      <w:sz w:val="16"/>
                                      <w:szCs w:val="16"/>
                                    </w:rPr>
                                    <w:t xml:space="preserve"> (162)</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E77429E" w14:textId="77777777" w:rsidR="00327D59" w:rsidRPr="0033170C" w:rsidRDefault="00327D59" w:rsidP="00D1281A">
                                  <w:pPr>
                                    <w:rPr>
                                      <w:noProof/>
                                      <w:sz w:val="16"/>
                                      <w:szCs w:val="16"/>
                                    </w:rPr>
                                  </w:pPr>
                                  <w:r w:rsidRPr="0033170C">
                                    <w:rPr>
                                      <w:b/>
                                      <w:bCs/>
                                      <w:noProof/>
                                      <w:sz w:val="16"/>
                                      <w:szCs w:val="16"/>
                                    </w:rPr>
                                    <w:t>35%</w:t>
                                  </w:r>
                                </w:p>
                              </w:tc>
                            </w:tr>
                            <w:tr w:rsidR="00327D59" w:rsidRPr="00B4598C" w14:paraId="69797145"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6E67B1EE" w14:textId="77777777" w:rsidR="00327D59" w:rsidRPr="0033170C" w:rsidRDefault="00327D59" w:rsidP="00D1281A">
                                  <w:pPr>
                                    <w:rPr>
                                      <w:noProof/>
                                      <w:sz w:val="16"/>
                                      <w:szCs w:val="16"/>
                                    </w:rPr>
                                  </w:pPr>
                                  <w:r w:rsidRPr="0033170C">
                                    <w:rPr>
                                      <w:b/>
                                      <w:bCs/>
                                      <w:noProof/>
                                      <w:sz w:val="16"/>
                                      <w:szCs w:val="16"/>
                                    </w:rPr>
                                    <w:t>130</w:t>
                                  </w:r>
                                  <w:r>
                                    <w:rPr>
                                      <w:b/>
                                      <w:bCs/>
                                      <w:noProof/>
                                      <w:sz w:val="16"/>
                                      <w:szCs w:val="16"/>
                                    </w:rPr>
                                    <w:t xml:space="preserve"> (162) </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1B21DD97" w14:textId="77777777" w:rsidR="00327D59" w:rsidRPr="0033170C" w:rsidRDefault="00327D59" w:rsidP="00D1281A">
                                  <w:pPr>
                                    <w:rPr>
                                      <w:noProof/>
                                      <w:sz w:val="16"/>
                                      <w:szCs w:val="16"/>
                                    </w:rPr>
                                  </w:pPr>
                                  <w:r w:rsidRPr="0033170C">
                                    <w:rPr>
                                      <w:b/>
                                      <w:bCs/>
                                      <w:noProof/>
                                      <w:sz w:val="16"/>
                                      <w:szCs w:val="16"/>
                                    </w:rPr>
                                    <w:t>145</w:t>
                                  </w:r>
                                  <w:r>
                                    <w:rPr>
                                      <w:b/>
                                      <w:bCs/>
                                      <w:noProof/>
                                      <w:sz w:val="16"/>
                                      <w:szCs w:val="16"/>
                                    </w:rPr>
                                    <w:t xml:space="preserve"> (180)</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7D3EB382" w14:textId="77777777" w:rsidR="00327D59" w:rsidRPr="0033170C" w:rsidRDefault="00327D59" w:rsidP="00D1281A">
                                  <w:pPr>
                                    <w:rPr>
                                      <w:noProof/>
                                      <w:sz w:val="16"/>
                                      <w:szCs w:val="16"/>
                                    </w:rPr>
                                  </w:pPr>
                                  <w:r w:rsidRPr="0033170C">
                                    <w:rPr>
                                      <w:b/>
                                      <w:bCs/>
                                      <w:noProof/>
                                      <w:sz w:val="16"/>
                                      <w:szCs w:val="16"/>
                                    </w:rPr>
                                    <w:t>40%</w:t>
                                  </w:r>
                                </w:p>
                              </w:tc>
                            </w:tr>
                            <w:tr w:rsidR="00327D59" w:rsidRPr="00B4598C" w14:paraId="0D7FC527"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2FB4565" w14:textId="77777777" w:rsidR="00327D59" w:rsidRPr="0033170C" w:rsidRDefault="00327D59" w:rsidP="00D1281A">
                                  <w:pPr>
                                    <w:rPr>
                                      <w:noProof/>
                                      <w:sz w:val="16"/>
                                      <w:szCs w:val="16"/>
                                    </w:rPr>
                                  </w:pPr>
                                  <w:r w:rsidRPr="0033170C">
                                    <w:rPr>
                                      <w:b/>
                                      <w:bCs/>
                                      <w:noProof/>
                                      <w:sz w:val="16"/>
                                      <w:szCs w:val="16"/>
                                    </w:rPr>
                                    <w:t>145</w:t>
                                  </w:r>
                                  <w:r>
                                    <w:rPr>
                                      <w:b/>
                                      <w:bCs/>
                                      <w:noProof/>
                                      <w:sz w:val="16"/>
                                      <w:szCs w:val="16"/>
                                    </w:rPr>
                                    <w:t xml:space="preserve"> (180) </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CA23206" w14:textId="77777777" w:rsidR="00327D59" w:rsidRPr="0033170C" w:rsidRDefault="00327D59" w:rsidP="00D1281A">
                                  <w:pPr>
                                    <w:rPr>
                                      <w:noProof/>
                                      <w:sz w:val="16"/>
                                      <w:szCs w:val="16"/>
                                    </w:rPr>
                                  </w:pPr>
                                  <w:r w:rsidRPr="0033170C">
                                    <w:rPr>
                                      <w:b/>
                                      <w:bCs/>
                                      <w:noProof/>
                                      <w:sz w:val="16"/>
                                      <w:szCs w:val="16"/>
                                    </w:rPr>
                                    <w:t>160</w:t>
                                  </w:r>
                                  <w:r>
                                    <w:rPr>
                                      <w:b/>
                                      <w:bCs/>
                                      <w:noProof/>
                                      <w:sz w:val="16"/>
                                      <w:szCs w:val="16"/>
                                    </w:rPr>
                                    <w:t xml:space="preserve"> (199)</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565CD3F" w14:textId="77777777" w:rsidR="00327D59" w:rsidRPr="0033170C" w:rsidRDefault="00327D59" w:rsidP="00D1281A">
                                  <w:pPr>
                                    <w:rPr>
                                      <w:noProof/>
                                      <w:sz w:val="16"/>
                                      <w:szCs w:val="16"/>
                                    </w:rPr>
                                  </w:pPr>
                                  <w:r w:rsidRPr="0033170C">
                                    <w:rPr>
                                      <w:b/>
                                      <w:bCs/>
                                      <w:noProof/>
                                      <w:sz w:val="16"/>
                                      <w:szCs w:val="16"/>
                                    </w:rPr>
                                    <w:t>50%</w:t>
                                  </w:r>
                                </w:p>
                              </w:tc>
                            </w:tr>
                            <w:tr w:rsidR="00327D59" w:rsidRPr="00B4598C" w14:paraId="4F92EB8F"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79BB25C8" w14:textId="77777777" w:rsidR="00327D59" w:rsidRPr="0033170C" w:rsidRDefault="00327D59" w:rsidP="00D1281A">
                                  <w:pPr>
                                    <w:rPr>
                                      <w:noProof/>
                                      <w:sz w:val="16"/>
                                      <w:szCs w:val="16"/>
                                    </w:rPr>
                                  </w:pPr>
                                  <w:r w:rsidRPr="0033170C">
                                    <w:rPr>
                                      <w:b/>
                                      <w:bCs/>
                                      <w:noProof/>
                                      <w:sz w:val="16"/>
                                      <w:szCs w:val="16"/>
                                    </w:rPr>
                                    <w:t>160</w:t>
                                  </w:r>
                                  <w:r>
                                    <w:rPr>
                                      <w:b/>
                                      <w:bCs/>
                                      <w:noProof/>
                                      <w:sz w:val="16"/>
                                      <w:szCs w:val="16"/>
                                    </w:rPr>
                                    <w:t xml:space="preserve"> (199)</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1BA567D7" w14:textId="77777777" w:rsidR="00327D59" w:rsidRPr="0033170C" w:rsidRDefault="00327D59" w:rsidP="00D1281A">
                                  <w:pPr>
                                    <w:rPr>
                                      <w:noProof/>
                                      <w:sz w:val="16"/>
                                      <w:szCs w:val="16"/>
                                    </w:rPr>
                                  </w:pPr>
                                  <w:r w:rsidRPr="0033170C">
                                    <w:rPr>
                                      <w:b/>
                                      <w:bCs/>
                                      <w:noProof/>
                                      <w:sz w:val="16"/>
                                      <w:szCs w:val="16"/>
                                    </w:rPr>
                                    <w:t>175</w:t>
                                  </w:r>
                                  <w:r>
                                    <w:rPr>
                                      <w:b/>
                                      <w:bCs/>
                                      <w:noProof/>
                                      <w:sz w:val="16"/>
                                      <w:szCs w:val="16"/>
                                    </w:rPr>
                                    <w:t xml:space="preserve"> (218)</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338D5216" w14:textId="77777777" w:rsidR="00327D59" w:rsidRPr="0033170C" w:rsidRDefault="00327D59" w:rsidP="00D1281A">
                                  <w:pPr>
                                    <w:rPr>
                                      <w:noProof/>
                                      <w:sz w:val="16"/>
                                      <w:szCs w:val="16"/>
                                    </w:rPr>
                                  </w:pPr>
                                  <w:r w:rsidRPr="0033170C">
                                    <w:rPr>
                                      <w:b/>
                                      <w:bCs/>
                                      <w:noProof/>
                                      <w:sz w:val="16"/>
                                      <w:szCs w:val="16"/>
                                    </w:rPr>
                                    <w:t>55%</w:t>
                                  </w:r>
                                </w:p>
                              </w:tc>
                            </w:tr>
                            <w:tr w:rsidR="00327D59" w:rsidRPr="00B4598C" w14:paraId="1918DA90"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263B76C" w14:textId="77777777" w:rsidR="00327D59" w:rsidRPr="0033170C" w:rsidRDefault="00327D59" w:rsidP="00D1281A">
                                  <w:pPr>
                                    <w:rPr>
                                      <w:noProof/>
                                      <w:sz w:val="16"/>
                                      <w:szCs w:val="16"/>
                                    </w:rPr>
                                  </w:pPr>
                                  <w:r w:rsidRPr="0033170C">
                                    <w:rPr>
                                      <w:b/>
                                      <w:bCs/>
                                      <w:noProof/>
                                      <w:sz w:val="16"/>
                                      <w:szCs w:val="16"/>
                                    </w:rPr>
                                    <w:t>175</w:t>
                                  </w:r>
                                  <w:r>
                                    <w:rPr>
                                      <w:b/>
                                      <w:bCs/>
                                      <w:noProof/>
                                      <w:sz w:val="16"/>
                                      <w:szCs w:val="16"/>
                                    </w:rPr>
                                    <w:t xml:space="preserve"> (218)</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6808858" w14:textId="77777777" w:rsidR="00327D59" w:rsidRPr="0033170C" w:rsidRDefault="00327D59" w:rsidP="00D1281A">
                                  <w:pPr>
                                    <w:rPr>
                                      <w:noProof/>
                                      <w:sz w:val="16"/>
                                      <w:szCs w:val="16"/>
                                    </w:rPr>
                                  </w:pPr>
                                  <w:r w:rsidRPr="0033170C">
                                    <w:rPr>
                                      <w:b/>
                                      <w:bCs/>
                                      <w:noProof/>
                                      <w:sz w:val="16"/>
                                      <w:szCs w:val="16"/>
                                    </w:rPr>
                                    <w:t>190</w:t>
                                  </w:r>
                                  <w:r>
                                    <w:rPr>
                                      <w:b/>
                                      <w:bCs/>
                                      <w:noProof/>
                                      <w:sz w:val="16"/>
                                      <w:szCs w:val="16"/>
                                    </w:rPr>
                                    <w:t xml:space="preserve"> (236)</w:t>
                                  </w:r>
                                </w:p>
                              </w:tc>
                              <w:tc>
                                <w:tcPr>
                                  <w:tcW w:w="143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BFB7735" w14:textId="77777777" w:rsidR="00327D59" w:rsidRPr="0033170C" w:rsidRDefault="00327D59" w:rsidP="00D1281A">
                                  <w:pPr>
                                    <w:rPr>
                                      <w:noProof/>
                                      <w:sz w:val="16"/>
                                      <w:szCs w:val="16"/>
                                    </w:rPr>
                                  </w:pPr>
                                  <w:r w:rsidRPr="0033170C">
                                    <w:rPr>
                                      <w:b/>
                                      <w:bCs/>
                                      <w:noProof/>
                                      <w:sz w:val="16"/>
                                      <w:szCs w:val="16"/>
                                    </w:rPr>
                                    <w:t>60%</w:t>
                                  </w:r>
                                </w:p>
                              </w:tc>
                            </w:tr>
                            <w:tr w:rsidR="00327D59" w:rsidRPr="00B4598C" w14:paraId="332D26E8" w14:textId="77777777" w:rsidTr="008C3E96">
                              <w:trPr>
                                <w:trHeight w:val="217"/>
                              </w:trPr>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69858387" w14:textId="77777777" w:rsidR="00327D59" w:rsidRPr="0033170C" w:rsidRDefault="00327D59" w:rsidP="00D1281A">
                                  <w:pPr>
                                    <w:rPr>
                                      <w:noProof/>
                                      <w:sz w:val="16"/>
                                      <w:szCs w:val="16"/>
                                    </w:rPr>
                                  </w:pPr>
                                  <w:r w:rsidRPr="0033170C">
                                    <w:rPr>
                                      <w:b/>
                                      <w:bCs/>
                                      <w:noProof/>
                                      <w:sz w:val="16"/>
                                      <w:szCs w:val="16"/>
                                    </w:rPr>
                                    <w:t>190</w:t>
                                  </w:r>
                                  <w:r>
                                    <w:rPr>
                                      <w:b/>
                                      <w:bCs/>
                                      <w:noProof/>
                                      <w:sz w:val="16"/>
                                      <w:szCs w:val="16"/>
                                    </w:rPr>
                                    <w:t xml:space="preserve"> (236)</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4213BB3E" w14:textId="77777777" w:rsidR="00327D59" w:rsidRPr="0033170C" w:rsidRDefault="00327D59" w:rsidP="00D1281A">
                                  <w:pPr>
                                    <w:rPr>
                                      <w:noProof/>
                                      <w:sz w:val="16"/>
                                      <w:szCs w:val="16"/>
                                    </w:rPr>
                                  </w:pPr>
                                  <w:r w:rsidRPr="0033170C">
                                    <w:rPr>
                                      <w:b/>
                                      <w:bCs/>
                                      <w:noProof/>
                                      <w:sz w:val="16"/>
                                      <w:szCs w:val="16"/>
                                    </w:rPr>
                                    <w:t>+</w:t>
                                  </w:r>
                                </w:p>
                              </w:tc>
                              <w:tc>
                                <w:tcPr>
                                  <w:tcW w:w="1438" w:type="dxa"/>
                                  <w:tcBorders>
                                    <w:top w:val="single" w:sz="8" w:space="0" w:color="FFFFFF"/>
                                    <w:left w:val="single" w:sz="8" w:space="0" w:color="FFFFFF"/>
                                    <w:bottom w:val="single" w:sz="8" w:space="0" w:color="FFFFFF"/>
                                    <w:right w:val="single" w:sz="8" w:space="0" w:color="FFFFFF"/>
                                  </w:tcBorders>
                                  <w:shd w:val="clear" w:color="auto" w:fill="FFFACC"/>
                                  <w:tcMar>
                                    <w:top w:w="72" w:type="dxa"/>
                                    <w:left w:w="144" w:type="dxa"/>
                                    <w:bottom w:w="72" w:type="dxa"/>
                                    <w:right w:w="144" w:type="dxa"/>
                                  </w:tcMar>
                                  <w:hideMark/>
                                </w:tcPr>
                                <w:p w14:paraId="0A031444" w14:textId="77777777" w:rsidR="00327D59" w:rsidRPr="0033170C" w:rsidRDefault="00327D59" w:rsidP="00D1281A">
                                  <w:pPr>
                                    <w:rPr>
                                      <w:noProof/>
                                      <w:sz w:val="16"/>
                                      <w:szCs w:val="16"/>
                                    </w:rPr>
                                  </w:pPr>
                                  <w:r w:rsidRPr="0033170C">
                                    <w:rPr>
                                      <w:b/>
                                      <w:bCs/>
                                      <w:noProof/>
                                      <w:sz w:val="16"/>
                                      <w:szCs w:val="16"/>
                                    </w:rPr>
                                    <w:t>70%</w:t>
                                  </w:r>
                                </w:p>
                              </w:tc>
                            </w:tr>
                          </w:tbl>
                          <w:p w14:paraId="663A6094" w14:textId="77777777" w:rsidR="00327D59" w:rsidRPr="0033170C" w:rsidRDefault="00327D59" w:rsidP="00327D59">
                            <w:pPr>
                              <w:rPr>
                                <w:noProof/>
                                <w:sz w:val="16"/>
                                <w:szCs w:val="16"/>
                              </w:rPr>
                            </w:pPr>
                          </w:p>
                        </w:txbxContent>
                      </v:textbox>
                      <w10:wrap type="square"/>
                    </v:shape>
                  </w:pict>
                </mc:Fallback>
              </mc:AlternateContent>
            </w:r>
          </w:p>
        </w:tc>
        <w:tc>
          <w:tcPr>
            <w:tcW w:w="4624" w:type="dxa"/>
          </w:tcPr>
          <w:p w14:paraId="2B4BA10E" w14:textId="77777777" w:rsidR="00327D59" w:rsidRPr="00B2745E" w:rsidRDefault="00327D59" w:rsidP="005D40FC">
            <w:pPr>
              <w:rPr>
                <w:noProof/>
                <w:sz w:val="22"/>
                <w:szCs w:val="22"/>
              </w:rPr>
            </w:pPr>
          </w:p>
        </w:tc>
      </w:tr>
    </w:tbl>
    <w:p w14:paraId="1FA6C1EB" w14:textId="5B6A1927" w:rsidR="00327D59" w:rsidRPr="00B2745E" w:rsidRDefault="00327D59" w:rsidP="00F770A3">
      <w:pPr>
        <w:rPr>
          <w:noProof/>
          <w:sz w:val="22"/>
          <w:szCs w:val="22"/>
        </w:rPr>
      </w:pPr>
    </w:p>
    <w:p w14:paraId="1053E3A2" w14:textId="7D5077FE" w:rsidR="00327D59" w:rsidRPr="00B2745E" w:rsidRDefault="00327D59" w:rsidP="00F770A3">
      <w:pPr>
        <w:rPr>
          <w:noProof/>
          <w:sz w:val="22"/>
          <w:szCs w:val="22"/>
        </w:rPr>
      </w:pPr>
    </w:p>
    <w:p w14:paraId="131849AE" w14:textId="77777777" w:rsidR="00327D59" w:rsidRPr="00B2745E" w:rsidRDefault="00327D59" w:rsidP="00F770A3">
      <w:pPr>
        <w:rPr>
          <w:noProof/>
          <w:sz w:val="22"/>
          <w:szCs w:val="22"/>
        </w:rPr>
      </w:pPr>
    </w:p>
    <w:p w14:paraId="1AF77E11" w14:textId="74DB8C75" w:rsidR="00BE507A" w:rsidRPr="00B2745E" w:rsidRDefault="00BE507A" w:rsidP="00BE507A">
      <w:pPr>
        <w:rPr>
          <w:b/>
          <w:bCs/>
          <w:noProof/>
          <w:sz w:val="22"/>
          <w:szCs w:val="22"/>
        </w:rPr>
      </w:pPr>
      <w:r w:rsidRPr="00B2745E">
        <w:rPr>
          <w:b/>
          <w:bCs/>
          <w:noProof/>
          <w:sz w:val="22"/>
          <w:szCs w:val="22"/>
        </w:rPr>
        <w:t xml:space="preserve">Ce nu s-a modificat?  </w:t>
      </w:r>
    </w:p>
    <w:p w14:paraId="25A848FC" w14:textId="77777777" w:rsidR="0031151A" w:rsidRPr="00B2745E" w:rsidRDefault="0031151A" w:rsidP="00BE507A">
      <w:pPr>
        <w:rPr>
          <w:b/>
          <w:bCs/>
          <w:noProof/>
          <w:sz w:val="22"/>
          <w:szCs w:val="22"/>
        </w:rPr>
      </w:pPr>
    </w:p>
    <w:p w14:paraId="23AC0F65" w14:textId="4AA53948" w:rsidR="00BE507A" w:rsidRPr="00B2745E" w:rsidRDefault="00BE507A" w:rsidP="00BE507A">
      <w:pPr>
        <w:rPr>
          <w:noProof/>
          <w:sz w:val="22"/>
          <w:szCs w:val="22"/>
        </w:rPr>
      </w:pPr>
      <w:r w:rsidRPr="00B2745E">
        <w:rPr>
          <w:noProof/>
          <w:sz w:val="22"/>
          <w:szCs w:val="22"/>
        </w:rPr>
        <w:t>Subcontractorii nereziden</w:t>
      </w:r>
      <w:r w:rsidR="00A543A8" w:rsidRPr="00B2745E">
        <w:rPr>
          <w:noProof/>
          <w:sz w:val="22"/>
          <w:szCs w:val="22"/>
        </w:rPr>
        <w:t>ț</w:t>
      </w:r>
      <w:r w:rsidRPr="00B2745E">
        <w:rPr>
          <w:noProof/>
          <w:sz w:val="22"/>
          <w:szCs w:val="22"/>
        </w:rPr>
        <w:t xml:space="preserve">i ai titularilor acordurilor petroliere sunt obligaţi ca, în termen de 30 de zile de la data încheierii primului contract, să înfiinţeze şi să menţină pe toată durata contractului o filială sau sucursală cu sediul în România. Nerespectarea acestei obligații poate atrage o sancțiune de 10% din valoarea contractului.  </w:t>
      </w:r>
    </w:p>
    <w:p w14:paraId="008A0D34" w14:textId="77777777" w:rsidR="00CB453D" w:rsidRPr="00B2745E" w:rsidRDefault="00CB453D" w:rsidP="00BE507A">
      <w:pPr>
        <w:rPr>
          <w:noProof/>
          <w:sz w:val="22"/>
          <w:szCs w:val="22"/>
        </w:rPr>
      </w:pPr>
    </w:p>
    <w:p w14:paraId="1AD75888" w14:textId="61ABABAF" w:rsidR="00BE507A" w:rsidRPr="00B2745E" w:rsidRDefault="00BE507A" w:rsidP="00BE507A">
      <w:pPr>
        <w:rPr>
          <w:noProof/>
          <w:sz w:val="22"/>
          <w:szCs w:val="22"/>
        </w:rPr>
      </w:pPr>
      <w:r w:rsidRPr="00B2745E">
        <w:rPr>
          <w:noProof/>
          <w:sz w:val="22"/>
          <w:szCs w:val="22"/>
        </w:rPr>
        <w:t>În condiţii echivalente tehnice şi de preţ, titularii acordurilor petroliere sunt obligaţi să achiziţioneze bunuri şi servicii de la operatori economici din România şi spaţiul Uniunii Europene</w:t>
      </w:r>
      <w:r w:rsidR="00CB453D" w:rsidRPr="00B2745E">
        <w:rPr>
          <w:noProof/>
          <w:sz w:val="22"/>
          <w:szCs w:val="22"/>
        </w:rPr>
        <w:t>,</w:t>
      </w:r>
      <w:r w:rsidRPr="00B2745E">
        <w:rPr>
          <w:noProof/>
          <w:sz w:val="22"/>
          <w:szCs w:val="22"/>
        </w:rPr>
        <w:t xml:space="preserve"> în condiţiile prevăzute la </w:t>
      </w:r>
      <w:hyperlink r:id="rId12" w:anchor="p-96835848" w:tgtFrame="_blank" w:history="1">
        <w:r w:rsidRPr="00B2745E">
          <w:rPr>
            <w:noProof/>
            <w:sz w:val="22"/>
            <w:szCs w:val="22"/>
          </w:rPr>
          <w:t>art. 223</w:t>
        </w:r>
      </w:hyperlink>
      <w:r w:rsidRPr="00B2745E">
        <w:rPr>
          <w:noProof/>
          <w:sz w:val="22"/>
          <w:szCs w:val="22"/>
        </w:rPr>
        <w:t> din Legea nr. 99/2016 privind achiziţiile sectoriale. Cel pu</w:t>
      </w:r>
      <w:r w:rsidR="00CB453D" w:rsidRPr="00B2745E">
        <w:rPr>
          <w:noProof/>
          <w:sz w:val="22"/>
          <w:szCs w:val="22"/>
        </w:rPr>
        <w:t>ț</w:t>
      </w:r>
      <w:r w:rsidRPr="00B2745E">
        <w:rPr>
          <w:noProof/>
          <w:sz w:val="22"/>
          <w:szCs w:val="22"/>
        </w:rPr>
        <w:t xml:space="preserve">in 50% din bunurile având proveniență necomunitară (din punct de vedere valoric) trebuie să provină din țări care au încheiat acorduri de comerț bilateral/multilateral cu Uniunea Europeană. </w:t>
      </w:r>
    </w:p>
    <w:p w14:paraId="355336C0" w14:textId="77777777" w:rsidR="00CB453D" w:rsidRPr="00B2745E" w:rsidRDefault="00CB453D" w:rsidP="00BE507A">
      <w:pPr>
        <w:rPr>
          <w:noProof/>
          <w:sz w:val="22"/>
          <w:szCs w:val="22"/>
        </w:rPr>
      </w:pPr>
    </w:p>
    <w:p w14:paraId="5F01D36F" w14:textId="1FF36A29" w:rsidR="00CB453D" w:rsidRPr="00B2745E" w:rsidRDefault="00BE507A" w:rsidP="00BE507A">
      <w:pPr>
        <w:rPr>
          <w:noProof/>
          <w:sz w:val="22"/>
          <w:szCs w:val="22"/>
        </w:rPr>
      </w:pPr>
      <w:r w:rsidRPr="00B2745E">
        <w:rPr>
          <w:noProof/>
          <w:sz w:val="22"/>
          <w:szCs w:val="22"/>
        </w:rPr>
        <w:t>Titularii acordurilor petroliere referitoare la perimetre petroliere offshore au obligaţia ca cel puţin 25% din numărul mediu anual de angajaţi utilizaţi în vederea derulării acordurilor să fie cetăţeni români</w:t>
      </w:r>
      <w:r w:rsidR="00CB453D" w:rsidRPr="00B2745E">
        <w:rPr>
          <w:noProof/>
          <w:sz w:val="22"/>
          <w:szCs w:val="22"/>
        </w:rPr>
        <w:t>,</w:t>
      </w:r>
      <w:r w:rsidRPr="00B2745E">
        <w:rPr>
          <w:noProof/>
          <w:sz w:val="22"/>
          <w:szCs w:val="22"/>
        </w:rPr>
        <w:t xml:space="preserve"> cu rezidenţă fiscală în România. Nerespectarea acestei obligații se sancționează cu</w:t>
      </w:r>
      <w:r w:rsidR="00CB453D" w:rsidRPr="00B2745E">
        <w:rPr>
          <w:noProof/>
          <w:sz w:val="22"/>
          <w:szCs w:val="22"/>
        </w:rPr>
        <w:t xml:space="preserve"> </w:t>
      </w:r>
      <w:r w:rsidRPr="00B2745E">
        <w:rPr>
          <w:noProof/>
          <w:sz w:val="22"/>
          <w:szCs w:val="22"/>
        </w:rPr>
        <w:t>amendă echivalentă cu un salariu minim brut garantat în plată înmulţit cu numărul angajaţilor pentru care nu a fost îndeplinită obligaţia legală</w:t>
      </w:r>
      <w:r w:rsidR="007B503E" w:rsidRPr="00B2745E">
        <w:rPr>
          <w:noProof/>
          <w:sz w:val="22"/>
          <w:szCs w:val="22"/>
        </w:rPr>
        <w:t xml:space="preserve"> pe toată</w:t>
      </w:r>
      <w:r w:rsidR="0041736A" w:rsidRPr="00B2745E">
        <w:rPr>
          <w:noProof/>
          <w:sz w:val="22"/>
          <w:szCs w:val="22"/>
        </w:rPr>
        <w:t xml:space="preserve"> durata acordului</w:t>
      </w:r>
      <w:r w:rsidRPr="00B2745E">
        <w:rPr>
          <w:noProof/>
          <w:sz w:val="22"/>
          <w:szCs w:val="22"/>
        </w:rPr>
        <w:t xml:space="preserve">. </w:t>
      </w:r>
    </w:p>
    <w:p w14:paraId="526C0DC8" w14:textId="5B3D7016" w:rsidR="00BE507A" w:rsidRPr="00B2745E" w:rsidRDefault="00BE507A" w:rsidP="00BE507A">
      <w:pPr>
        <w:rPr>
          <w:noProof/>
          <w:sz w:val="22"/>
          <w:szCs w:val="22"/>
        </w:rPr>
      </w:pPr>
      <w:r w:rsidRPr="00B2745E">
        <w:rPr>
          <w:noProof/>
          <w:sz w:val="22"/>
          <w:szCs w:val="22"/>
        </w:rPr>
        <w:t xml:space="preserve"> </w:t>
      </w:r>
    </w:p>
    <w:p w14:paraId="16598A39" w14:textId="3921695E" w:rsidR="00BE507A" w:rsidRPr="00B2745E" w:rsidRDefault="00BE507A" w:rsidP="00BE507A">
      <w:pPr>
        <w:rPr>
          <w:noProof/>
          <w:sz w:val="22"/>
          <w:szCs w:val="22"/>
        </w:rPr>
      </w:pPr>
      <w:r w:rsidRPr="00B2745E">
        <w:rPr>
          <w:noProof/>
          <w:sz w:val="22"/>
          <w:szCs w:val="22"/>
        </w:rPr>
        <w:t xml:space="preserve">În ceea ce privește teritorialitatea Zonei Economice Exclusive a României, din punct de vedere vamal, limita acesteia este </w:t>
      </w:r>
      <w:r w:rsidR="00A543A8" w:rsidRPr="00B2745E">
        <w:rPr>
          <w:noProof/>
          <w:sz w:val="22"/>
          <w:szCs w:val="22"/>
        </w:rPr>
        <w:t xml:space="preserve">de </w:t>
      </w:r>
      <w:r w:rsidRPr="00B2745E">
        <w:rPr>
          <w:noProof/>
          <w:sz w:val="22"/>
          <w:szCs w:val="22"/>
        </w:rPr>
        <w:t>12 mile marine, iar din punct de vedere TVA și accize, limita ei este de până la 200 de mile marine. Aceast</w:t>
      </w:r>
      <w:r w:rsidR="00CB453D" w:rsidRPr="00B2745E">
        <w:rPr>
          <w:noProof/>
          <w:sz w:val="22"/>
          <w:szCs w:val="22"/>
        </w:rPr>
        <w:t>ă</w:t>
      </w:r>
      <w:r w:rsidRPr="00B2745E">
        <w:rPr>
          <w:noProof/>
          <w:sz w:val="22"/>
          <w:szCs w:val="22"/>
        </w:rPr>
        <w:t xml:space="preserve"> separație aduce tratamente diferite pentru diverse tranzacții din punct de vedere vamal și fiscal.  </w:t>
      </w:r>
    </w:p>
    <w:p w14:paraId="04187B03" w14:textId="77777777" w:rsidR="00BE507A" w:rsidRPr="00B2745E" w:rsidRDefault="00BE507A" w:rsidP="00BE507A">
      <w:pPr>
        <w:jc w:val="right"/>
        <w:rPr>
          <w:noProof/>
          <w:sz w:val="22"/>
          <w:szCs w:val="22"/>
        </w:rPr>
      </w:pPr>
    </w:p>
    <w:p w14:paraId="10FFAF4C" w14:textId="1192A200" w:rsidR="00CB453D" w:rsidRPr="00B2745E" w:rsidRDefault="00CB453D" w:rsidP="00BE507A">
      <w:pPr>
        <w:rPr>
          <w:noProof/>
          <w:sz w:val="22"/>
          <w:szCs w:val="22"/>
        </w:rPr>
      </w:pPr>
      <w:r w:rsidRPr="00B2745E">
        <w:rPr>
          <w:noProof/>
          <w:sz w:val="22"/>
          <w:szCs w:val="22"/>
        </w:rPr>
        <w:t>Î</w:t>
      </w:r>
      <w:r w:rsidR="00BE507A" w:rsidRPr="00B2745E">
        <w:rPr>
          <w:noProof/>
          <w:sz w:val="22"/>
          <w:szCs w:val="22"/>
        </w:rPr>
        <w:t>n concluzie, ast</w:t>
      </w:r>
      <w:r w:rsidRPr="00B2745E">
        <w:rPr>
          <w:noProof/>
          <w:sz w:val="22"/>
          <w:szCs w:val="22"/>
        </w:rPr>
        <w:t>ă</w:t>
      </w:r>
      <w:r w:rsidR="00BE507A" w:rsidRPr="00B2745E">
        <w:rPr>
          <w:noProof/>
          <w:sz w:val="22"/>
          <w:szCs w:val="22"/>
        </w:rPr>
        <w:t>zi, Legea Offshore</w:t>
      </w:r>
      <w:r w:rsidRPr="00B2745E">
        <w:rPr>
          <w:noProof/>
          <w:sz w:val="22"/>
          <w:szCs w:val="22"/>
        </w:rPr>
        <w:t>:</w:t>
      </w:r>
    </w:p>
    <w:p w14:paraId="3A33CE73" w14:textId="464FAF78" w:rsidR="00BE507A" w:rsidRPr="00B2745E" w:rsidRDefault="00BE507A" w:rsidP="00BE507A">
      <w:pPr>
        <w:rPr>
          <w:noProof/>
          <w:sz w:val="22"/>
          <w:szCs w:val="22"/>
        </w:rPr>
      </w:pPr>
      <w:r w:rsidRPr="00B2745E">
        <w:rPr>
          <w:noProof/>
          <w:sz w:val="22"/>
          <w:szCs w:val="22"/>
        </w:rPr>
        <w:t xml:space="preserve"> </w:t>
      </w:r>
    </w:p>
    <w:p w14:paraId="7083D9A2" w14:textId="16578231" w:rsidR="00BE507A" w:rsidRPr="00B2745E" w:rsidRDefault="006373E3" w:rsidP="0033170C">
      <w:pPr>
        <w:pStyle w:val="ListParagraph"/>
        <w:numPr>
          <w:ilvl w:val="0"/>
          <w:numId w:val="12"/>
        </w:numPr>
        <w:rPr>
          <w:rFonts w:cs="Arial"/>
          <w:noProof/>
          <w:lang w:val="ro-RO"/>
        </w:rPr>
      </w:pPr>
      <w:r w:rsidRPr="00B2745E">
        <w:rPr>
          <w:rFonts w:ascii="Arial" w:hAnsi="Arial" w:cs="Arial"/>
          <w:noProof/>
          <w:lang w:val="ro-RO"/>
        </w:rPr>
        <w:t xml:space="preserve">arată România ca fiind o țară matură, gata să ofere </w:t>
      </w:r>
      <w:r w:rsidR="00BE507A" w:rsidRPr="00B2745E">
        <w:rPr>
          <w:rFonts w:ascii="Arial" w:hAnsi="Arial" w:cs="Arial"/>
          <w:noProof/>
          <w:lang w:val="ro-RO"/>
        </w:rPr>
        <w:t xml:space="preserve">mult </w:t>
      </w:r>
      <w:r w:rsidR="00CB453D" w:rsidRPr="00B2745E">
        <w:rPr>
          <w:rFonts w:ascii="Arial" w:hAnsi="Arial" w:cs="Arial"/>
          <w:noProof/>
          <w:lang w:val="ro-RO"/>
        </w:rPr>
        <w:t xml:space="preserve">așteptata </w:t>
      </w:r>
      <w:r w:rsidR="00BE507A" w:rsidRPr="00B2745E">
        <w:rPr>
          <w:rFonts w:ascii="Arial" w:hAnsi="Arial" w:cs="Arial"/>
          <w:noProof/>
          <w:lang w:val="ro-RO"/>
        </w:rPr>
        <w:t xml:space="preserve">predictibilitate </w:t>
      </w:r>
      <w:r w:rsidR="00CB453D" w:rsidRPr="00B2745E">
        <w:rPr>
          <w:rFonts w:ascii="Arial" w:hAnsi="Arial" w:cs="Arial"/>
          <w:noProof/>
          <w:lang w:val="ro-RO"/>
        </w:rPr>
        <w:t xml:space="preserve">și </w:t>
      </w:r>
      <w:r w:rsidR="00BE507A" w:rsidRPr="00B2745E">
        <w:rPr>
          <w:rFonts w:ascii="Arial" w:hAnsi="Arial" w:cs="Arial"/>
          <w:noProof/>
          <w:lang w:val="ro-RO"/>
        </w:rPr>
        <w:t xml:space="preserve">stabilitate titularilor de acorduri petroliere offshore </w:t>
      </w:r>
      <w:r w:rsidR="004B70B0" w:rsidRPr="00B2745E">
        <w:rPr>
          <w:rFonts w:ascii="Arial" w:hAnsi="Arial" w:cs="Arial"/>
          <w:noProof/>
          <w:lang w:val="ro-RO"/>
        </w:rPr>
        <w:t xml:space="preserve">și </w:t>
      </w:r>
      <w:r w:rsidR="00BE507A" w:rsidRPr="00B2745E">
        <w:rPr>
          <w:rFonts w:ascii="Arial" w:hAnsi="Arial" w:cs="Arial"/>
          <w:noProof/>
          <w:lang w:val="ro-RO"/>
        </w:rPr>
        <w:t xml:space="preserve">onshore de mare </w:t>
      </w:r>
      <w:r w:rsidR="004B70B0" w:rsidRPr="00B2745E">
        <w:rPr>
          <w:rFonts w:ascii="Arial" w:hAnsi="Arial" w:cs="Arial"/>
          <w:noProof/>
          <w:lang w:val="ro-RO"/>
        </w:rPr>
        <w:t xml:space="preserve">adâncime, </w:t>
      </w:r>
      <w:r w:rsidR="00BE507A" w:rsidRPr="00B2745E">
        <w:rPr>
          <w:rFonts w:ascii="Arial" w:hAnsi="Arial" w:cs="Arial"/>
          <w:noProof/>
          <w:lang w:val="ro-RO"/>
        </w:rPr>
        <w:t xml:space="preserve">cu privire la regimul de redevențe și regimul fiscal specific </w:t>
      </w:r>
    </w:p>
    <w:p w14:paraId="0D40FD1D" w14:textId="135EB64D" w:rsidR="00BE507A" w:rsidRPr="00B2745E" w:rsidRDefault="004B70B0" w:rsidP="0033170C">
      <w:pPr>
        <w:pStyle w:val="ListParagraph"/>
        <w:numPr>
          <w:ilvl w:val="0"/>
          <w:numId w:val="12"/>
        </w:numPr>
        <w:rPr>
          <w:rFonts w:cs="Arial"/>
          <w:noProof/>
          <w:lang w:val="ro-RO"/>
        </w:rPr>
      </w:pPr>
      <w:r w:rsidRPr="00B2745E">
        <w:rPr>
          <w:rFonts w:ascii="Arial" w:hAnsi="Arial" w:cs="Arial"/>
          <w:noProof/>
          <w:lang w:val="ro-RO"/>
        </w:rPr>
        <w:t xml:space="preserve">încurajează achiziția </w:t>
      </w:r>
      <w:r w:rsidR="00BE507A" w:rsidRPr="00B2745E">
        <w:rPr>
          <w:rFonts w:ascii="Arial" w:hAnsi="Arial" w:cs="Arial"/>
          <w:noProof/>
          <w:lang w:val="ro-RO"/>
        </w:rPr>
        <w:t xml:space="preserve">de bunuri </w:t>
      </w:r>
      <w:r w:rsidRPr="00B2745E">
        <w:rPr>
          <w:rFonts w:ascii="Arial" w:hAnsi="Arial" w:cs="Arial"/>
          <w:noProof/>
          <w:lang w:val="ro-RO"/>
        </w:rPr>
        <w:t xml:space="preserve">și </w:t>
      </w:r>
      <w:r w:rsidR="00BE507A" w:rsidRPr="00B2745E">
        <w:rPr>
          <w:rFonts w:ascii="Arial" w:hAnsi="Arial" w:cs="Arial"/>
          <w:noProof/>
          <w:lang w:val="ro-RO"/>
        </w:rPr>
        <w:t xml:space="preserve">servicii din </w:t>
      </w:r>
      <w:r w:rsidRPr="00B2745E">
        <w:rPr>
          <w:rFonts w:ascii="Arial" w:hAnsi="Arial" w:cs="Arial"/>
          <w:noProof/>
          <w:lang w:val="ro-RO"/>
        </w:rPr>
        <w:t xml:space="preserve">spațiul </w:t>
      </w:r>
      <w:r w:rsidR="00BE507A" w:rsidRPr="00B2745E">
        <w:rPr>
          <w:rFonts w:ascii="Arial" w:hAnsi="Arial" w:cs="Arial"/>
          <w:noProof/>
          <w:lang w:val="ro-RO"/>
        </w:rPr>
        <w:t xml:space="preserve">european </w:t>
      </w:r>
      <w:r w:rsidRPr="00B2745E">
        <w:rPr>
          <w:rFonts w:ascii="Arial" w:hAnsi="Arial" w:cs="Arial"/>
          <w:noProof/>
          <w:lang w:val="ro-RO"/>
        </w:rPr>
        <w:t xml:space="preserve">și </w:t>
      </w:r>
      <w:r w:rsidR="00BE507A" w:rsidRPr="00B2745E">
        <w:rPr>
          <w:rFonts w:ascii="Arial" w:hAnsi="Arial" w:cs="Arial"/>
          <w:noProof/>
          <w:lang w:val="ro-RO"/>
        </w:rPr>
        <w:t xml:space="preserve">din </w:t>
      </w:r>
      <w:r w:rsidRPr="00B2745E">
        <w:rPr>
          <w:rFonts w:ascii="Arial" w:hAnsi="Arial" w:cs="Arial"/>
          <w:noProof/>
          <w:lang w:val="ro-RO"/>
        </w:rPr>
        <w:t xml:space="preserve">țări </w:t>
      </w:r>
      <w:r w:rsidR="00BE507A" w:rsidRPr="00B2745E">
        <w:rPr>
          <w:rFonts w:ascii="Arial" w:hAnsi="Arial" w:cs="Arial"/>
          <w:noProof/>
          <w:lang w:val="ro-RO"/>
        </w:rPr>
        <w:t xml:space="preserve">care au </w:t>
      </w:r>
      <w:r w:rsidRPr="00B2745E">
        <w:rPr>
          <w:rFonts w:ascii="Arial" w:hAnsi="Arial" w:cs="Arial"/>
          <w:noProof/>
          <w:lang w:val="ro-RO"/>
        </w:rPr>
        <w:t xml:space="preserve">încheiat </w:t>
      </w:r>
      <w:r w:rsidR="00BE507A" w:rsidRPr="00B2745E">
        <w:rPr>
          <w:rFonts w:ascii="Arial" w:hAnsi="Arial" w:cs="Arial"/>
          <w:noProof/>
          <w:lang w:val="ro-RO"/>
        </w:rPr>
        <w:t xml:space="preserve">acorduri de </w:t>
      </w:r>
      <w:r w:rsidRPr="00B2745E">
        <w:rPr>
          <w:rFonts w:ascii="Arial" w:hAnsi="Arial" w:cs="Arial"/>
          <w:noProof/>
          <w:lang w:val="ro-RO"/>
        </w:rPr>
        <w:t xml:space="preserve">comerț </w:t>
      </w:r>
      <w:r w:rsidR="00BE507A" w:rsidRPr="00B2745E">
        <w:rPr>
          <w:rFonts w:ascii="Arial" w:hAnsi="Arial" w:cs="Arial"/>
          <w:noProof/>
          <w:lang w:val="ro-RO"/>
        </w:rPr>
        <w:t xml:space="preserve">bilateral/multilateral cu Uniunea </w:t>
      </w:r>
      <w:r w:rsidRPr="00B2745E">
        <w:rPr>
          <w:rFonts w:ascii="Arial" w:hAnsi="Arial" w:cs="Arial"/>
          <w:noProof/>
          <w:lang w:val="ro-RO"/>
        </w:rPr>
        <w:t xml:space="preserve">Europeană </w:t>
      </w:r>
    </w:p>
    <w:p w14:paraId="113AEC53" w14:textId="096F16C2" w:rsidR="00BE507A" w:rsidRPr="00B2745E" w:rsidRDefault="004B70B0" w:rsidP="0033170C">
      <w:pPr>
        <w:pStyle w:val="ListParagraph"/>
        <w:numPr>
          <w:ilvl w:val="0"/>
          <w:numId w:val="12"/>
        </w:numPr>
        <w:rPr>
          <w:rFonts w:cs="Arial"/>
          <w:noProof/>
          <w:lang w:val="ro-RO"/>
        </w:rPr>
      </w:pPr>
      <w:r w:rsidRPr="00B2745E">
        <w:rPr>
          <w:rFonts w:ascii="Arial" w:hAnsi="Arial" w:cs="Arial"/>
          <w:noProof/>
          <w:lang w:val="ro-RO"/>
        </w:rPr>
        <w:t xml:space="preserve">oferă </w:t>
      </w:r>
      <w:r w:rsidR="00BE507A" w:rsidRPr="00B2745E">
        <w:rPr>
          <w:rFonts w:ascii="Arial" w:hAnsi="Arial" w:cs="Arial"/>
          <w:noProof/>
          <w:lang w:val="ro-RO"/>
        </w:rPr>
        <w:t xml:space="preserve">posibilitatea de a vinde liber hidrocarburile extrase, ca </w:t>
      </w:r>
      <w:r w:rsidRPr="00B2745E">
        <w:rPr>
          <w:rFonts w:ascii="Arial" w:hAnsi="Arial" w:cs="Arial"/>
          <w:noProof/>
          <w:lang w:val="ro-RO"/>
        </w:rPr>
        <w:t xml:space="preserve">regulă generală și în condiții </w:t>
      </w:r>
      <w:r w:rsidR="00BE507A" w:rsidRPr="00B2745E">
        <w:rPr>
          <w:rFonts w:ascii="Arial" w:hAnsi="Arial" w:cs="Arial"/>
          <w:noProof/>
          <w:lang w:val="ro-RO"/>
        </w:rPr>
        <w:t xml:space="preserve">normale. </w:t>
      </w:r>
      <w:r w:rsidRPr="00B2745E">
        <w:rPr>
          <w:rFonts w:ascii="Arial" w:hAnsi="Arial" w:cs="Arial"/>
          <w:noProof/>
          <w:lang w:val="ro-RO"/>
        </w:rPr>
        <w:t xml:space="preserve">În același </w:t>
      </w:r>
      <w:r w:rsidR="00BE507A" w:rsidRPr="00B2745E">
        <w:rPr>
          <w:rFonts w:ascii="Arial" w:hAnsi="Arial" w:cs="Arial"/>
          <w:noProof/>
          <w:lang w:val="ro-RO"/>
        </w:rPr>
        <w:t xml:space="preserve">timp, consumatorii casnici vor fi </w:t>
      </w:r>
      <w:r w:rsidRPr="00B2745E">
        <w:rPr>
          <w:rFonts w:ascii="Arial" w:hAnsi="Arial" w:cs="Arial"/>
          <w:noProof/>
          <w:lang w:val="ro-RO"/>
        </w:rPr>
        <w:t>protejați în condiții excepționale</w:t>
      </w:r>
      <w:r w:rsidR="00BE507A" w:rsidRPr="00B2745E">
        <w:rPr>
          <w:rFonts w:ascii="Arial" w:hAnsi="Arial" w:cs="Arial"/>
          <w:noProof/>
          <w:lang w:val="ro-RO"/>
        </w:rPr>
        <w:t xml:space="preserve">  </w:t>
      </w:r>
    </w:p>
    <w:p w14:paraId="1C88D4C4" w14:textId="51D41B21" w:rsidR="00BE507A" w:rsidRPr="00B2745E" w:rsidRDefault="00BE507A" w:rsidP="0033170C">
      <w:pPr>
        <w:pStyle w:val="ListParagraph"/>
        <w:numPr>
          <w:ilvl w:val="0"/>
          <w:numId w:val="12"/>
        </w:numPr>
        <w:rPr>
          <w:rFonts w:cs="Arial"/>
          <w:noProof/>
          <w:lang w:val="ro-RO"/>
        </w:rPr>
      </w:pPr>
      <w:r w:rsidRPr="00B2745E">
        <w:rPr>
          <w:rFonts w:ascii="Arial" w:hAnsi="Arial" w:cs="Arial"/>
          <w:noProof/>
          <w:lang w:val="ro-RO"/>
        </w:rPr>
        <w:t xml:space="preserve">este o lege </w:t>
      </w:r>
      <w:r w:rsidR="004B70B0" w:rsidRPr="00B2745E">
        <w:rPr>
          <w:rFonts w:ascii="Arial" w:hAnsi="Arial" w:cs="Arial"/>
          <w:noProof/>
          <w:lang w:val="ro-RO"/>
        </w:rPr>
        <w:t xml:space="preserve">creată în </w:t>
      </w:r>
      <w:r w:rsidRPr="00B2745E">
        <w:rPr>
          <w:rFonts w:ascii="Arial" w:hAnsi="Arial" w:cs="Arial"/>
          <w:noProof/>
          <w:lang w:val="ro-RO"/>
        </w:rPr>
        <w:t xml:space="preserve">sensul unei </w:t>
      </w:r>
      <w:r w:rsidR="004B70B0" w:rsidRPr="00B2745E">
        <w:rPr>
          <w:rFonts w:ascii="Arial" w:hAnsi="Arial" w:cs="Arial"/>
          <w:noProof/>
          <w:lang w:val="ro-RO"/>
        </w:rPr>
        <w:t xml:space="preserve">împărțiri </w:t>
      </w:r>
      <w:r w:rsidRPr="00B2745E">
        <w:rPr>
          <w:rFonts w:ascii="Arial" w:hAnsi="Arial" w:cs="Arial"/>
          <w:noProof/>
          <w:lang w:val="ro-RO"/>
        </w:rPr>
        <w:t xml:space="preserve">echitabile a unor eventuale </w:t>
      </w:r>
      <w:r w:rsidR="004B70B0" w:rsidRPr="00B2745E">
        <w:rPr>
          <w:rFonts w:ascii="Arial" w:hAnsi="Arial" w:cs="Arial"/>
          <w:noProof/>
          <w:lang w:val="ro-RO"/>
        </w:rPr>
        <w:t xml:space="preserve">câștiguri excepționale între </w:t>
      </w:r>
      <w:r w:rsidRPr="00B2745E">
        <w:rPr>
          <w:rFonts w:ascii="Arial" w:hAnsi="Arial" w:cs="Arial"/>
          <w:noProof/>
          <w:lang w:val="ro-RO"/>
        </w:rPr>
        <w:t xml:space="preserve">investitor </w:t>
      </w:r>
      <w:r w:rsidR="004B70B0" w:rsidRPr="00B2745E">
        <w:rPr>
          <w:rFonts w:ascii="Arial" w:hAnsi="Arial" w:cs="Arial"/>
          <w:noProof/>
          <w:lang w:val="ro-RO"/>
        </w:rPr>
        <w:t xml:space="preserve">și </w:t>
      </w:r>
      <w:r w:rsidRPr="00B2745E">
        <w:rPr>
          <w:rFonts w:ascii="Arial" w:hAnsi="Arial" w:cs="Arial"/>
          <w:noProof/>
          <w:lang w:val="ro-RO"/>
        </w:rPr>
        <w:t xml:space="preserve">statul </w:t>
      </w:r>
      <w:r w:rsidR="004B70B0" w:rsidRPr="00B2745E">
        <w:rPr>
          <w:rFonts w:ascii="Arial" w:hAnsi="Arial" w:cs="Arial"/>
          <w:noProof/>
          <w:lang w:val="ro-RO"/>
        </w:rPr>
        <w:t xml:space="preserve">român </w:t>
      </w:r>
      <w:r w:rsidRPr="00B2745E">
        <w:rPr>
          <w:rFonts w:ascii="Arial" w:hAnsi="Arial" w:cs="Arial"/>
          <w:noProof/>
          <w:lang w:val="ro-RO"/>
        </w:rPr>
        <w:t>(</w:t>
      </w:r>
      <w:r w:rsidR="004B70B0" w:rsidRPr="00B2745E">
        <w:rPr>
          <w:rFonts w:ascii="Arial" w:hAnsi="Arial" w:cs="Arial"/>
          <w:noProof/>
          <w:lang w:val="ro-RO"/>
        </w:rPr>
        <w:t xml:space="preserve">permițând, totodată, </w:t>
      </w:r>
      <w:r w:rsidRPr="00B2745E">
        <w:rPr>
          <w:rFonts w:ascii="Arial" w:hAnsi="Arial" w:cs="Arial"/>
          <w:noProof/>
          <w:lang w:val="ro-RO"/>
        </w:rPr>
        <w:t xml:space="preserve">recuperarea </w:t>
      </w:r>
      <w:r w:rsidR="004B70B0" w:rsidRPr="00B2745E">
        <w:rPr>
          <w:rFonts w:ascii="Arial" w:hAnsi="Arial" w:cs="Arial"/>
          <w:noProof/>
          <w:lang w:val="ro-RO"/>
        </w:rPr>
        <w:t xml:space="preserve">integrală </w:t>
      </w:r>
      <w:r w:rsidRPr="00B2745E">
        <w:rPr>
          <w:rFonts w:ascii="Arial" w:hAnsi="Arial" w:cs="Arial"/>
          <w:noProof/>
          <w:lang w:val="ro-RO"/>
        </w:rPr>
        <w:t xml:space="preserve">a </w:t>
      </w:r>
      <w:r w:rsidR="004B70B0" w:rsidRPr="00B2745E">
        <w:rPr>
          <w:rFonts w:ascii="Arial" w:hAnsi="Arial" w:cs="Arial"/>
          <w:noProof/>
          <w:lang w:val="ro-RO"/>
        </w:rPr>
        <w:t xml:space="preserve">investiției în </w:t>
      </w:r>
      <w:r w:rsidRPr="00B2745E">
        <w:rPr>
          <w:rFonts w:ascii="Arial" w:hAnsi="Arial" w:cs="Arial"/>
          <w:noProof/>
          <w:lang w:val="ro-RO"/>
        </w:rPr>
        <w:t>segmentul upstream din valoarea impozitului suplimentar)</w:t>
      </w:r>
      <w:r w:rsidR="00A543A8" w:rsidRPr="00B2745E">
        <w:rPr>
          <w:rFonts w:ascii="Arial" w:hAnsi="Arial" w:cs="Arial"/>
          <w:noProof/>
          <w:lang w:val="ro-RO"/>
        </w:rPr>
        <w:t>.</w:t>
      </w:r>
      <w:r w:rsidRPr="00B2745E">
        <w:rPr>
          <w:rFonts w:ascii="Arial" w:hAnsi="Arial" w:cs="Arial"/>
          <w:noProof/>
          <w:lang w:val="ro-RO"/>
        </w:rPr>
        <w:t xml:space="preserve"> </w:t>
      </w:r>
    </w:p>
    <w:p w14:paraId="52A30523" w14:textId="77777777" w:rsidR="00BE507A" w:rsidRPr="00B2745E" w:rsidRDefault="00BE507A" w:rsidP="00BE507A">
      <w:pPr>
        <w:rPr>
          <w:rFonts w:cs="Arial"/>
          <w:noProof/>
          <w:sz w:val="22"/>
          <w:szCs w:val="22"/>
        </w:rPr>
      </w:pPr>
    </w:p>
    <w:p w14:paraId="5308F458" w14:textId="3F93661C" w:rsidR="00BE507A" w:rsidRPr="00B2745E" w:rsidRDefault="004B70B0" w:rsidP="00BE507A">
      <w:pPr>
        <w:rPr>
          <w:rFonts w:cs="Arial"/>
          <w:noProof/>
          <w:sz w:val="22"/>
          <w:szCs w:val="22"/>
        </w:rPr>
      </w:pPr>
      <w:r w:rsidRPr="00B2745E">
        <w:rPr>
          <w:rFonts w:cs="Arial"/>
          <w:noProof/>
          <w:sz w:val="22"/>
          <w:szCs w:val="22"/>
        </w:rPr>
        <w:t xml:space="preserve">Reacția </w:t>
      </w:r>
      <w:r w:rsidR="00BE507A" w:rsidRPr="00B2745E">
        <w:rPr>
          <w:rFonts w:cs="Arial"/>
          <w:noProof/>
          <w:sz w:val="22"/>
          <w:szCs w:val="22"/>
        </w:rPr>
        <w:t>investitorilor/</w:t>
      </w:r>
      <w:r w:rsidRPr="00B2745E">
        <w:rPr>
          <w:rFonts w:cs="Arial"/>
          <w:noProof/>
          <w:sz w:val="22"/>
          <w:szCs w:val="22"/>
        </w:rPr>
        <w:t xml:space="preserve">jucătorilor </w:t>
      </w:r>
      <w:r w:rsidR="00BE507A" w:rsidRPr="00B2745E">
        <w:rPr>
          <w:rFonts w:cs="Arial"/>
          <w:noProof/>
          <w:sz w:val="22"/>
          <w:szCs w:val="22"/>
        </w:rPr>
        <w:t xml:space="preserve">din domeniul offshore nu a </w:t>
      </w:r>
      <w:r w:rsidRPr="00B2745E">
        <w:rPr>
          <w:rFonts w:cs="Arial"/>
          <w:noProof/>
          <w:sz w:val="22"/>
          <w:szCs w:val="22"/>
        </w:rPr>
        <w:t>întârziat să apară. Un procent de</w:t>
      </w:r>
      <w:r w:rsidR="00BE507A" w:rsidRPr="00B2745E">
        <w:rPr>
          <w:rFonts w:cs="Arial"/>
          <w:noProof/>
          <w:sz w:val="22"/>
          <w:szCs w:val="22"/>
        </w:rPr>
        <w:t xml:space="preserve"> 65% dintre </w:t>
      </w:r>
      <w:r w:rsidRPr="00B2745E">
        <w:rPr>
          <w:rFonts w:cs="Arial"/>
          <w:noProof/>
          <w:sz w:val="22"/>
          <w:szCs w:val="22"/>
        </w:rPr>
        <w:t xml:space="preserve">participanții </w:t>
      </w:r>
      <w:r w:rsidR="00BE507A" w:rsidRPr="00B2745E">
        <w:rPr>
          <w:rFonts w:cs="Arial"/>
          <w:noProof/>
          <w:sz w:val="22"/>
          <w:szCs w:val="22"/>
        </w:rPr>
        <w:t xml:space="preserve">la </w:t>
      </w:r>
      <w:r w:rsidRPr="00B2745E">
        <w:rPr>
          <w:rFonts w:cs="Arial"/>
          <w:noProof/>
          <w:sz w:val="22"/>
          <w:szCs w:val="22"/>
        </w:rPr>
        <w:t xml:space="preserve">conferința anuală dedicată </w:t>
      </w:r>
      <w:r w:rsidR="00BE507A" w:rsidRPr="00B2745E">
        <w:rPr>
          <w:rFonts w:cs="Arial"/>
          <w:noProof/>
          <w:sz w:val="22"/>
          <w:szCs w:val="22"/>
        </w:rPr>
        <w:t>resurselor din Marea Neagr</w:t>
      </w:r>
      <w:r w:rsidRPr="00B2745E">
        <w:rPr>
          <w:rFonts w:cs="Arial"/>
          <w:noProof/>
          <w:sz w:val="22"/>
          <w:szCs w:val="22"/>
        </w:rPr>
        <w:t>ă</w:t>
      </w:r>
      <w:r w:rsidR="00BE507A" w:rsidRPr="00B2745E">
        <w:rPr>
          <w:rFonts w:cs="Arial"/>
          <w:noProof/>
          <w:sz w:val="22"/>
          <w:szCs w:val="22"/>
        </w:rPr>
        <w:t xml:space="preserve"> (Black Sea Oil and Gas – 22/23 iunie 2022) </w:t>
      </w:r>
      <w:r w:rsidRPr="00B2745E">
        <w:rPr>
          <w:rFonts w:cs="Arial"/>
          <w:noProof/>
          <w:sz w:val="22"/>
          <w:szCs w:val="22"/>
        </w:rPr>
        <w:t xml:space="preserve">au </w:t>
      </w:r>
      <w:r w:rsidR="00BB2204" w:rsidRPr="00B2745E">
        <w:rPr>
          <w:rFonts w:cs="Arial"/>
          <w:noProof/>
          <w:sz w:val="22"/>
          <w:szCs w:val="22"/>
        </w:rPr>
        <w:t xml:space="preserve">ales preponderent </w:t>
      </w:r>
      <w:r w:rsidRPr="00B2745E">
        <w:rPr>
          <w:rFonts w:cs="Arial"/>
          <w:noProof/>
          <w:sz w:val="22"/>
          <w:szCs w:val="22"/>
        </w:rPr>
        <w:t xml:space="preserve">România </w:t>
      </w:r>
      <w:r w:rsidR="00BE507A" w:rsidRPr="00B2745E">
        <w:rPr>
          <w:rFonts w:cs="Arial"/>
          <w:noProof/>
          <w:sz w:val="22"/>
          <w:szCs w:val="22"/>
        </w:rPr>
        <w:t xml:space="preserve">ca </w:t>
      </w:r>
      <w:r w:rsidRPr="00B2745E">
        <w:rPr>
          <w:rFonts w:cs="Arial"/>
          <w:noProof/>
          <w:sz w:val="22"/>
          <w:szCs w:val="22"/>
        </w:rPr>
        <w:t xml:space="preserve">destinație </w:t>
      </w:r>
      <w:r w:rsidR="00BE507A" w:rsidRPr="00B2745E">
        <w:rPr>
          <w:rFonts w:cs="Arial"/>
          <w:noProof/>
          <w:sz w:val="22"/>
          <w:szCs w:val="22"/>
        </w:rPr>
        <w:t xml:space="preserve">a </w:t>
      </w:r>
      <w:r w:rsidR="00BB2204" w:rsidRPr="00B2745E">
        <w:rPr>
          <w:rFonts w:cs="Arial"/>
          <w:noProof/>
          <w:sz w:val="22"/>
          <w:szCs w:val="22"/>
        </w:rPr>
        <w:t xml:space="preserve">viitoarelor </w:t>
      </w:r>
      <w:r w:rsidRPr="00B2745E">
        <w:rPr>
          <w:rFonts w:cs="Arial"/>
          <w:noProof/>
          <w:sz w:val="22"/>
          <w:szCs w:val="22"/>
        </w:rPr>
        <w:t xml:space="preserve">investiții </w:t>
      </w:r>
      <w:r w:rsidR="00BE507A" w:rsidRPr="00B2745E">
        <w:rPr>
          <w:rFonts w:cs="Arial"/>
          <w:noProof/>
          <w:sz w:val="22"/>
          <w:szCs w:val="22"/>
        </w:rPr>
        <w:t xml:space="preserve">offshore din zona </w:t>
      </w:r>
      <w:r w:rsidRPr="00B2745E">
        <w:rPr>
          <w:rFonts w:cs="Arial"/>
          <w:noProof/>
          <w:sz w:val="22"/>
          <w:szCs w:val="22"/>
        </w:rPr>
        <w:t xml:space="preserve">Mării </w:t>
      </w:r>
      <w:r w:rsidR="00BE507A" w:rsidRPr="00B2745E">
        <w:rPr>
          <w:rFonts w:cs="Arial"/>
          <w:noProof/>
          <w:sz w:val="22"/>
          <w:szCs w:val="22"/>
        </w:rPr>
        <w:t xml:space="preserve">Negre.  </w:t>
      </w:r>
    </w:p>
    <w:p w14:paraId="53BD9662" w14:textId="005F7636" w:rsidR="00F770A3" w:rsidRPr="00B2745E" w:rsidRDefault="00F770A3" w:rsidP="00FB246E">
      <w:pPr>
        <w:pStyle w:val="NormalWeb"/>
        <w:shd w:val="clear" w:color="auto" w:fill="FFFFFF"/>
        <w:spacing w:before="0" w:beforeAutospacing="0" w:after="0" w:afterAutospacing="0" w:line="360" w:lineRule="auto"/>
        <w:rPr>
          <w:rFonts w:ascii="Arial" w:hAnsi="Arial" w:cs="Arial"/>
          <w:noProof/>
          <w:sz w:val="22"/>
          <w:szCs w:val="22"/>
        </w:rPr>
      </w:pPr>
    </w:p>
    <w:tbl>
      <w:tblPr>
        <w:tblStyle w:val="TableGrid"/>
        <w:tblW w:w="0" w:type="auto"/>
        <w:tblLook w:val="04A0" w:firstRow="1" w:lastRow="0" w:firstColumn="1" w:lastColumn="0" w:noHBand="0" w:noVBand="1"/>
      </w:tblPr>
      <w:tblGrid>
        <w:gridCol w:w="4623"/>
        <w:gridCol w:w="4624"/>
      </w:tblGrid>
      <w:tr w:rsidR="00BE507A" w:rsidRPr="00B2745E" w14:paraId="7E0ACFD5" w14:textId="77777777" w:rsidTr="00BE507A">
        <w:tc>
          <w:tcPr>
            <w:tcW w:w="4623" w:type="dxa"/>
          </w:tcPr>
          <w:p w14:paraId="153FB076" w14:textId="55196B28" w:rsidR="00BE507A" w:rsidRPr="00B2745E" w:rsidRDefault="00BE507A" w:rsidP="00FB246E">
            <w:pPr>
              <w:pStyle w:val="NormalWeb"/>
              <w:spacing w:before="0" w:beforeAutospacing="0" w:after="0" w:afterAutospacing="0" w:line="360" w:lineRule="auto"/>
              <w:rPr>
                <w:rFonts w:ascii="Arial" w:hAnsi="Arial" w:cs="Arial"/>
                <w:noProof/>
                <w:sz w:val="22"/>
                <w:szCs w:val="22"/>
              </w:rPr>
            </w:pPr>
            <w:r w:rsidRPr="00B2745E">
              <w:rPr>
                <w:noProof/>
                <w:sz w:val="22"/>
                <w:szCs w:val="22"/>
              </w:rPr>
              <w:drawing>
                <wp:inline distT="0" distB="0" distL="0" distR="0" wp14:anchorId="4B30C9A7" wp14:editId="29B4E9A1">
                  <wp:extent cx="2162810" cy="2481580"/>
                  <wp:effectExtent l="0" t="0" r="889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810" cy="2481580"/>
                          </a:xfrm>
                          <a:prstGeom prst="rect">
                            <a:avLst/>
                          </a:prstGeom>
                        </pic:spPr>
                      </pic:pic>
                    </a:graphicData>
                  </a:graphic>
                </wp:inline>
              </w:drawing>
            </w:r>
          </w:p>
        </w:tc>
        <w:tc>
          <w:tcPr>
            <w:tcW w:w="4624" w:type="dxa"/>
          </w:tcPr>
          <w:p w14:paraId="47616274" w14:textId="77777777" w:rsidR="00BE507A" w:rsidRPr="00B2745E" w:rsidRDefault="00BE507A" w:rsidP="00FB246E">
            <w:pPr>
              <w:pStyle w:val="NormalWeb"/>
              <w:spacing w:before="0" w:beforeAutospacing="0" w:after="0" w:afterAutospacing="0" w:line="360" w:lineRule="auto"/>
              <w:rPr>
                <w:rFonts w:ascii="Arial" w:hAnsi="Arial" w:cs="Arial"/>
                <w:noProof/>
                <w:sz w:val="22"/>
                <w:szCs w:val="22"/>
              </w:rPr>
            </w:pPr>
          </w:p>
        </w:tc>
      </w:tr>
    </w:tbl>
    <w:p w14:paraId="72CEFA93" w14:textId="77777777" w:rsidR="00F770A3" w:rsidRPr="00B2745E" w:rsidRDefault="00F770A3" w:rsidP="00FB246E">
      <w:pPr>
        <w:pStyle w:val="NormalWeb"/>
        <w:shd w:val="clear" w:color="auto" w:fill="FFFFFF"/>
        <w:spacing w:before="0" w:beforeAutospacing="0" w:after="0" w:afterAutospacing="0" w:line="360" w:lineRule="auto"/>
        <w:rPr>
          <w:rFonts w:ascii="Arial" w:hAnsi="Arial" w:cs="Arial"/>
          <w:noProof/>
          <w:sz w:val="22"/>
          <w:szCs w:val="22"/>
        </w:rPr>
      </w:pPr>
    </w:p>
    <w:p w14:paraId="20A8DBC1" w14:textId="77777777" w:rsidR="00F770A3" w:rsidRPr="00B2745E" w:rsidRDefault="00F770A3" w:rsidP="00FB246E">
      <w:pPr>
        <w:pStyle w:val="NormalWeb"/>
        <w:shd w:val="clear" w:color="auto" w:fill="FFFFFF"/>
        <w:spacing w:before="0" w:beforeAutospacing="0" w:after="0" w:afterAutospacing="0" w:line="360" w:lineRule="auto"/>
        <w:rPr>
          <w:rFonts w:ascii="Arial" w:hAnsi="Arial" w:cs="Arial"/>
          <w:noProof/>
          <w:sz w:val="22"/>
          <w:szCs w:val="22"/>
        </w:rPr>
      </w:pPr>
    </w:p>
    <w:p w14:paraId="5B69B9A7" w14:textId="77777777" w:rsidR="00F770A3" w:rsidRPr="00B2745E" w:rsidRDefault="00F770A3" w:rsidP="00FB246E">
      <w:pPr>
        <w:pStyle w:val="NormalWeb"/>
        <w:shd w:val="clear" w:color="auto" w:fill="FFFFFF"/>
        <w:spacing w:before="0" w:beforeAutospacing="0" w:after="0" w:afterAutospacing="0" w:line="360" w:lineRule="auto"/>
        <w:rPr>
          <w:rFonts w:ascii="Arial" w:hAnsi="Arial" w:cs="Arial"/>
          <w:noProof/>
          <w:sz w:val="22"/>
          <w:szCs w:val="22"/>
        </w:rPr>
      </w:pPr>
    </w:p>
    <w:p w14:paraId="339B3E06" w14:textId="09033736" w:rsidR="007A4F2C" w:rsidRPr="00B2745E" w:rsidRDefault="009F566A" w:rsidP="00FB246E">
      <w:pPr>
        <w:pStyle w:val="NormalWeb"/>
        <w:shd w:val="clear" w:color="auto" w:fill="FFFFFF"/>
        <w:spacing w:before="0" w:beforeAutospacing="0" w:after="0" w:afterAutospacing="0" w:line="360" w:lineRule="auto"/>
        <w:rPr>
          <w:rFonts w:ascii="Arial" w:hAnsi="Arial" w:cs="Arial"/>
          <w:noProof/>
          <w:sz w:val="22"/>
          <w:szCs w:val="22"/>
        </w:rPr>
      </w:pPr>
      <w:r w:rsidRPr="00B2745E">
        <w:rPr>
          <w:rFonts w:ascii="Arial" w:hAnsi="Arial" w:cs="Arial"/>
          <w:noProof/>
          <w:sz w:val="22"/>
          <w:szCs w:val="22"/>
        </w:rPr>
        <w:t>-//-</w:t>
      </w:r>
    </w:p>
    <w:p w14:paraId="537134A4" w14:textId="77777777" w:rsidR="00A74F10" w:rsidRPr="00B2745E" w:rsidRDefault="00A74F10" w:rsidP="00A74F10">
      <w:pPr>
        <w:pStyle w:val="EYBodytextwithparaspace"/>
        <w:spacing w:after="240" w:line="276" w:lineRule="auto"/>
        <w:contextualSpacing/>
        <w:rPr>
          <w:rFonts w:cs="Arial"/>
          <w:b/>
          <w:bCs/>
          <w:noProof/>
          <w:sz w:val="18"/>
          <w:szCs w:val="18"/>
        </w:rPr>
      </w:pPr>
      <w:r w:rsidRPr="00B2745E">
        <w:rPr>
          <w:rFonts w:cs="Arial"/>
          <w:b/>
          <w:bCs/>
          <w:noProof/>
          <w:sz w:val="18"/>
          <w:szCs w:val="18"/>
        </w:rPr>
        <w:t>EY30 pentru România</w:t>
      </w:r>
    </w:p>
    <w:p w14:paraId="38FD4F52" w14:textId="77777777" w:rsidR="00A74F10" w:rsidRPr="00B2745E" w:rsidRDefault="00A74F10" w:rsidP="00A74F10">
      <w:pPr>
        <w:pStyle w:val="EYBodytextwithparaspace"/>
        <w:spacing w:after="240" w:line="276" w:lineRule="auto"/>
        <w:contextualSpacing/>
        <w:rPr>
          <w:rFonts w:cs="Arial"/>
          <w:b/>
          <w:bCs/>
          <w:noProof/>
          <w:sz w:val="18"/>
          <w:szCs w:val="18"/>
        </w:rPr>
      </w:pPr>
    </w:p>
    <w:p w14:paraId="68D8CB29" w14:textId="77777777" w:rsidR="00A74F10" w:rsidRPr="00B2745E" w:rsidRDefault="00A74F10" w:rsidP="00A74F10">
      <w:pPr>
        <w:pStyle w:val="EYBodytextwithparaspace"/>
        <w:spacing w:after="240" w:line="276" w:lineRule="auto"/>
        <w:contextualSpacing/>
        <w:rPr>
          <w:rFonts w:cs="Arial"/>
          <w:noProof/>
          <w:sz w:val="18"/>
          <w:szCs w:val="18"/>
        </w:rPr>
      </w:pPr>
      <w:r w:rsidRPr="00B2745E">
        <w:rPr>
          <w:rFonts w:cs="Arial"/>
          <w:noProof/>
          <w:sz w:val="18"/>
          <w:szCs w:val="18"/>
        </w:rPr>
        <w:t xml:space="preserve">Pentru a marca aniversarea a 30 de ani de activitate continuă în România, s-a lansat campania </w:t>
      </w:r>
      <w:r w:rsidRPr="00B2745E">
        <w:rPr>
          <w:rFonts w:cs="Arial"/>
          <w:b/>
          <w:bCs/>
          <w:noProof/>
          <w:sz w:val="18"/>
          <w:szCs w:val="18"/>
        </w:rPr>
        <w:t>EY: 30 pentru România</w:t>
      </w:r>
      <w:r w:rsidRPr="00B2745E">
        <w:rPr>
          <w:rFonts w:cs="Arial"/>
          <w:noProof/>
          <w:sz w:val="18"/>
          <w:szCs w:val="18"/>
        </w:rPr>
        <w:t xml:space="preserve">, care se va derula pe tot parcursul anului 2022. Vor fi aduse în atenția publică proiecte, personalități și momente care au marcat progresul României în 30 de ani, se vor derula inițiative colaborative de implicare comunitară împreună cu parteneri și colaboratori EY. </w:t>
      </w:r>
    </w:p>
    <w:p w14:paraId="65A73635" w14:textId="77777777" w:rsidR="007A4F2C" w:rsidRPr="00B2745E" w:rsidRDefault="007A4F2C" w:rsidP="0042563B">
      <w:pPr>
        <w:rPr>
          <w:rFonts w:cs="Arial"/>
          <w:noProof/>
        </w:rPr>
      </w:pPr>
    </w:p>
    <w:p w14:paraId="5AD77AC6" w14:textId="77777777" w:rsidR="007A4F2C" w:rsidRPr="00B2745E" w:rsidRDefault="007A4F2C" w:rsidP="007A4F2C">
      <w:pPr>
        <w:rPr>
          <w:rFonts w:eastAsiaTheme="minorHAnsi" w:cstheme="minorBidi"/>
          <w:b/>
          <w:bCs/>
          <w:noProof/>
          <w:kern w:val="12"/>
          <w:sz w:val="18"/>
          <w:szCs w:val="18"/>
        </w:rPr>
      </w:pPr>
      <w:r w:rsidRPr="00B2745E">
        <w:rPr>
          <w:rFonts w:eastAsiaTheme="minorHAnsi" w:cstheme="minorBidi"/>
          <w:b/>
          <w:bCs/>
          <w:noProof/>
          <w:kern w:val="12"/>
          <w:sz w:val="18"/>
          <w:szCs w:val="18"/>
        </w:rPr>
        <w:t>Despre EY România</w:t>
      </w:r>
    </w:p>
    <w:p w14:paraId="178DF0DF" w14:textId="77777777" w:rsidR="007A4F2C" w:rsidRPr="00B2745E" w:rsidRDefault="007A4F2C" w:rsidP="007A4F2C">
      <w:pPr>
        <w:rPr>
          <w:rFonts w:eastAsiaTheme="minorHAnsi" w:cstheme="minorBidi"/>
          <w:b/>
          <w:bCs/>
          <w:noProof/>
          <w:kern w:val="12"/>
          <w:sz w:val="18"/>
          <w:szCs w:val="18"/>
        </w:rPr>
      </w:pPr>
    </w:p>
    <w:p w14:paraId="3B5E66EA" w14:textId="77777777" w:rsidR="007A4F2C" w:rsidRPr="00B2745E" w:rsidRDefault="007A4F2C" w:rsidP="007A4F2C">
      <w:pPr>
        <w:rPr>
          <w:rFonts w:eastAsiaTheme="minorHAnsi" w:cstheme="minorBidi"/>
          <w:noProof/>
          <w:kern w:val="12"/>
          <w:sz w:val="18"/>
          <w:szCs w:val="18"/>
        </w:rPr>
      </w:pPr>
      <w:r w:rsidRPr="00B2745E">
        <w:rPr>
          <w:rFonts w:eastAsiaTheme="minorHAnsi" w:cstheme="minorBidi"/>
          <w:noProof/>
          <w:kern w:val="12"/>
          <w:sz w:val="18"/>
          <w:szCs w:val="18"/>
        </w:rPr>
        <w:t>EY este una dintre cele mai mari firme de servicii profesionale la nivel global, cu 312.250 de angajați în peste 700 de birouri în 150 de țări și venituri de aproximativ 40 miliarde de USD în anul fiscal încheiat la 30 iunie 2021. Rețeaua lor este cea mai integrată la nivel global, iar resursele din cadrul acesteia îi ajută să le ofere clienților servicii prin care să beneficieze de oportunitățile din întreaga lume.</w:t>
      </w:r>
    </w:p>
    <w:p w14:paraId="33038289" w14:textId="29DD446A" w:rsidR="00C252AB" w:rsidRPr="00B2745E" w:rsidRDefault="007A4F2C" w:rsidP="00DF0F92">
      <w:pPr>
        <w:rPr>
          <w:rFonts w:cs="Arial"/>
          <w:noProof/>
          <w:color w:val="2E2E38"/>
          <w:sz w:val="22"/>
          <w:szCs w:val="22"/>
        </w:rPr>
      </w:pPr>
      <w:r w:rsidRPr="00B2745E">
        <w:rPr>
          <w:rFonts w:eastAsiaTheme="minorHAnsi" w:cstheme="minorBidi"/>
          <w:noProof/>
          <w:kern w:val="12"/>
          <w:sz w:val="18"/>
          <w:szCs w:val="18"/>
        </w:rPr>
        <w:t>Prezentă în România din anul 1992, EY este liderul de pe piața serviciilor profesionale. Cei peste 800 de angajați din România și Republica Moldova furnizează servicii integrate de audit, asistență fiscală, juridică, strategie și tranzacții, consultanță către companii multinaționale și locale. Avem birouri în București, Cluj-Napoca, Timișoara, Iași și Chișinău. EY România s-a afiliat în 2014 singurei competiții de nivel mondial dedicată antreprenorialului, EY Entrepreneur Of The Year. Câștigătorul ediției locale reprezintă România în finala mondială ce are loc în fiecare an, în luna iunie, la Monte Carlo. În finala mondială se acordă titlul World Entrepreneur Of The Year.</w:t>
      </w:r>
    </w:p>
    <w:p w14:paraId="176D3234" w14:textId="28B397A4" w:rsidR="00BB6595" w:rsidRPr="00B2745E" w:rsidRDefault="00BB6595" w:rsidP="00DF0F92">
      <w:pPr>
        <w:rPr>
          <w:rFonts w:cs="Arial"/>
          <w:noProof/>
          <w:sz w:val="18"/>
          <w:szCs w:val="18"/>
        </w:rPr>
      </w:pPr>
    </w:p>
    <w:sectPr w:rsidR="00BB6595" w:rsidRPr="00B2745E" w:rsidSect="008731BE">
      <w:headerReference w:type="default" r:id="rId14"/>
      <w:footerReference w:type="default" r:id="rId15"/>
      <w:headerReference w:type="first" r:id="rId16"/>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810FD" w14:textId="77777777" w:rsidR="00164610" w:rsidRDefault="00164610">
      <w:r>
        <w:separator/>
      </w:r>
    </w:p>
  </w:endnote>
  <w:endnote w:type="continuationSeparator" w:id="0">
    <w:p w14:paraId="5E73B8EF" w14:textId="77777777" w:rsidR="00164610" w:rsidRDefault="0016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8DC7" w14:textId="0BF4D02C" w:rsidR="008731BE" w:rsidRDefault="000A30C3">
    <w:pPr>
      <w:pStyle w:val="Footer"/>
    </w:pPr>
    <w:r>
      <w:rPr>
        <w:noProof/>
        <w:lang w:eastAsia="ro-RO"/>
      </w:rPr>
      <mc:AlternateContent>
        <mc:Choice Requires="wps">
          <w:drawing>
            <wp:anchor distT="0" distB="0" distL="114300" distR="114300" simplePos="0" relativeHeight="251659264" behindDoc="1" locked="1" layoutInCell="1" allowOverlap="1" wp14:anchorId="23CC86E2" wp14:editId="784BB893">
              <wp:simplePos x="0" y="0"/>
              <wp:positionH relativeFrom="column">
                <wp:posOffset>0</wp:posOffset>
              </wp:positionH>
              <wp:positionV relativeFrom="page">
                <wp:posOffset>10333355</wp:posOffset>
              </wp:positionV>
              <wp:extent cx="17145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wps:spPr>
                    <wps:txbx>
                      <w:txbxContent>
                        <w:p w14:paraId="77586310" w14:textId="77777777" w:rsidR="008731BE" w:rsidRPr="00195C92" w:rsidRDefault="00164610" w:rsidP="008731BE">
                          <w:pPr>
                            <w:pStyle w:val="EYFooter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3CC86E2" id="_x0000_t202" coordsize="21600,21600" o:spt="202" path="m,l,21600r21600,l21600,xe">
              <v:stroke joinstyle="miter"/>
              <v:path gradientshapeok="t" o:connecttype="rect"/>
            </v:shapetype>
            <v:shape id="Text Box 5" o:spid="_x0000_s1028" type="#_x0000_t202" style="position:absolute;margin-left:0;margin-top:813.65pt;width:13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" filled="f" stroked="f">
              <v:textbox inset="0,0,0,0">
                <w:txbxContent>
                  <w:p w14:paraId="77586310" w14:textId="77777777" w:rsidR="008731BE" w:rsidRPr="00195C92" w:rsidRDefault="001A5028" w:rsidP="008731BE">
                    <w:pPr>
                      <w:pStyle w:val="EYFooterinfo"/>
                    </w:pP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578FE" w14:textId="77777777" w:rsidR="00164610" w:rsidRDefault="00164610">
      <w:r>
        <w:separator/>
      </w:r>
    </w:p>
  </w:footnote>
  <w:footnote w:type="continuationSeparator" w:id="0">
    <w:p w14:paraId="56B48C9D" w14:textId="77777777" w:rsidR="00164610" w:rsidRDefault="0016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3720" w14:textId="5DF5CC24" w:rsidR="008731BE" w:rsidRDefault="00A646D4" w:rsidP="008731BE">
    <w:pPr>
      <w:pStyle w:val="Header"/>
    </w:pPr>
    <w:r>
      <w:rPr>
        <w:noProof/>
        <w:lang w:eastAsia="ro-RO"/>
      </w:rPr>
      <w:drawing>
        <wp:anchor distT="0" distB="0" distL="114300" distR="114300" simplePos="0" relativeHeight="251662336" behindDoc="1" locked="0" layoutInCell="1" allowOverlap="1" wp14:anchorId="40140666" wp14:editId="5B4659A9">
          <wp:simplePos x="0" y="0"/>
          <wp:positionH relativeFrom="column">
            <wp:posOffset>-1905</wp:posOffset>
          </wp:positionH>
          <wp:positionV relativeFrom="paragraph">
            <wp:posOffset>18415</wp:posOffset>
          </wp:positionV>
          <wp:extent cx="847725" cy="996950"/>
          <wp:effectExtent l="0" t="0" r="9525" b="0"/>
          <wp:wrapTight wrapText="bothSides">
            <wp:wrapPolygon edited="0">
              <wp:start x="0" y="0"/>
              <wp:lineTo x="0" y="21050"/>
              <wp:lineTo x="21357" y="21050"/>
              <wp:lineTo x="21357" y="0"/>
              <wp:lineTo x="0" y="0"/>
            </wp:wrapPolygon>
          </wp:wrapTight>
          <wp:docPr id="2" name="Picture 2"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r w:rsidR="000A30C3">
      <w:rPr>
        <w:noProof/>
        <w:lang w:eastAsia="ro-RO"/>
      </w:rPr>
      <mc:AlternateContent>
        <mc:Choice Requires="wps">
          <w:drawing>
            <wp:anchor distT="0" distB="0" distL="114300" distR="114300" simplePos="0" relativeHeight="251660288" behindDoc="0" locked="0" layoutInCell="1" allowOverlap="1" wp14:anchorId="34EA83BC" wp14:editId="5FF53B6E">
              <wp:simplePos x="0" y="0"/>
              <wp:positionH relativeFrom="page">
                <wp:posOffset>5403850</wp:posOffset>
              </wp:positionH>
              <wp:positionV relativeFrom="page">
                <wp:posOffset>403225</wp:posOffset>
              </wp:positionV>
              <wp:extent cx="1800225" cy="6178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wps:spPr>
                    <wps:txbx>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0D25C5">
                            <w:rPr>
                              <w:noProof/>
                            </w:rPr>
                            <w:t>5</w:t>
                          </w:r>
                          <w:r w:rsidR="00B74BC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83BC" id="_x0000_t202" coordsize="21600,21600" o:spt="202" path="m,l,21600r21600,l21600,xe">
              <v:stroke joinstyle="miter"/>
              <v:path gradientshapeok="t" o:connecttype="rect"/>
            </v:shapetype>
            <v:shape id="Text Box 7" o:spid="_x0000_s1027" type="#_x0000_t202" style="position:absolute;margin-left:425.5pt;margin-top:31.75pt;width:141.75pt;height:4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" filled="f" stroked="f">
              <v:textbox inset="0,0,0,0">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0D25C5">
                      <w:rPr>
                        <w:noProof/>
                      </w:rPr>
                      <w:t>5</w:t>
                    </w:r>
                    <w:r w:rsidR="00B74BC5">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C318" w14:textId="77777777" w:rsidR="008731BE" w:rsidRDefault="00A646D4">
    <w:pPr>
      <w:pStyle w:val="Header"/>
    </w:pPr>
    <w:r>
      <w:rPr>
        <w:noProof/>
        <w:lang w:eastAsia="ro-RO"/>
      </w:rPr>
      <w:drawing>
        <wp:anchor distT="0" distB="0" distL="114300" distR="114300" simplePos="0" relativeHeight="251661312" behindDoc="1" locked="0" layoutInCell="1" allowOverlap="1" wp14:anchorId="785F5FCB" wp14:editId="7DEAEAD3">
          <wp:simplePos x="0" y="0"/>
          <wp:positionH relativeFrom="column">
            <wp:posOffset>-11430</wp:posOffset>
          </wp:positionH>
          <wp:positionV relativeFrom="paragraph">
            <wp:posOffset>-133985</wp:posOffset>
          </wp:positionV>
          <wp:extent cx="847725" cy="996950"/>
          <wp:effectExtent l="0" t="0" r="9525" b="0"/>
          <wp:wrapTight wrapText="bothSides">
            <wp:wrapPolygon edited="0">
              <wp:start x="0" y="0"/>
              <wp:lineTo x="0" y="21050"/>
              <wp:lineTo x="21357" y="21050"/>
              <wp:lineTo x="21357" y="0"/>
              <wp:lineTo x="0" y="0"/>
            </wp:wrapPolygon>
          </wp:wrapTight>
          <wp:docPr id="1" name="Picture 1"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6E80"/>
    <w:multiLevelType w:val="hybridMultilevel"/>
    <w:tmpl w:val="F6745320"/>
    <w:lvl w:ilvl="0" w:tplc="AB06A944">
      <w:start w:val="1"/>
      <w:numFmt w:val="bullet"/>
      <w:lvlText w:val=""/>
      <w:lvlJc w:val="left"/>
      <w:pPr>
        <w:ind w:left="720" w:hanging="360"/>
      </w:pPr>
      <w:rPr>
        <w:rFonts w:ascii="Wingdings 3" w:hAnsi="Wingdings 3"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032E"/>
    <w:multiLevelType w:val="hybridMultilevel"/>
    <w:tmpl w:val="55E6EC32"/>
    <w:lvl w:ilvl="0" w:tplc="82C644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574B6"/>
    <w:multiLevelType w:val="hybridMultilevel"/>
    <w:tmpl w:val="F5D8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85A53"/>
    <w:multiLevelType w:val="hybridMultilevel"/>
    <w:tmpl w:val="F3EE8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30CE8"/>
    <w:multiLevelType w:val="hybridMultilevel"/>
    <w:tmpl w:val="81EC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44A6C"/>
    <w:multiLevelType w:val="hybridMultilevel"/>
    <w:tmpl w:val="7DF0F24E"/>
    <w:lvl w:ilvl="0" w:tplc="0824C6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2558A"/>
    <w:multiLevelType w:val="hybridMultilevel"/>
    <w:tmpl w:val="C0DC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C12DA"/>
    <w:multiLevelType w:val="hybridMultilevel"/>
    <w:tmpl w:val="059462C0"/>
    <w:lvl w:ilvl="0" w:tplc="5B7046B6">
      <w:start w:val="1"/>
      <w:numFmt w:val="decimal"/>
      <w:lvlText w:val="%1."/>
      <w:lvlJc w:val="left"/>
      <w:pPr>
        <w:ind w:left="555" w:hanging="555"/>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66639B"/>
    <w:multiLevelType w:val="hybridMultilevel"/>
    <w:tmpl w:val="008A17AC"/>
    <w:lvl w:ilvl="0" w:tplc="7A687DE0">
      <w:start w:val="1"/>
      <w:numFmt w:val="bullet"/>
      <w:lvlText w:val=""/>
      <w:lvlJc w:val="left"/>
      <w:pPr>
        <w:tabs>
          <w:tab w:val="num" w:pos="720"/>
        </w:tabs>
        <w:ind w:left="720" w:hanging="360"/>
      </w:pPr>
      <w:rPr>
        <w:rFonts w:ascii="Wingdings" w:hAnsi="Wingdings" w:hint="default"/>
      </w:rPr>
    </w:lvl>
    <w:lvl w:ilvl="1" w:tplc="904063E2" w:tentative="1">
      <w:start w:val="1"/>
      <w:numFmt w:val="bullet"/>
      <w:lvlText w:val=""/>
      <w:lvlJc w:val="left"/>
      <w:pPr>
        <w:tabs>
          <w:tab w:val="num" w:pos="1440"/>
        </w:tabs>
        <w:ind w:left="1440" w:hanging="360"/>
      </w:pPr>
      <w:rPr>
        <w:rFonts w:ascii="Wingdings" w:hAnsi="Wingdings" w:hint="default"/>
      </w:rPr>
    </w:lvl>
    <w:lvl w:ilvl="2" w:tplc="488C71AC" w:tentative="1">
      <w:start w:val="1"/>
      <w:numFmt w:val="bullet"/>
      <w:lvlText w:val=""/>
      <w:lvlJc w:val="left"/>
      <w:pPr>
        <w:tabs>
          <w:tab w:val="num" w:pos="2160"/>
        </w:tabs>
        <w:ind w:left="2160" w:hanging="360"/>
      </w:pPr>
      <w:rPr>
        <w:rFonts w:ascii="Wingdings" w:hAnsi="Wingdings" w:hint="default"/>
      </w:rPr>
    </w:lvl>
    <w:lvl w:ilvl="3" w:tplc="5980E8EC" w:tentative="1">
      <w:start w:val="1"/>
      <w:numFmt w:val="bullet"/>
      <w:lvlText w:val=""/>
      <w:lvlJc w:val="left"/>
      <w:pPr>
        <w:tabs>
          <w:tab w:val="num" w:pos="2880"/>
        </w:tabs>
        <w:ind w:left="2880" w:hanging="360"/>
      </w:pPr>
      <w:rPr>
        <w:rFonts w:ascii="Wingdings" w:hAnsi="Wingdings" w:hint="default"/>
      </w:rPr>
    </w:lvl>
    <w:lvl w:ilvl="4" w:tplc="55FCF84A" w:tentative="1">
      <w:start w:val="1"/>
      <w:numFmt w:val="bullet"/>
      <w:lvlText w:val=""/>
      <w:lvlJc w:val="left"/>
      <w:pPr>
        <w:tabs>
          <w:tab w:val="num" w:pos="3600"/>
        </w:tabs>
        <w:ind w:left="3600" w:hanging="360"/>
      </w:pPr>
      <w:rPr>
        <w:rFonts w:ascii="Wingdings" w:hAnsi="Wingdings" w:hint="default"/>
      </w:rPr>
    </w:lvl>
    <w:lvl w:ilvl="5" w:tplc="B26EA482" w:tentative="1">
      <w:start w:val="1"/>
      <w:numFmt w:val="bullet"/>
      <w:lvlText w:val=""/>
      <w:lvlJc w:val="left"/>
      <w:pPr>
        <w:tabs>
          <w:tab w:val="num" w:pos="4320"/>
        </w:tabs>
        <w:ind w:left="4320" w:hanging="360"/>
      </w:pPr>
      <w:rPr>
        <w:rFonts w:ascii="Wingdings" w:hAnsi="Wingdings" w:hint="default"/>
      </w:rPr>
    </w:lvl>
    <w:lvl w:ilvl="6" w:tplc="AA5E692E" w:tentative="1">
      <w:start w:val="1"/>
      <w:numFmt w:val="bullet"/>
      <w:lvlText w:val=""/>
      <w:lvlJc w:val="left"/>
      <w:pPr>
        <w:tabs>
          <w:tab w:val="num" w:pos="5040"/>
        </w:tabs>
        <w:ind w:left="5040" w:hanging="360"/>
      </w:pPr>
      <w:rPr>
        <w:rFonts w:ascii="Wingdings" w:hAnsi="Wingdings" w:hint="default"/>
      </w:rPr>
    </w:lvl>
    <w:lvl w:ilvl="7" w:tplc="8476228A" w:tentative="1">
      <w:start w:val="1"/>
      <w:numFmt w:val="bullet"/>
      <w:lvlText w:val=""/>
      <w:lvlJc w:val="left"/>
      <w:pPr>
        <w:tabs>
          <w:tab w:val="num" w:pos="5760"/>
        </w:tabs>
        <w:ind w:left="5760" w:hanging="360"/>
      </w:pPr>
      <w:rPr>
        <w:rFonts w:ascii="Wingdings" w:hAnsi="Wingdings" w:hint="default"/>
      </w:rPr>
    </w:lvl>
    <w:lvl w:ilvl="8" w:tplc="8BDE2D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6457C"/>
    <w:multiLevelType w:val="hybridMultilevel"/>
    <w:tmpl w:val="41CE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F2560"/>
    <w:multiLevelType w:val="hybridMultilevel"/>
    <w:tmpl w:val="2A7EA382"/>
    <w:lvl w:ilvl="0" w:tplc="2F321D64">
      <w:start w:val="1"/>
      <w:numFmt w:val="decimal"/>
      <w:lvlText w:val="%1."/>
      <w:lvlJc w:val="left"/>
      <w:pPr>
        <w:ind w:left="55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C1F0A"/>
    <w:multiLevelType w:val="multilevel"/>
    <w:tmpl w:val="093ECBEA"/>
    <w:lvl w:ilvl="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2"/>
  </w:num>
  <w:num w:numId="5">
    <w:abstractNumId w:val="2"/>
  </w:num>
  <w:num w:numId="6">
    <w:abstractNumId w:val="5"/>
  </w:num>
  <w:num w:numId="7">
    <w:abstractNumId w:val="10"/>
  </w:num>
  <w:num w:numId="8">
    <w:abstractNumId w:val="8"/>
  </w:num>
  <w:num w:numId="9">
    <w:abstractNumId w:val="11"/>
  </w:num>
  <w:num w:numId="10">
    <w:abstractNumId w:val="1"/>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EA"/>
    <w:rsid w:val="00002F9B"/>
    <w:rsid w:val="000113DB"/>
    <w:rsid w:val="000118C0"/>
    <w:rsid w:val="00011B6F"/>
    <w:rsid w:val="00011F0C"/>
    <w:rsid w:val="00013932"/>
    <w:rsid w:val="00014FCA"/>
    <w:rsid w:val="0002551A"/>
    <w:rsid w:val="000318C7"/>
    <w:rsid w:val="000333E3"/>
    <w:rsid w:val="0003704B"/>
    <w:rsid w:val="000424CE"/>
    <w:rsid w:val="0004334D"/>
    <w:rsid w:val="00043EAB"/>
    <w:rsid w:val="000500F1"/>
    <w:rsid w:val="00051CFA"/>
    <w:rsid w:val="0005477E"/>
    <w:rsid w:val="000553BB"/>
    <w:rsid w:val="00056AE8"/>
    <w:rsid w:val="00060653"/>
    <w:rsid w:val="000634AE"/>
    <w:rsid w:val="00064DEB"/>
    <w:rsid w:val="00065EB8"/>
    <w:rsid w:val="00072965"/>
    <w:rsid w:val="000743C2"/>
    <w:rsid w:val="000746E5"/>
    <w:rsid w:val="00075118"/>
    <w:rsid w:val="00076303"/>
    <w:rsid w:val="00086CDB"/>
    <w:rsid w:val="000873F4"/>
    <w:rsid w:val="00092FF0"/>
    <w:rsid w:val="00093829"/>
    <w:rsid w:val="00094877"/>
    <w:rsid w:val="00095366"/>
    <w:rsid w:val="000A1644"/>
    <w:rsid w:val="000A2E33"/>
    <w:rsid w:val="000A30C3"/>
    <w:rsid w:val="000A3147"/>
    <w:rsid w:val="000A5723"/>
    <w:rsid w:val="000B62F3"/>
    <w:rsid w:val="000C3608"/>
    <w:rsid w:val="000D25C5"/>
    <w:rsid w:val="000D61B9"/>
    <w:rsid w:val="000E4633"/>
    <w:rsid w:val="000F0F7C"/>
    <w:rsid w:val="000F404F"/>
    <w:rsid w:val="0010253C"/>
    <w:rsid w:val="0011258E"/>
    <w:rsid w:val="00117053"/>
    <w:rsid w:val="00120678"/>
    <w:rsid w:val="00121656"/>
    <w:rsid w:val="001218F3"/>
    <w:rsid w:val="00126C72"/>
    <w:rsid w:val="00136CE2"/>
    <w:rsid w:val="00136DDD"/>
    <w:rsid w:val="0013771C"/>
    <w:rsid w:val="0014339B"/>
    <w:rsid w:val="0014556A"/>
    <w:rsid w:val="00146B1C"/>
    <w:rsid w:val="00156B6F"/>
    <w:rsid w:val="00162CF9"/>
    <w:rsid w:val="00163F8D"/>
    <w:rsid w:val="00164610"/>
    <w:rsid w:val="00170FD9"/>
    <w:rsid w:val="001717EA"/>
    <w:rsid w:val="00172B39"/>
    <w:rsid w:val="0017314E"/>
    <w:rsid w:val="001772ED"/>
    <w:rsid w:val="0018035A"/>
    <w:rsid w:val="00180927"/>
    <w:rsid w:val="0018502C"/>
    <w:rsid w:val="001879EC"/>
    <w:rsid w:val="00192E1D"/>
    <w:rsid w:val="001977A3"/>
    <w:rsid w:val="001A0F23"/>
    <w:rsid w:val="001A164F"/>
    <w:rsid w:val="001A4B8A"/>
    <w:rsid w:val="001A5028"/>
    <w:rsid w:val="001B0350"/>
    <w:rsid w:val="001B156E"/>
    <w:rsid w:val="001B6C77"/>
    <w:rsid w:val="001B7A91"/>
    <w:rsid w:val="001B7D9D"/>
    <w:rsid w:val="001C32A5"/>
    <w:rsid w:val="001C4197"/>
    <w:rsid w:val="001C528A"/>
    <w:rsid w:val="001C60D3"/>
    <w:rsid w:val="001C7244"/>
    <w:rsid w:val="001D63F1"/>
    <w:rsid w:val="001E67C8"/>
    <w:rsid w:val="001F13A3"/>
    <w:rsid w:val="001F2A24"/>
    <w:rsid w:val="001F51D7"/>
    <w:rsid w:val="001F5517"/>
    <w:rsid w:val="0020127C"/>
    <w:rsid w:val="00217B8A"/>
    <w:rsid w:val="0022335F"/>
    <w:rsid w:val="002240EA"/>
    <w:rsid w:val="00226F47"/>
    <w:rsid w:val="0023048B"/>
    <w:rsid w:val="00240106"/>
    <w:rsid w:val="002540CB"/>
    <w:rsid w:val="002641C8"/>
    <w:rsid w:val="00272E7E"/>
    <w:rsid w:val="002957A4"/>
    <w:rsid w:val="002A136A"/>
    <w:rsid w:val="002A3331"/>
    <w:rsid w:val="002A476A"/>
    <w:rsid w:val="002B316E"/>
    <w:rsid w:val="002B3EAA"/>
    <w:rsid w:val="002B7714"/>
    <w:rsid w:val="002C2F87"/>
    <w:rsid w:val="002D1BC7"/>
    <w:rsid w:val="002D35E6"/>
    <w:rsid w:val="002D36EC"/>
    <w:rsid w:val="002D663B"/>
    <w:rsid w:val="002E3A56"/>
    <w:rsid w:val="002E5EF2"/>
    <w:rsid w:val="002F1CB1"/>
    <w:rsid w:val="002F2EE8"/>
    <w:rsid w:val="002F5C56"/>
    <w:rsid w:val="00305E50"/>
    <w:rsid w:val="0031151A"/>
    <w:rsid w:val="00314526"/>
    <w:rsid w:val="00316676"/>
    <w:rsid w:val="00321491"/>
    <w:rsid w:val="00327D59"/>
    <w:rsid w:val="0033170C"/>
    <w:rsid w:val="00333279"/>
    <w:rsid w:val="003342F9"/>
    <w:rsid w:val="00334D3B"/>
    <w:rsid w:val="003353BC"/>
    <w:rsid w:val="00337AA9"/>
    <w:rsid w:val="00341867"/>
    <w:rsid w:val="00346D15"/>
    <w:rsid w:val="00352BEF"/>
    <w:rsid w:val="00361545"/>
    <w:rsid w:val="00370D92"/>
    <w:rsid w:val="003908A8"/>
    <w:rsid w:val="00391F36"/>
    <w:rsid w:val="003A1614"/>
    <w:rsid w:val="003A19E1"/>
    <w:rsid w:val="003A2749"/>
    <w:rsid w:val="003A6CD6"/>
    <w:rsid w:val="003B7197"/>
    <w:rsid w:val="003B75BF"/>
    <w:rsid w:val="003C05AA"/>
    <w:rsid w:val="003C4618"/>
    <w:rsid w:val="003D247A"/>
    <w:rsid w:val="003D337F"/>
    <w:rsid w:val="003D77D3"/>
    <w:rsid w:val="003E5C9A"/>
    <w:rsid w:val="003E7D54"/>
    <w:rsid w:val="003F4F3D"/>
    <w:rsid w:val="00400CE1"/>
    <w:rsid w:val="00400DEB"/>
    <w:rsid w:val="004020EE"/>
    <w:rsid w:val="004041EB"/>
    <w:rsid w:val="00405F7F"/>
    <w:rsid w:val="00412E12"/>
    <w:rsid w:val="00413663"/>
    <w:rsid w:val="00415BE2"/>
    <w:rsid w:val="004170C7"/>
    <w:rsid w:val="0041736A"/>
    <w:rsid w:val="0042032C"/>
    <w:rsid w:val="00423019"/>
    <w:rsid w:val="0042563B"/>
    <w:rsid w:val="004310C7"/>
    <w:rsid w:val="00432E83"/>
    <w:rsid w:val="004360DE"/>
    <w:rsid w:val="00437319"/>
    <w:rsid w:val="004403AC"/>
    <w:rsid w:val="00453BEA"/>
    <w:rsid w:val="0046059A"/>
    <w:rsid w:val="0046717B"/>
    <w:rsid w:val="00471FE1"/>
    <w:rsid w:val="004727BE"/>
    <w:rsid w:val="004802CC"/>
    <w:rsid w:val="00480B15"/>
    <w:rsid w:val="00480BD2"/>
    <w:rsid w:val="00483603"/>
    <w:rsid w:val="0048666D"/>
    <w:rsid w:val="00486F15"/>
    <w:rsid w:val="00490A99"/>
    <w:rsid w:val="004928FA"/>
    <w:rsid w:val="004A079F"/>
    <w:rsid w:val="004A3D7C"/>
    <w:rsid w:val="004B159A"/>
    <w:rsid w:val="004B70B0"/>
    <w:rsid w:val="004C4989"/>
    <w:rsid w:val="004E1A81"/>
    <w:rsid w:val="004E3CC7"/>
    <w:rsid w:val="004E5DFF"/>
    <w:rsid w:val="004F070B"/>
    <w:rsid w:val="004F5599"/>
    <w:rsid w:val="004F5813"/>
    <w:rsid w:val="004F6366"/>
    <w:rsid w:val="004F73CC"/>
    <w:rsid w:val="00501766"/>
    <w:rsid w:val="005045C1"/>
    <w:rsid w:val="00504AB1"/>
    <w:rsid w:val="005132A6"/>
    <w:rsid w:val="00527829"/>
    <w:rsid w:val="00531DCB"/>
    <w:rsid w:val="00533E43"/>
    <w:rsid w:val="005349C3"/>
    <w:rsid w:val="00543538"/>
    <w:rsid w:val="005453F7"/>
    <w:rsid w:val="005456FA"/>
    <w:rsid w:val="00545F9B"/>
    <w:rsid w:val="005469EB"/>
    <w:rsid w:val="00552901"/>
    <w:rsid w:val="00552EAA"/>
    <w:rsid w:val="00554419"/>
    <w:rsid w:val="00556E48"/>
    <w:rsid w:val="0056122D"/>
    <w:rsid w:val="00567113"/>
    <w:rsid w:val="00572E3E"/>
    <w:rsid w:val="0057371A"/>
    <w:rsid w:val="00581424"/>
    <w:rsid w:val="00582EFC"/>
    <w:rsid w:val="005859A1"/>
    <w:rsid w:val="00587393"/>
    <w:rsid w:val="005914BD"/>
    <w:rsid w:val="00593641"/>
    <w:rsid w:val="005A298B"/>
    <w:rsid w:val="005A383F"/>
    <w:rsid w:val="005A3C59"/>
    <w:rsid w:val="005A6F26"/>
    <w:rsid w:val="005B6C1F"/>
    <w:rsid w:val="005C07C8"/>
    <w:rsid w:val="005C110F"/>
    <w:rsid w:val="005C2734"/>
    <w:rsid w:val="005C2A47"/>
    <w:rsid w:val="005C40DD"/>
    <w:rsid w:val="005C4D17"/>
    <w:rsid w:val="005C673A"/>
    <w:rsid w:val="005D432C"/>
    <w:rsid w:val="005D5870"/>
    <w:rsid w:val="005E0311"/>
    <w:rsid w:val="005E29EB"/>
    <w:rsid w:val="005E3638"/>
    <w:rsid w:val="005E3881"/>
    <w:rsid w:val="005E564E"/>
    <w:rsid w:val="005F0C14"/>
    <w:rsid w:val="005F265C"/>
    <w:rsid w:val="005F31B3"/>
    <w:rsid w:val="00600EDC"/>
    <w:rsid w:val="00603EB3"/>
    <w:rsid w:val="00604BAC"/>
    <w:rsid w:val="00613C24"/>
    <w:rsid w:val="006224EF"/>
    <w:rsid w:val="00622D15"/>
    <w:rsid w:val="006269DA"/>
    <w:rsid w:val="006279B7"/>
    <w:rsid w:val="00634DD2"/>
    <w:rsid w:val="0063570B"/>
    <w:rsid w:val="006373E3"/>
    <w:rsid w:val="00644C60"/>
    <w:rsid w:val="006475BA"/>
    <w:rsid w:val="00662596"/>
    <w:rsid w:val="00665728"/>
    <w:rsid w:val="006750CB"/>
    <w:rsid w:val="006757D3"/>
    <w:rsid w:val="00682376"/>
    <w:rsid w:val="00690AA2"/>
    <w:rsid w:val="00690F2B"/>
    <w:rsid w:val="0069155C"/>
    <w:rsid w:val="006A1B66"/>
    <w:rsid w:val="006A2E5E"/>
    <w:rsid w:val="006A7BD4"/>
    <w:rsid w:val="006B24C1"/>
    <w:rsid w:val="006B283A"/>
    <w:rsid w:val="006B51FD"/>
    <w:rsid w:val="006B5E42"/>
    <w:rsid w:val="006B76B4"/>
    <w:rsid w:val="006C0898"/>
    <w:rsid w:val="006C1ED7"/>
    <w:rsid w:val="006C53A4"/>
    <w:rsid w:val="006C6879"/>
    <w:rsid w:val="006D19C6"/>
    <w:rsid w:val="006D1A3D"/>
    <w:rsid w:val="006E1623"/>
    <w:rsid w:val="006E46C3"/>
    <w:rsid w:val="006E7D65"/>
    <w:rsid w:val="006F19A1"/>
    <w:rsid w:val="006F2BCD"/>
    <w:rsid w:val="006F759F"/>
    <w:rsid w:val="00700AE8"/>
    <w:rsid w:val="00703AB7"/>
    <w:rsid w:val="007108EB"/>
    <w:rsid w:val="00712A4C"/>
    <w:rsid w:val="00713CF2"/>
    <w:rsid w:val="00713FF3"/>
    <w:rsid w:val="00714974"/>
    <w:rsid w:val="00714AB4"/>
    <w:rsid w:val="007229A9"/>
    <w:rsid w:val="007306F0"/>
    <w:rsid w:val="00730721"/>
    <w:rsid w:val="00735D4D"/>
    <w:rsid w:val="00735F32"/>
    <w:rsid w:val="00742BE4"/>
    <w:rsid w:val="00744B00"/>
    <w:rsid w:val="007450CB"/>
    <w:rsid w:val="007454AC"/>
    <w:rsid w:val="00745904"/>
    <w:rsid w:val="007537D0"/>
    <w:rsid w:val="00773105"/>
    <w:rsid w:val="007773E3"/>
    <w:rsid w:val="00783F72"/>
    <w:rsid w:val="00785523"/>
    <w:rsid w:val="007858E4"/>
    <w:rsid w:val="00791BF9"/>
    <w:rsid w:val="00792860"/>
    <w:rsid w:val="00793382"/>
    <w:rsid w:val="00797F0D"/>
    <w:rsid w:val="007A2060"/>
    <w:rsid w:val="007A2745"/>
    <w:rsid w:val="007A4F2C"/>
    <w:rsid w:val="007B176D"/>
    <w:rsid w:val="007B503E"/>
    <w:rsid w:val="007C5366"/>
    <w:rsid w:val="007D4AB2"/>
    <w:rsid w:val="007D69DD"/>
    <w:rsid w:val="007E3358"/>
    <w:rsid w:val="007E69BE"/>
    <w:rsid w:val="007F08ED"/>
    <w:rsid w:val="007F1051"/>
    <w:rsid w:val="008021E9"/>
    <w:rsid w:val="0080463B"/>
    <w:rsid w:val="0081004C"/>
    <w:rsid w:val="0081476F"/>
    <w:rsid w:val="00816F0C"/>
    <w:rsid w:val="00821CE6"/>
    <w:rsid w:val="00827666"/>
    <w:rsid w:val="00830446"/>
    <w:rsid w:val="008335DC"/>
    <w:rsid w:val="00836CE8"/>
    <w:rsid w:val="0083747E"/>
    <w:rsid w:val="00844C29"/>
    <w:rsid w:val="0084600F"/>
    <w:rsid w:val="00852838"/>
    <w:rsid w:val="00881B3B"/>
    <w:rsid w:val="00890C55"/>
    <w:rsid w:val="00892918"/>
    <w:rsid w:val="008A041B"/>
    <w:rsid w:val="008A4FFB"/>
    <w:rsid w:val="008A6BA4"/>
    <w:rsid w:val="008B0FCE"/>
    <w:rsid w:val="008B1F2C"/>
    <w:rsid w:val="008B5007"/>
    <w:rsid w:val="008B5726"/>
    <w:rsid w:val="008B69D4"/>
    <w:rsid w:val="008C39E8"/>
    <w:rsid w:val="008D01A6"/>
    <w:rsid w:val="008D108D"/>
    <w:rsid w:val="008D2DD2"/>
    <w:rsid w:val="008E0658"/>
    <w:rsid w:val="008E0E55"/>
    <w:rsid w:val="008E10F8"/>
    <w:rsid w:val="0090140C"/>
    <w:rsid w:val="00904379"/>
    <w:rsid w:val="0090579A"/>
    <w:rsid w:val="00906E2D"/>
    <w:rsid w:val="00910650"/>
    <w:rsid w:val="009151B3"/>
    <w:rsid w:val="00916D09"/>
    <w:rsid w:val="00923387"/>
    <w:rsid w:val="009238BB"/>
    <w:rsid w:val="009266BF"/>
    <w:rsid w:val="009324CA"/>
    <w:rsid w:val="009347C4"/>
    <w:rsid w:val="009378C8"/>
    <w:rsid w:val="00944CE0"/>
    <w:rsid w:val="00955409"/>
    <w:rsid w:val="009604AA"/>
    <w:rsid w:val="009631B0"/>
    <w:rsid w:val="0096450D"/>
    <w:rsid w:val="00986E43"/>
    <w:rsid w:val="00995652"/>
    <w:rsid w:val="00995A75"/>
    <w:rsid w:val="009A005A"/>
    <w:rsid w:val="009A09D4"/>
    <w:rsid w:val="009A28EC"/>
    <w:rsid w:val="009A2FD1"/>
    <w:rsid w:val="009A5272"/>
    <w:rsid w:val="009B2E5E"/>
    <w:rsid w:val="009B3D9A"/>
    <w:rsid w:val="009B59D4"/>
    <w:rsid w:val="009B647A"/>
    <w:rsid w:val="009C1F9C"/>
    <w:rsid w:val="009C38EB"/>
    <w:rsid w:val="009C66D9"/>
    <w:rsid w:val="009D38F7"/>
    <w:rsid w:val="009D4779"/>
    <w:rsid w:val="009E02CD"/>
    <w:rsid w:val="009E73DA"/>
    <w:rsid w:val="009F19FF"/>
    <w:rsid w:val="009F3FD0"/>
    <w:rsid w:val="009F566A"/>
    <w:rsid w:val="009F6941"/>
    <w:rsid w:val="00A02490"/>
    <w:rsid w:val="00A04348"/>
    <w:rsid w:val="00A05ED7"/>
    <w:rsid w:val="00A06982"/>
    <w:rsid w:val="00A133EC"/>
    <w:rsid w:val="00A141B7"/>
    <w:rsid w:val="00A142A0"/>
    <w:rsid w:val="00A22984"/>
    <w:rsid w:val="00A22EEF"/>
    <w:rsid w:val="00A24BCA"/>
    <w:rsid w:val="00A258D6"/>
    <w:rsid w:val="00A267E8"/>
    <w:rsid w:val="00A31016"/>
    <w:rsid w:val="00A33AD1"/>
    <w:rsid w:val="00A37BE0"/>
    <w:rsid w:val="00A4224C"/>
    <w:rsid w:val="00A42F54"/>
    <w:rsid w:val="00A44E41"/>
    <w:rsid w:val="00A508BF"/>
    <w:rsid w:val="00A50B26"/>
    <w:rsid w:val="00A54341"/>
    <w:rsid w:val="00A543A8"/>
    <w:rsid w:val="00A5647F"/>
    <w:rsid w:val="00A57603"/>
    <w:rsid w:val="00A61119"/>
    <w:rsid w:val="00A62A92"/>
    <w:rsid w:val="00A646D4"/>
    <w:rsid w:val="00A66C1A"/>
    <w:rsid w:val="00A70A10"/>
    <w:rsid w:val="00A717CD"/>
    <w:rsid w:val="00A74F10"/>
    <w:rsid w:val="00A76AF1"/>
    <w:rsid w:val="00A82698"/>
    <w:rsid w:val="00A82E7D"/>
    <w:rsid w:val="00A851D9"/>
    <w:rsid w:val="00A90B03"/>
    <w:rsid w:val="00A94FDD"/>
    <w:rsid w:val="00A960E8"/>
    <w:rsid w:val="00A97F7F"/>
    <w:rsid w:val="00AA054F"/>
    <w:rsid w:val="00AA4855"/>
    <w:rsid w:val="00AB14F9"/>
    <w:rsid w:val="00AC1621"/>
    <w:rsid w:val="00AE2D41"/>
    <w:rsid w:val="00AE4226"/>
    <w:rsid w:val="00AE6ADD"/>
    <w:rsid w:val="00AF02ED"/>
    <w:rsid w:val="00AF331B"/>
    <w:rsid w:val="00AF62B9"/>
    <w:rsid w:val="00B0136C"/>
    <w:rsid w:val="00B0257A"/>
    <w:rsid w:val="00B04D40"/>
    <w:rsid w:val="00B04EBC"/>
    <w:rsid w:val="00B04FC6"/>
    <w:rsid w:val="00B102A6"/>
    <w:rsid w:val="00B1242B"/>
    <w:rsid w:val="00B149C1"/>
    <w:rsid w:val="00B226EF"/>
    <w:rsid w:val="00B259BF"/>
    <w:rsid w:val="00B2745E"/>
    <w:rsid w:val="00B35D2D"/>
    <w:rsid w:val="00B4327D"/>
    <w:rsid w:val="00B4598C"/>
    <w:rsid w:val="00B47CF7"/>
    <w:rsid w:val="00B5320E"/>
    <w:rsid w:val="00B61A93"/>
    <w:rsid w:val="00B65078"/>
    <w:rsid w:val="00B679DD"/>
    <w:rsid w:val="00B725CB"/>
    <w:rsid w:val="00B74BC5"/>
    <w:rsid w:val="00B7561C"/>
    <w:rsid w:val="00B77D66"/>
    <w:rsid w:val="00B84411"/>
    <w:rsid w:val="00BA5491"/>
    <w:rsid w:val="00BB1230"/>
    <w:rsid w:val="00BB2204"/>
    <w:rsid w:val="00BB6307"/>
    <w:rsid w:val="00BB6595"/>
    <w:rsid w:val="00BB785E"/>
    <w:rsid w:val="00BC0A61"/>
    <w:rsid w:val="00BC0EA8"/>
    <w:rsid w:val="00BC3559"/>
    <w:rsid w:val="00BD2DA5"/>
    <w:rsid w:val="00BE2877"/>
    <w:rsid w:val="00BE507A"/>
    <w:rsid w:val="00BE6A7C"/>
    <w:rsid w:val="00BE794F"/>
    <w:rsid w:val="00BE7E5F"/>
    <w:rsid w:val="00BF4B62"/>
    <w:rsid w:val="00BF78D9"/>
    <w:rsid w:val="00C021FD"/>
    <w:rsid w:val="00C02358"/>
    <w:rsid w:val="00C032AF"/>
    <w:rsid w:val="00C05E00"/>
    <w:rsid w:val="00C05EE0"/>
    <w:rsid w:val="00C06F32"/>
    <w:rsid w:val="00C13CFC"/>
    <w:rsid w:val="00C155D9"/>
    <w:rsid w:val="00C21EAC"/>
    <w:rsid w:val="00C22B6E"/>
    <w:rsid w:val="00C249F4"/>
    <w:rsid w:val="00C252AB"/>
    <w:rsid w:val="00C338B9"/>
    <w:rsid w:val="00C33916"/>
    <w:rsid w:val="00C351F0"/>
    <w:rsid w:val="00C36BD4"/>
    <w:rsid w:val="00C40115"/>
    <w:rsid w:val="00C47837"/>
    <w:rsid w:val="00C5408B"/>
    <w:rsid w:val="00C543B4"/>
    <w:rsid w:val="00C62F6E"/>
    <w:rsid w:val="00C630D6"/>
    <w:rsid w:val="00C658DB"/>
    <w:rsid w:val="00C74B07"/>
    <w:rsid w:val="00C771E8"/>
    <w:rsid w:val="00C86014"/>
    <w:rsid w:val="00C95A22"/>
    <w:rsid w:val="00C9631B"/>
    <w:rsid w:val="00CA27EF"/>
    <w:rsid w:val="00CA45AF"/>
    <w:rsid w:val="00CA47A2"/>
    <w:rsid w:val="00CA611E"/>
    <w:rsid w:val="00CB453D"/>
    <w:rsid w:val="00CB599A"/>
    <w:rsid w:val="00CB5E7A"/>
    <w:rsid w:val="00CC0F99"/>
    <w:rsid w:val="00CD3675"/>
    <w:rsid w:val="00CD4936"/>
    <w:rsid w:val="00CE2368"/>
    <w:rsid w:val="00CE59A7"/>
    <w:rsid w:val="00CE59E1"/>
    <w:rsid w:val="00CF38C4"/>
    <w:rsid w:val="00CF4B4E"/>
    <w:rsid w:val="00D01CCE"/>
    <w:rsid w:val="00D15495"/>
    <w:rsid w:val="00D159B5"/>
    <w:rsid w:val="00D16246"/>
    <w:rsid w:val="00D17DF0"/>
    <w:rsid w:val="00D21E69"/>
    <w:rsid w:val="00D2274D"/>
    <w:rsid w:val="00D23151"/>
    <w:rsid w:val="00D2420F"/>
    <w:rsid w:val="00D24328"/>
    <w:rsid w:val="00D33067"/>
    <w:rsid w:val="00D337B4"/>
    <w:rsid w:val="00D34D3D"/>
    <w:rsid w:val="00D4013F"/>
    <w:rsid w:val="00D42C15"/>
    <w:rsid w:val="00D4392C"/>
    <w:rsid w:val="00D46AAC"/>
    <w:rsid w:val="00D50C87"/>
    <w:rsid w:val="00D51BB0"/>
    <w:rsid w:val="00D51CBD"/>
    <w:rsid w:val="00D578C2"/>
    <w:rsid w:val="00D60921"/>
    <w:rsid w:val="00D640E5"/>
    <w:rsid w:val="00D70E75"/>
    <w:rsid w:val="00D71A46"/>
    <w:rsid w:val="00D722AD"/>
    <w:rsid w:val="00D74301"/>
    <w:rsid w:val="00D74D81"/>
    <w:rsid w:val="00D84746"/>
    <w:rsid w:val="00D852D5"/>
    <w:rsid w:val="00D86726"/>
    <w:rsid w:val="00D903B7"/>
    <w:rsid w:val="00D914C2"/>
    <w:rsid w:val="00DA1051"/>
    <w:rsid w:val="00DA18DE"/>
    <w:rsid w:val="00DB18FD"/>
    <w:rsid w:val="00DB53C4"/>
    <w:rsid w:val="00DC4A85"/>
    <w:rsid w:val="00DD2BBA"/>
    <w:rsid w:val="00DD34D0"/>
    <w:rsid w:val="00DD6B2C"/>
    <w:rsid w:val="00DE1158"/>
    <w:rsid w:val="00DE1E43"/>
    <w:rsid w:val="00DE2102"/>
    <w:rsid w:val="00DE3589"/>
    <w:rsid w:val="00DE3FBC"/>
    <w:rsid w:val="00DF0F92"/>
    <w:rsid w:val="00DF1579"/>
    <w:rsid w:val="00DF1741"/>
    <w:rsid w:val="00DF18C2"/>
    <w:rsid w:val="00DF5D81"/>
    <w:rsid w:val="00E001CF"/>
    <w:rsid w:val="00E03EB7"/>
    <w:rsid w:val="00E04CD5"/>
    <w:rsid w:val="00E077AF"/>
    <w:rsid w:val="00E105A0"/>
    <w:rsid w:val="00E12EC3"/>
    <w:rsid w:val="00E22EF7"/>
    <w:rsid w:val="00E2421D"/>
    <w:rsid w:val="00E268D9"/>
    <w:rsid w:val="00E37840"/>
    <w:rsid w:val="00E408C6"/>
    <w:rsid w:val="00E44451"/>
    <w:rsid w:val="00E52E86"/>
    <w:rsid w:val="00E604EA"/>
    <w:rsid w:val="00E64A80"/>
    <w:rsid w:val="00E64B13"/>
    <w:rsid w:val="00E7570A"/>
    <w:rsid w:val="00E76172"/>
    <w:rsid w:val="00E829BB"/>
    <w:rsid w:val="00E9730D"/>
    <w:rsid w:val="00EA2454"/>
    <w:rsid w:val="00EB07FA"/>
    <w:rsid w:val="00EB40F2"/>
    <w:rsid w:val="00EB5880"/>
    <w:rsid w:val="00EB7094"/>
    <w:rsid w:val="00EC3845"/>
    <w:rsid w:val="00EC6206"/>
    <w:rsid w:val="00EC7927"/>
    <w:rsid w:val="00ED2FBA"/>
    <w:rsid w:val="00ED491B"/>
    <w:rsid w:val="00ED63B2"/>
    <w:rsid w:val="00ED6C1C"/>
    <w:rsid w:val="00EE1282"/>
    <w:rsid w:val="00EE29E2"/>
    <w:rsid w:val="00EE4550"/>
    <w:rsid w:val="00EE7B3A"/>
    <w:rsid w:val="00EF6DDC"/>
    <w:rsid w:val="00F005A7"/>
    <w:rsid w:val="00F03A14"/>
    <w:rsid w:val="00F15389"/>
    <w:rsid w:val="00F1578D"/>
    <w:rsid w:val="00F1621B"/>
    <w:rsid w:val="00F262CE"/>
    <w:rsid w:val="00F276CE"/>
    <w:rsid w:val="00F355C7"/>
    <w:rsid w:val="00F35DD4"/>
    <w:rsid w:val="00F4119B"/>
    <w:rsid w:val="00F41DC8"/>
    <w:rsid w:val="00F453AC"/>
    <w:rsid w:val="00F46A6D"/>
    <w:rsid w:val="00F51757"/>
    <w:rsid w:val="00F53AF4"/>
    <w:rsid w:val="00F54ED1"/>
    <w:rsid w:val="00F55335"/>
    <w:rsid w:val="00F55C40"/>
    <w:rsid w:val="00F61431"/>
    <w:rsid w:val="00F61A55"/>
    <w:rsid w:val="00F636D9"/>
    <w:rsid w:val="00F65556"/>
    <w:rsid w:val="00F66E7B"/>
    <w:rsid w:val="00F67A4A"/>
    <w:rsid w:val="00F770A3"/>
    <w:rsid w:val="00F81CBD"/>
    <w:rsid w:val="00F8222F"/>
    <w:rsid w:val="00F82F37"/>
    <w:rsid w:val="00F840A5"/>
    <w:rsid w:val="00F9055A"/>
    <w:rsid w:val="00F94A3E"/>
    <w:rsid w:val="00F97025"/>
    <w:rsid w:val="00F97E81"/>
    <w:rsid w:val="00FA1CCA"/>
    <w:rsid w:val="00FA7918"/>
    <w:rsid w:val="00FB006A"/>
    <w:rsid w:val="00FB246E"/>
    <w:rsid w:val="00FC12FA"/>
    <w:rsid w:val="00FC667A"/>
    <w:rsid w:val="00FD0E6C"/>
    <w:rsid w:val="00FD1386"/>
    <w:rsid w:val="00FD3F66"/>
    <w:rsid w:val="00FD63CC"/>
    <w:rsid w:val="00FF047F"/>
    <w:rsid w:val="00FF0CAA"/>
    <w:rsid w:val="00FF1A6E"/>
    <w:rsid w:val="00FF39B7"/>
    <w:rsid w:val="00FF5A1C"/>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E3A6"/>
  <w15:docId w15:val="{EFF560BA-EC5E-46BB-A6C7-3320D216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EA"/>
    <w:pPr>
      <w:spacing w:after="0" w:line="240" w:lineRule="auto"/>
    </w:pPr>
    <w:rPr>
      <w:rFonts w:ascii="Arial" w:eastAsia="Times New Roman" w:hAnsi="Arial" w:cs="Times New Roman"/>
      <w:sz w:val="20"/>
      <w:szCs w:val="24"/>
    </w:rPr>
  </w:style>
  <w:style w:type="paragraph" w:styleId="Heading4">
    <w:name w:val="heading 4"/>
    <w:basedOn w:val="Normal"/>
    <w:link w:val="Heading4Char"/>
    <w:uiPriority w:val="9"/>
    <w:qFormat/>
    <w:rsid w:val="004403AC"/>
    <w:pPr>
      <w:spacing w:before="100" w:beforeAutospacing="1" w:after="100" w:afterAutospacing="1"/>
      <w:outlineLvl w:val="3"/>
    </w:pPr>
    <w:rPr>
      <w:rFonts w:ascii="Times New Roman" w:hAnsi="Times New Roman"/>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EA"/>
    <w:pPr>
      <w:tabs>
        <w:tab w:val="center" w:pos="4320"/>
        <w:tab w:val="right" w:pos="8640"/>
      </w:tabs>
    </w:pPr>
  </w:style>
  <w:style w:type="character" w:customStyle="1" w:styleId="HeaderChar">
    <w:name w:val="Header Char"/>
    <w:basedOn w:val="DefaultParagraphFont"/>
    <w:link w:val="Header"/>
    <w:rsid w:val="00E604EA"/>
    <w:rPr>
      <w:rFonts w:ascii="Arial" w:eastAsia="Times New Roman" w:hAnsi="Arial" w:cs="Times New Roman"/>
      <w:sz w:val="20"/>
      <w:szCs w:val="24"/>
      <w:lang w:val="ro-RO"/>
    </w:rPr>
  </w:style>
  <w:style w:type="paragraph" w:customStyle="1" w:styleId="EYBoldsubjectheading">
    <w:name w:val="EY Bold subject heading"/>
    <w:basedOn w:val="Normal"/>
    <w:rsid w:val="00E604EA"/>
    <w:pPr>
      <w:suppressAutoHyphens/>
      <w:spacing w:before="480" w:line="260" w:lineRule="atLeast"/>
    </w:pPr>
    <w:rPr>
      <w:b/>
      <w:kern w:val="12"/>
      <w:sz w:val="26"/>
    </w:rPr>
  </w:style>
  <w:style w:type="paragraph" w:customStyle="1" w:styleId="EYFooterinfo">
    <w:name w:val="EY Footer info"/>
    <w:basedOn w:val="Normal"/>
    <w:rsid w:val="00E604EA"/>
    <w:pPr>
      <w:suppressAutoHyphens/>
    </w:pPr>
    <w:rPr>
      <w:color w:val="808080"/>
      <w:kern w:val="12"/>
      <w:sz w:val="11"/>
    </w:rPr>
  </w:style>
  <w:style w:type="paragraph" w:customStyle="1" w:styleId="EYDocumentpromptsbold">
    <w:name w:val="EY Document prompts (bold)"/>
    <w:basedOn w:val="Normal"/>
    <w:uiPriority w:val="99"/>
    <w:rsid w:val="00E604EA"/>
    <w:pPr>
      <w:suppressAutoHyphens/>
      <w:spacing w:line="260" w:lineRule="atLeast"/>
    </w:pPr>
    <w:rPr>
      <w:rFonts w:ascii="Arial Bold" w:hAnsi="Arial Bold"/>
      <w:b/>
      <w:kern w:val="12"/>
    </w:rPr>
  </w:style>
  <w:style w:type="paragraph" w:customStyle="1" w:styleId="EYContinuationheader">
    <w:name w:val="EY Continuation header"/>
    <w:basedOn w:val="Normal"/>
    <w:rsid w:val="00E604EA"/>
    <w:pPr>
      <w:tabs>
        <w:tab w:val="left" w:pos="2495"/>
      </w:tabs>
      <w:suppressAutoHyphens/>
      <w:spacing w:line="260" w:lineRule="atLeast"/>
    </w:pPr>
    <w:rPr>
      <w:kern w:val="12"/>
    </w:rPr>
  </w:style>
  <w:style w:type="paragraph" w:styleId="Footer">
    <w:name w:val="footer"/>
    <w:basedOn w:val="Normal"/>
    <w:link w:val="FooterChar"/>
    <w:rsid w:val="00E604EA"/>
    <w:pPr>
      <w:tabs>
        <w:tab w:val="center" w:pos="4320"/>
        <w:tab w:val="right" w:pos="8640"/>
      </w:tabs>
    </w:pPr>
  </w:style>
  <w:style w:type="character" w:customStyle="1" w:styleId="FooterChar">
    <w:name w:val="Footer Char"/>
    <w:basedOn w:val="DefaultParagraphFont"/>
    <w:link w:val="Footer"/>
    <w:rsid w:val="00E604EA"/>
    <w:rPr>
      <w:rFonts w:ascii="Arial" w:eastAsia="Times New Roman" w:hAnsi="Arial" w:cs="Times New Roman"/>
      <w:sz w:val="20"/>
      <w:szCs w:val="24"/>
      <w:lang w:val="ro-RO"/>
    </w:rPr>
  </w:style>
  <w:style w:type="character" w:customStyle="1" w:styleId="EYBodytextwithparaspaceChar">
    <w:name w:val="EY Body text (with para space) Char"/>
    <w:basedOn w:val="DefaultParagraphFont"/>
    <w:link w:val="EYBodytextwithparaspace"/>
    <w:rsid w:val="00E604EA"/>
    <w:rPr>
      <w:rFonts w:ascii="Arial" w:hAnsi="Arial"/>
      <w:kern w:val="12"/>
      <w:szCs w:val="24"/>
    </w:rPr>
  </w:style>
  <w:style w:type="paragraph" w:customStyle="1" w:styleId="EYBodytextsubhead2">
    <w:name w:val="EY Body text subhead 2"/>
    <w:basedOn w:val="Normal"/>
    <w:rsid w:val="00E604EA"/>
    <w:pPr>
      <w:tabs>
        <w:tab w:val="left" w:pos="907"/>
      </w:tabs>
      <w:suppressAutoHyphens/>
      <w:spacing w:after="200" w:line="500" w:lineRule="atLeast"/>
    </w:pPr>
    <w:rPr>
      <w:rFonts w:ascii="Arial Bold" w:hAnsi="Arial Bold"/>
      <w:b/>
      <w:i/>
      <w:kern w:val="12"/>
    </w:rPr>
  </w:style>
  <w:style w:type="paragraph" w:customStyle="1" w:styleId="EYBodytextwithparaspace">
    <w:name w:val="EY Body text (with para space)"/>
    <w:basedOn w:val="Normal"/>
    <w:link w:val="EYBodytextwithparaspaceChar"/>
    <w:rsid w:val="00E604EA"/>
    <w:pPr>
      <w:tabs>
        <w:tab w:val="left" w:pos="907"/>
      </w:tabs>
      <w:suppressAutoHyphens/>
      <w:spacing w:after="400" w:line="360" w:lineRule="auto"/>
    </w:pPr>
    <w:rPr>
      <w:rFonts w:eastAsiaTheme="minorHAnsi" w:cstheme="minorBidi"/>
      <w:kern w:val="12"/>
      <w:sz w:val="22"/>
    </w:rPr>
  </w:style>
  <w:style w:type="paragraph" w:customStyle="1" w:styleId="EYHeading2">
    <w:name w:val="EY Heading 2"/>
    <w:basedOn w:val="Normal"/>
    <w:next w:val="EYBodytextwithparaspace"/>
    <w:link w:val="EYHeading2Char"/>
    <w:uiPriority w:val="99"/>
    <w:rsid w:val="00E604EA"/>
    <w:pPr>
      <w:keepNext/>
      <w:suppressAutoHyphens/>
      <w:spacing w:before="120" w:after="120"/>
    </w:pPr>
    <w:rPr>
      <w:b/>
      <w:kern w:val="12"/>
      <w:sz w:val="22"/>
    </w:rPr>
  </w:style>
  <w:style w:type="character" w:customStyle="1" w:styleId="EYHeading2Char">
    <w:name w:val="EY Heading 2 Char"/>
    <w:basedOn w:val="DefaultParagraphFont"/>
    <w:link w:val="EYHeading2"/>
    <w:uiPriority w:val="99"/>
    <w:locked/>
    <w:rsid w:val="00E604EA"/>
    <w:rPr>
      <w:rFonts w:ascii="Arial" w:eastAsia="Times New Roman" w:hAnsi="Arial" w:cs="Times New Roman"/>
      <w:b/>
      <w:kern w:val="12"/>
      <w:szCs w:val="24"/>
    </w:rPr>
  </w:style>
  <w:style w:type="character" w:customStyle="1" w:styleId="EYNormalChar">
    <w:name w:val="EY Normal Char"/>
    <w:basedOn w:val="DefaultParagraphFont"/>
    <w:link w:val="EYNormal"/>
    <w:locked/>
    <w:rsid w:val="00E604EA"/>
    <w:rPr>
      <w:rFonts w:cs="Times New Roman"/>
      <w:kern w:val="12"/>
      <w:szCs w:val="24"/>
    </w:rPr>
  </w:style>
  <w:style w:type="paragraph" w:customStyle="1" w:styleId="EYNormal">
    <w:name w:val="EY Normal"/>
    <w:link w:val="EYNormalChar"/>
    <w:rsid w:val="00E604EA"/>
    <w:pPr>
      <w:suppressAutoHyphens/>
      <w:spacing w:after="0" w:line="240" w:lineRule="auto"/>
    </w:pPr>
    <w:rPr>
      <w:rFonts w:cs="Times New Roman"/>
      <w:kern w:val="12"/>
      <w:szCs w:val="24"/>
    </w:rPr>
  </w:style>
  <w:style w:type="character" w:styleId="Hyperlink">
    <w:name w:val="Hyperlink"/>
    <w:basedOn w:val="DefaultParagraphFont"/>
    <w:uiPriority w:val="99"/>
    <w:unhideWhenUsed/>
    <w:rsid w:val="00E604EA"/>
    <w:rPr>
      <w:color w:val="0563C1" w:themeColor="hyperlink"/>
      <w:u w:val="single"/>
    </w:rPr>
  </w:style>
  <w:style w:type="character" w:styleId="CommentReference">
    <w:name w:val="annotation reference"/>
    <w:basedOn w:val="DefaultParagraphFont"/>
    <w:uiPriority w:val="99"/>
    <w:semiHidden/>
    <w:unhideWhenUsed/>
    <w:rsid w:val="008D01A6"/>
    <w:rPr>
      <w:sz w:val="16"/>
      <w:szCs w:val="16"/>
    </w:rPr>
  </w:style>
  <w:style w:type="paragraph" w:styleId="CommentText">
    <w:name w:val="annotation text"/>
    <w:basedOn w:val="Normal"/>
    <w:link w:val="CommentTextChar"/>
    <w:uiPriority w:val="99"/>
    <w:semiHidden/>
    <w:unhideWhenUsed/>
    <w:rsid w:val="008D01A6"/>
    <w:rPr>
      <w:szCs w:val="20"/>
    </w:rPr>
  </w:style>
  <w:style w:type="character" w:customStyle="1" w:styleId="CommentTextChar">
    <w:name w:val="Comment Text Char"/>
    <w:basedOn w:val="DefaultParagraphFont"/>
    <w:link w:val="CommentText"/>
    <w:uiPriority w:val="99"/>
    <w:semiHidden/>
    <w:rsid w:val="008D01A6"/>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D01A6"/>
    <w:rPr>
      <w:b/>
      <w:bCs/>
    </w:rPr>
  </w:style>
  <w:style w:type="character" w:customStyle="1" w:styleId="CommentSubjectChar">
    <w:name w:val="Comment Subject Char"/>
    <w:basedOn w:val="CommentTextChar"/>
    <w:link w:val="CommentSubject"/>
    <w:uiPriority w:val="99"/>
    <w:semiHidden/>
    <w:rsid w:val="008D01A6"/>
    <w:rPr>
      <w:rFonts w:ascii="Arial" w:eastAsia="Times New Roman" w:hAnsi="Arial" w:cs="Times New Roman"/>
      <w:b/>
      <w:bCs/>
      <w:sz w:val="20"/>
      <w:szCs w:val="20"/>
      <w:lang w:val="ro-RO"/>
    </w:rPr>
  </w:style>
  <w:style w:type="paragraph" w:styleId="BalloonText">
    <w:name w:val="Balloon Text"/>
    <w:basedOn w:val="Normal"/>
    <w:link w:val="BalloonTextChar"/>
    <w:uiPriority w:val="99"/>
    <w:semiHidden/>
    <w:unhideWhenUsed/>
    <w:rsid w:val="008D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A6"/>
    <w:rPr>
      <w:rFonts w:ascii="Segoe UI" w:eastAsia="Times New Roman" w:hAnsi="Segoe UI" w:cs="Segoe UI"/>
      <w:sz w:val="18"/>
      <w:szCs w:val="18"/>
      <w:lang w:val="ro-RO"/>
    </w:rPr>
  </w:style>
  <w:style w:type="character" w:styleId="FollowedHyperlink">
    <w:name w:val="FollowedHyperlink"/>
    <w:basedOn w:val="DefaultParagraphFont"/>
    <w:uiPriority w:val="99"/>
    <w:semiHidden/>
    <w:unhideWhenUsed/>
    <w:rsid w:val="0057371A"/>
    <w:rPr>
      <w:color w:val="954F72" w:themeColor="followedHyperlink"/>
      <w:u w:val="single"/>
    </w:rPr>
  </w:style>
  <w:style w:type="character" w:customStyle="1" w:styleId="MeniuneNerezolvat1">
    <w:name w:val="Mențiune Nerezolvat1"/>
    <w:basedOn w:val="DefaultParagraphFont"/>
    <w:uiPriority w:val="99"/>
    <w:semiHidden/>
    <w:unhideWhenUsed/>
    <w:rsid w:val="007D69DD"/>
    <w:rPr>
      <w:color w:val="605E5C"/>
      <w:shd w:val="clear" w:color="auto" w:fill="E1DFDD"/>
    </w:rPr>
  </w:style>
  <w:style w:type="paragraph" w:customStyle="1" w:styleId="EYDocumenttitle">
    <w:name w:val="EY Document title"/>
    <w:basedOn w:val="Normal"/>
    <w:next w:val="Normal"/>
    <w:uiPriority w:val="99"/>
    <w:rsid w:val="000A30C3"/>
    <w:pPr>
      <w:suppressAutoHyphens/>
    </w:pPr>
    <w:rPr>
      <w:spacing w:val="-4"/>
      <w:kern w:val="12"/>
      <w:sz w:val="36"/>
    </w:rPr>
  </w:style>
  <w:style w:type="paragraph" w:customStyle="1" w:styleId="EYDocumentprompts">
    <w:name w:val="EY Document prompts"/>
    <w:basedOn w:val="EYNormal"/>
    <w:uiPriority w:val="99"/>
    <w:rsid w:val="000A30C3"/>
    <w:pPr>
      <w:spacing w:before="60" w:after="60" w:line="240" w:lineRule="atLeast"/>
    </w:pPr>
    <w:rPr>
      <w:rFonts w:ascii="Arial" w:eastAsia="Times New Roman" w:hAnsi="Arial"/>
      <w:sz w:val="20"/>
      <w:lang w:val="en-GB"/>
    </w:rPr>
  </w:style>
  <w:style w:type="character" w:customStyle="1" w:styleId="MeniuneNerezolvat2">
    <w:name w:val="Mențiune Nerezolvat2"/>
    <w:basedOn w:val="DefaultParagraphFont"/>
    <w:uiPriority w:val="99"/>
    <w:semiHidden/>
    <w:unhideWhenUsed/>
    <w:rsid w:val="000A30C3"/>
    <w:rPr>
      <w:color w:val="605E5C"/>
      <w:shd w:val="clear" w:color="auto" w:fill="E1DFDD"/>
    </w:rPr>
  </w:style>
  <w:style w:type="paragraph" w:styleId="NormalWeb">
    <w:name w:val="Normal (Web)"/>
    <w:basedOn w:val="Normal"/>
    <w:uiPriority w:val="99"/>
    <w:unhideWhenUsed/>
    <w:rsid w:val="00072965"/>
    <w:pPr>
      <w:spacing w:before="100" w:beforeAutospacing="1" w:after="100" w:afterAutospacing="1"/>
    </w:pPr>
    <w:rPr>
      <w:rFonts w:ascii="Times New Roman" w:eastAsiaTheme="minorHAnsi" w:hAnsi="Times New Roman"/>
      <w:sz w:val="24"/>
      <w:lang w:eastAsia="ro-RO"/>
    </w:rPr>
  </w:style>
  <w:style w:type="character" w:customStyle="1" w:styleId="UnresolvedMention">
    <w:name w:val="Unresolved Mention"/>
    <w:basedOn w:val="DefaultParagraphFont"/>
    <w:uiPriority w:val="99"/>
    <w:semiHidden/>
    <w:unhideWhenUsed/>
    <w:rsid w:val="00593641"/>
    <w:rPr>
      <w:color w:val="605E5C"/>
      <w:shd w:val="clear" w:color="auto" w:fill="E1DFDD"/>
    </w:rPr>
  </w:style>
  <w:style w:type="paragraph" w:styleId="Revision">
    <w:name w:val="Revision"/>
    <w:hidden/>
    <w:uiPriority w:val="99"/>
    <w:semiHidden/>
    <w:rsid w:val="00D33067"/>
    <w:pPr>
      <w:spacing w:after="0" w:line="240" w:lineRule="auto"/>
    </w:pPr>
    <w:rPr>
      <w:rFonts w:ascii="Arial" w:eastAsia="Times New Roman" w:hAnsi="Arial" w:cs="Times New Roman"/>
      <w:sz w:val="20"/>
      <w:szCs w:val="24"/>
    </w:rPr>
  </w:style>
  <w:style w:type="character" w:styleId="Emphasis">
    <w:name w:val="Emphasis"/>
    <w:basedOn w:val="DefaultParagraphFont"/>
    <w:uiPriority w:val="20"/>
    <w:qFormat/>
    <w:rsid w:val="009151B3"/>
    <w:rPr>
      <w:i/>
      <w:iCs/>
    </w:rPr>
  </w:style>
  <w:style w:type="character" w:styleId="Strong">
    <w:name w:val="Strong"/>
    <w:basedOn w:val="DefaultParagraphFont"/>
    <w:uiPriority w:val="22"/>
    <w:qFormat/>
    <w:rsid w:val="008D108D"/>
    <w:rPr>
      <w:b/>
      <w:bCs/>
    </w:rPr>
  </w:style>
  <w:style w:type="character" w:customStyle="1" w:styleId="slit">
    <w:name w:val="s_lit"/>
    <w:basedOn w:val="DefaultParagraphFont"/>
    <w:rsid w:val="007450CB"/>
  </w:style>
  <w:style w:type="character" w:customStyle="1" w:styleId="slitbdy">
    <w:name w:val="s_lit_bdy"/>
    <w:basedOn w:val="DefaultParagraphFont"/>
    <w:rsid w:val="007450CB"/>
  </w:style>
  <w:style w:type="character" w:customStyle="1" w:styleId="slitttl">
    <w:name w:val="s_lit_ttl"/>
    <w:basedOn w:val="DefaultParagraphFont"/>
    <w:rsid w:val="007450CB"/>
  </w:style>
  <w:style w:type="paragraph" w:styleId="ListParagraph">
    <w:name w:val="List Paragraph"/>
    <w:basedOn w:val="Normal"/>
    <w:uiPriority w:val="34"/>
    <w:qFormat/>
    <w:rsid w:val="009C38EB"/>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F7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403AC"/>
    <w:rPr>
      <w:rFonts w:ascii="Times New Roman" w:eastAsia="Times New Roman" w:hAnsi="Times New Roman" w:cs="Times New Roman"/>
      <w:b/>
      <w:bCs/>
      <w:sz w:val="24"/>
      <w:szCs w:val="24"/>
      <w:lang w:val="en-US"/>
    </w:rPr>
  </w:style>
  <w:style w:type="paragraph" w:customStyle="1" w:styleId="al">
    <w:name w:val="a_l"/>
    <w:basedOn w:val="Normal"/>
    <w:rsid w:val="004403AC"/>
    <w:pPr>
      <w:spacing w:before="100" w:beforeAutospacing="1" w:after="100" w:afterAutospacing="1"/>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237817">
      <w:bodyDiv w:val="1"/>
      <w:marLeft w:val="0"/>
      <w:marRight w:val="0"/>
      <w:marTop w:val="0"/>
      <w:marBottom w:val="0"/>
      <w:divBdr>
        <w:top w:val="none" w:sz="0" w:space="0" w:color="auto"/>
        <w:left w:val="none" w:sz="0" w:space="0" w:color="auto"/>
        <w:bottom w:val="none" w:sz="0" w:space="0" w:color="auto"/>
        <w:right w:val="none" w:sz="0" w:space="0" w:color="auto"/>
      </w:divBdr>
    </w:div>
    <w:div w:id="1745908707">
      <w:bodyDiv w:val="1"/>
      <w:marLeft w:val="0"/>
      <w:marRight w:val="0"/>
      <w:marTop w:val="0"/>
      <w:marBottom w:val="0"/>
      <w:divBdr>
        <w:top w:val="none" w:sz="0" w:space="0" w:color="auto"/>
        <w:left w:val="none" w:sz="0" w:space="0" w:color="auto"/>
        <w:bottom w:val="none" w:sz="0" w:space="0" w:color="auto"/>
        <w:right w:val="none" w:sz="0" w:space="0" w:color="auto"/>
      </w:divBdr>
    </w:div>
    <w:div w:id="20730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e5.ro/App/Document/geytcnjqgq2a/legea-nr-99-2016-privind-achizitiile-sectoriale?pid=96835848&amp;d=2022-06-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a.hutanu@ro.e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BF0B9CEACA34A981A7F46EA19F3F9" ma:contentTypeVersion="12" ma:contentTypeDescription="Create a new document." ma:contentTypeScope="" ma:versionID="cc8ffc874984966ee79012f110195910">
  <xsd:schema xmlns:xsd="http://www.w3.org/2001/XMLSchema" xmlns:xs="http://www.w3.org/2001/XMLSchema" xmlns:p="http://schemas.microsoft.com/office/2006/metadata/properties" xmlns:ns3="fd550b8b-0dd7-4de3-a8e6-af527f15a8ac" xmlns:ns4="45cbc027-4fdb-4325-ba4c-14e20f088a7f" targetNamespace="http://schemas.microsoft.com/office/2006/metadata/properties" ma:root="true" ma:fieldsID="0b4085e1d47cf19cc0ca9c96945ecf35" ns3:_="" ns4:_="">
    <xsd:import namespace="fd550b8b-0dd7-4de3-a8e6-af527f15a8ac"/>
    <xsd:import namespace="45cbc027-4fdb-4325-ba4c-14e20f088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0b8b-0dd7-4de3-a8e6-af527f15a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bc027-4fdb-4325-ba4c-14e20f088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D205-9DA8-4FB9-B780-78CF73E5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0b8b-0dd7-4de3-a8e6-af527f15a8ac"/>
    <ds:schemaRef ds:uri="45cbc027-4fdb-4325-ba4c-14e20f08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9CB8E-5848-47E5-A67B-9121F4E0857D}">
  <ds:schemaRefs>
    <ds:schemaRef ds:uri="http://schemas.microsoft.com/sharepoint/v3/contenttype/forms"/>
  </ds:schemaRefs>
</ds:datastoreItem>
</file>

<file path=customXml/itemProps3.xml><?xml version="1.0" encoding="utf-8"?>
<ds:datastoreItem xmlns:ds="http://schemas.openxmlformats.org/officeDocument/2006/customXml" ds:itemID="{0711B5B5-D6F4-4B83-BD6C-D40C4C73B4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9C417D-0B22-4B03-A8EA-17516FE6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1597</Words>
  <Characters>9268</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11 6  FAAS 2018 release 051018.docx</vt:lpstr>
      <vt:lpstr>11 6  FAAS 2018 release 051018.docx</vt:lpstr>
    </vt:vector>
  </TitlesOfParts>
  <Company>EY</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6  FAAS 2018 release 051018.docx</dc:title>
  <dc:subject/>
  <dc:creator>Konstantinos Makrygiannis</dc:creator>
  <cp:keywords/>
  <dc:description/>
  <cp:lastModifiedBy>Cici</cp:lastModifiedBy>
  <cp:revision>19</cp:revision>
  <dcterms:created xsi:type="dcterms:W3CDTF">2022-07-04T11:42:00Z</dcterms:created>
  <dcterms:modified xsi:type="dcterms:W3CDTF">2022-07-05T07:44:00Z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0x010100B7FBF0B9CEACA34A981A7F46EA19F3F9</vt:lpwstr>
  </property>
  <property fmtid="{D5CDD505-2E9C-101B-9397-08002B2CF9AE}" pid="3" name="EYGSSubServiceLine">
    <vt:lpwstr>34;#Brand, Marketing and Communications|6b39c8d3-6895-4456-aa8f-09ed4243bc47</vt:lpwstr>
  </property>
  <property fmtid="{D5CDD505-2E9C-101B-9397-08002B2CF9AE}" pid="4" name="EYGSAdditionalServiceLine1">
    <vt:lpwstr>5;#Core Business Services (CBS)|2cf6a111-d37c-43c1-940d-c7e1830826b5</vt:lpwstr>
  </property>
  <property fmtid="{D5CDD505-2E9C-101B-9397-08002B2CF9AE}" pid="5" name="EYGSAdditionalSubSServiceLine1">
    <vt:lpwstr>35;#Brand and External Communications|b0b352fe-33c7-4bca-8731-a9b0648a65de</vt:lpwstr>
  </property>
  <property fmtid="{D5CDD505-2E9C-101B-9397-08002B2CF9AE}" pid="6" name="EYGSGeographicScope">
    <vt:lpwstr>17;#Global|500f1427-2ec5-408e-9c7e-c7ecab3f14e9</vt:lpwstr>
  </property>
  <property fmtid="{D5CDD505-2E9C-101B-9397-08002B2CF9AE}" pid="7" name="EYGSSubSector">
    <vt:lpwstr/>
  </property>
  <property fmtid="{D5CDD505-2E9C-101B-9397-08002B2CF9AE}" pid="8" name="EYGSAdditionalSubServiceLine1">
    <vt:lpwstr>34;#Brand, Marketing and Communications|6b39c8d3-6895-4456-aa8f-09ed4243bc47</vt:lpwstr>
  </property>
  <property fmtid="{D5CDD505-2E9C-101B-9397-08002B2CF9AE}" pid="9" name="EYGSAdditionalSector">
    <vt:lpwstr/>
  </property>
  <property fmtid="{D5CDD505-2E9C-101B-9397-08002B2CF9AE}" pid="10" name="EYGSSubSServiceLine">
    <vt:lpwstr>35;#Brand and External Communications|b0b352fe-33c7-4bca-8731-a9b0648a65de</vt:lpwstr>
  </property>
  <property fmtid="{D5CDD505-2E9C-101B-9397-08002B2CF9AE}" pid="11" name="EYGSAdditionalSubServiceLine">
    <vt:lpwstr>34;#Brand, Marketing and Communications|6b39c8d3-6895-4456-aa8f-09ed4243bc47</vt:lpwstr>
  </property>
  <property fmtid="{D5CDD505-2E9C-101B-9397-08002B2CF9AE}" pid="12" name="EYGSAreas">
    <vt:lpwstr>22;#EMEIA|f996ef64-9eed-4e53-bc49-92020faa37ae</vt:lpwstr>
  </property>
  <property fmtid="{D5CDD505-2E9C-101B-9397-08002B2CF9AE}" pid="13" name="EYGSAdditionalSubSServiceLine">
    <vt:lpwstr>35;#Brand and External Communications|b0b352fe-33c7-4bca-8731-a9b0648a65de</vt:lpwstr>
  </property>
  <property fmtid="{D5CDD505-2E9C-101B-9397-08002B2CF9AE}" pid="14" name="EYGSAdditionalServiceLine">
    <vt:lpwstr>5;#Core Business Services (CBS)|2cf6a111-d37c-43c1-940d-c7e1830826b5</vt:lpwstr>
  </property>
  <property fmtid="{D5CDD505-2E9C-101B-9397-08002B2CF9AE}" pid="15" name="EYGSServiceLine">
    <vt:lpwstr>5;#Core Business Services (CBS)|2cf6a111-d37c-43c1-940d-c7e1830826b5</vt:lpwstr>
  </property>
  <property fmtid="{D5CDD505-2E9C-101B-9397-08002B2CF9AE}" pid="16" name="EYGSScoreSector">
    <vt:lpwstr/>
  </property>
  <property fmtid="{D5CDD505-2E9C-101B-9397-08002B2CF9AE}" pid="17" name="EYGSRegion">
    <vt:lpwstr>23;#UK and Ireland|6b52dc23-e127-4bdd-a180-89180e1e93dd</vt:lpwstr>
  </property>
  <property fmtid="{D5CDD505-2E9C-101B-9397-08002B2CF9AE}" pid="18" name="EYGSAdditionalSector1">
    <vt:lpwstr/>
  </property>
  <property fmtid="{D5CDD505-2E9C-101B-9397-08002B2CF9AE}" pid="19" name="_docset_NoMedatataSyncRequired">
    <vt:lpwstr>False</vt:lpwstr>
  </property>
  <property fmtid="{D5CDD505-2E9C-101B-9397-08002B2CF9AE}" pid="20" name="_dlc_DocIdItemGuid">
    <vt:lpwstr>10f2309a-a07c-403b-b307-c98073d9a0c0</vt:lpwstr>
  </property>
</Properties>
</file>