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278EA" w14:textId="77777777" w:rsidR="009920A0" w:rsidRPr="0099168D" w:rsidRDefault="009920A0" w:rsidP="00B939C6">
      <w:pPr>
        <w:ind w:left="-851"/>
        <w:jc w:val="center"/>
        <w:rPr>
          <w:rFonts w:cs="Arial"/>
          <w:b/>
          <w:snapToGrid w:val="0"/>
        </w:rPr>
      </w:pPr>
    </w:p>
    <w:p w14:paraId="0C45A58B" w14:textId="77777777" w:rsidR="009920A0" w:rsidRPr="0099168D" w:rsidRDefault="009920A0" w:rsidP="00B939C6">
      <w:pPr>
        <w:ind w:left="-851"/>
        <w:jc w:val="center"/>
        <w:rPr>
          <w:rFonts w:cs="Arial"/>
          <w:b/>
          <w:snapToGrid w:val="0"/>
        </w:rPr>
      </w:pPr>
    </w:p>
    <w:p w14:paraId="3A2F3380" w14:textId="52AC8F50" w:rsidR="002902EE" w:rsidRPr="0099168D" w:rsidRDefault="00002BB0" w:rsidP="00FE3B1B">
      <w:pPr>
        <w:ind w:left="-851"/>
        <w:jc w:val="center"/>
        <w:rPr>
          <w:rFonts w:cs="Arial"/>
          <w:b/>
          <w:snapToGrid w:val="0"/>
        </w:rPr>
      </w:pPr>
      <w:r w:rsidRPr="0099168D">
        <w:rPr>
          <w:rFonts w:cs="Arial"/>
          <w:b/>
          <w:snapToGrid w:val="0"/>
        </w:rPr>
        <w:t>NOTĂ DE FUNDAMENTARE</w:t>
      </w:r>
    </w:p>
    <w:p w14:paraId="3FD7951C" w14:textId="77777777" w:rsidR="004175F0" w:rsidRPr="0099168D" w:rsidRDefault="004175F0" w:rsidP="00B939C6">
      <w:pPr>
        <w:ind w:left="-851"/>
        <w:rPr>
          <w:rFonts w:cs="Arial"/>
          <w:b/>
          <w:snapToGrid w:val="0"/>
        </w:rPr>
      </w:pPr>
    </w:p>
    <w:tbl>
      <w:tblPr>
        <w:tblW w:w="10027" w:type="dxa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0"/>
        <w:gridCol w:w="1547"/>
        <w:gridCol w:w="1126"/>
        <w:gridCol w:w="1126"/>
        <w:gridCol w:w="1126"/>
        <w:gridCol w:w="1125"/>
        <w:gridCol w:w="1267"/>
      </w:tblGrid>
      <w:tr w:rsidR="00EC7E47" w:rsidRPr="0099168D" w14:paraId="10168C38" w14:textId="77777777" w:rsidTr="0099168D">
        <w:trPr>
          <w:cantSplit/>
          <w:trHeight w:val="662"/>
        </w:trPr>
        <w:tc>
          <w:tcPr>
            <w:tcW w:w="10027" w:type="dxa"/>
            <w:gridSpan w:val="7"/>
          </w:tcPr>
          <w:p w14:paraId="365854AC" w14:textId="20A29CFC" w:rsidR="00A728B1" w:rsidRPr="0099168D" w:rsidRDefault="00DB3D92" w:rsidP="00A728B1">
            <w:pPr>
              <w:spacing w:after="0"/>
              <w:ind w:left="69" w:right="-391"/>
              <w:jc w:val="center"/>
              <w:rPr>
                <w:rFonts w:cs="Arial"/>
                <w:b/>
                <w:snapToGrid w:val="0"/>
              </w:rPr>
            </w:pPr>
            <w:r w:rsidRPr="0099168D">
              <w:rPr>
                <w:rFonts w:cs="Arial"/>
                <w:b/>
                <w:snapToGrid w:val="0"/>
              </w:rPr>
              <w:t>Secțiunea</w:t>
            </w:r>
            <w:r w:rsidR="004175F0" w:rsidRPr="0099168D">
              <w:rPr>
                <w:rFonts w:cs="Arial"/>
                <w:b/>
                <w:snapToGrid w:val="0"/>
              </w:rPr>
              <w:t xml:space="preserve"> 1 – Titlul proiectului de act normativ</w:t>
            </w:r>
          </w:p>
          <w:p w14:paraId="30E25574" w14:textId="77777777" w:rsidR="00470D3B" w:rsidRPr="0099168D" w:rsidRDefault="000F17C6" w:rsidP="00470D3B">
            <w:pPr>
              <w:spacing w:after="0"/>
              <w:ind w:left="69" w:right="-391"/>
              <w:jc w:val="center"/>
              <w:rPr>
                <w:rFonts w:cs="Arial"/>
                <w:b/>
                <w:snapToGrid w:val="0"/>
              </w:rPr>
            </w:pPr>
            <w:r w:rsidRPr="0099168D">
              <w:rPr>
                <w:rFonts w:cs="Arial"/>
                <w:b/>
              </w:rPr>
              <w:t>Hotărâre</w:t>
            </w:r>
          </w:p>
          <w:p w14:paraId="1C2D89AE" w14:textId="75F50719" w:rsidR="00470D3B" w:rsidRPr="0099168D" w:rsidRDefault="00470D3B" w:rsidP="00470D3B">
            <w:pPr>
              <w:spacing w:after="0"/>
              <w:ind w:left="69" w:right="-391"/>
              <w:jc w:val="center"/>
              <w:rPr>
                <w:rFonts w:cs="Arial"/>
                <w:b/>
                <w:snapToGrid w:val="0"/>
              </w:rPr>
            </w:pPr>
            <w:r w:rsidRPr="0099168D">
              <w:rPr>
                <w:b/>
              </w:rPr>
              <w:t>pentru modificarea anexei nr. 2 la Hotărârea Guvernului nr. 652/2009 privind organizarea și funcționarea Ministerului Justiției</w:t>
            </w:r>
          </w:p>
          <w:p w14:paraId="36BD1D37" w14:textId="35588E39" w:rsidR="00B939C6" w:rsidRPr="0099168D" w:rsidRDefault="00B939C6" w:rsidP="00A728B1">
            <w:pPr>
              <w:adjustRightInd w:val="0"/>
              <w:spacing w:after="0"/>
              <w:ind w:left="69"/>
              <w:jc w:val="center"/>
              <w:rPr>
                <w:rFonts w:cs="Arial"/>
                <w:b/>
              </w:rPr>
            </w:pPr>
          </w:p>
        </w:tc>
      </w:tr>
      <w:tr w:rsidR="00EC7E47" w:rsidRPr="0099168D" w14:paraId="4D5E1BD3" w14:textId="77777777" w:rsidTr="0099168D">
        <w:trPr>
          <w:cantSplit/>
          <w:trHeight w:val="326"/>
        </w:trPr>
        <w:tc>
          <w:tcPr>
            <w:tcW w:w="10027" w:type="dxa"/>
            <w:gridSpan w:val="7"/>
          </w:tcPr>
          <w:p w14:paraId="4C0DED86" w14:textId="66255D4E" w:rsidR="00A728B1" w:rsidRPr="0099168D" w:rsidRDefault="00B939C6" w:rsidP="008D0F55">
            <w:pPr>
              <w:spacing w:after="0"/>
              <w:ind w:left="0" w:right="-391"/>
              <w:jc w:val="center"/>
              <w:rPr>
                <w:rFonts w:cs="Arial"/>
                <w:b/>
                <w:snapToGrid w:val="0"/>
              </w:rPr>
            </w:pPr>
            <w:r w:rsidRPr="0099168D">
              <w:rPr>
                <w:rFonts w:cs="Arial"/>
                <w:b/>
                <w:snapToGrid w:val="0"/>
              </w:rPr>
              <w:t>Secțiunea</w:t>
            </w:r>
            <w:r w:rsidR="004175F0" w:rsidRPr="0099168D">
              <w:rPr>
                <w:rFonts w:cs="Arial"/>
                <w:b/>
                <w:snapToGrid w:val="0"/>
              </w:rPr>
              <w:t xml:space="preserve"> a 2-a – Motivul emiterii actului normativ</w:t>
            </w:r>
          </w:p>
        </w:tc>
      </w:tr>
      <w:tr w:rsidR="00EC7E47" w:rsidRPr="0099168D" w14:paraId="6EE23E26" w14:textId="77777777" w:rsidTr="0099168D">
        <w:trPr>
          <w:trHeight w:val="100"/>
        </w:trPr>
        <w:tc>
          <w:tcPr>
            <w:tcW w:w="2710" w:type="dxa"/>
            <w:tcBorders>
              <w:right w:val="single" w:sz="4" w:space="0" w:color="auto"/>
            </w:tcBorders>
          </w:tcPr>
          <w:p w14:paraId="2E5E47F1" w14:textId="797CAF4A" w:rsidR="00614922" w:rsidRPr="0099168D" w:rsidRDefault="004175F0" w:rsidP="00A728B1">
            <w:pPr>
              <w:spacing w:after="0"/>
              <w:ind w:left="69" w:right="182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 xml:space="preserve">1. Descrierea </w:t>
            </w:r>
            <w:r w:rsidR="00B939C6" w:rsidRPr="0099168D">
              <w:rPr>
                <w:rFonts w:cs="Arial"/>
                <w:snapToGrid w:val="0"/>
              </w:rPr>
              <w:t>situației</w:t>
            </w:r>
            <w:r w:rsidRPr="0099168D">
              <w:rPr>
                <w:rFonts w:cs="Arial"/>
                <w:snapToGrid w:val="0"/>
              </w:rPr>
              <w:t xml:space="preserve"> actuale </w:t>
            </w:r>
          </w:p>
          <w:p w14:paraId="71FABDAB" w14:textId="77777777" w:rsidR="00614922" w:rsidRPr="0099168D" w:rsidRDefault="00614922" w:rsidP="00A728B1">
            <w:pPr>
              <w:spacing w:after="0"/>
              <w:ind w:left="69" w:right="-391"/>
              <w:rPr>
                <w:rFonts w:cs="Arial"/>
              </w:rPr>
            </w:pPr>
          </w:p>
          <w:p w14:paraId="3B4B3026" w14:textId="77777777" w:rsidR="00614922" w:rsidRPr="0099168D" w:rsidRDefault="00614922" w:rsidP="00A728B1">
            <w:pPr>
              <w:spacing w:after="0"/>
              <w:ind w:left="69" w:right="-391"/>
              <w:rPr>
                <w:rFonts w:cs="Arial"/>
              </w:rPr>
            </w:pPr>
          </w:p>
          <w:p w14:paraId="4E82F25A" w14:textId="77777777" w:rsidR="00614922" w:rsidRPr="0099168D" w:rsidRDefault="00614922" w:rsidP="00A728B1">
            <w:pPr>
              <w:spacing w:after="0"/>
              <w:ind w:left="69" w:right="-391"/>
              <w:rPr>
                <w:rFonts w:cs="Arial"/>
              </w:rPr>
            </w:pPr>
          </w:p>
          <w:p w14:paraId="10984AA7" w14:textId="77777777" w:rsidR="00614922" w:rsidRPr="0099168D" w:rsidRDefault="00614922" w:rsidP="00A728B1">
            <w:pPr>
              <w:spacing w:after="0"/>
              <w:ind w:left="69" w:right="-391"/>
              <w:rPr>
                <w:rFonts w:cs="Arial"/>
              </w:rPr>
            </w:pPr>
          </w:p>
          <w:p w14:paraId="3D74A7FC" w14:textId="77777777" w:rsidR="00614922" w:rsidRPr="0099168D" w:rsidRDefault="00614922" w:rsidP="00A728B1">
            <w:pPr>
              <w:spacing w:after="0"/>
              <w:ind w:left="69" w:right="-391"/>
              <w:rPr>
                <w:rFonts w:cs="Arial"/>
              </w:rPr>
            </w:pPr>
          </w:p>
          <w:p w14:paraId="3F5D34AE" w14:textId="77777777" w:rsidR="00614922" w:rsidRPr="0099168D" w:rsidRDefault="00614922" w:rsidP="00A728B1">
            <w:pPr>
              <w:spacing w:after="0"/>
              <w:ind w:left="69" w:right="-391"/>
              <w:rPr>
                <w:rFonts w:cs="Arial"/>
              </w:rPr>
            </w:pPr>
          </w:p>
          <w:p w14:paraId="75BAD1A5" w14:textId="77777777" w:rsidR="00614922" w:rsidRPr="0099168D" w:rsidRDefault="00614922" w:rsidP="00A728B1">
            <w:pPr>
              <w:spacing w:after="0"/>
              <w:ind w:left="69" w:right="-391"/>
              <w:rPr>
                <w:rFonts w:cs="Arial"/>
              </w:rPr>
            </w:pPr>
          </w:p>
          <w:p w14:paraId="1B09B05D" w14:textId="77777777" w:rsidR="00614922" w:rsidRPr="0099168D" w:rsidRDefault="00614922" w:rsidP="00A728B1">
            <w:pPr>
              <w:spacing w:after="0"/>
              <w:ind w:left="69" w:right="-391"/>
              <w:rPr>
                <w:rFonts w:cs="Arial"/>
              </w:rPr>
            </w:pPr>
          </w:p>
          <w:p w14:paraId="5DBF985B" w14:textId="77777777" w:rsidR="00614922" w:rsidRPr="0099168D" w:rsidRDefault="00614922" w:rsidP="00A728B1">
            <w:pPr>
              <w:spacing w:after="0"/>
              <w:ind w:left="69" w:right="-391"/>
              <w:rPr>
                <w:rFonts w:cs="Arial"/>
              </w:rPr>
            </w:pPr>
          </w:p>
          <w:p w14:paraId="1A44BA38" w14:textId="77777777" w:rsidR="00614922" w:rsidRPr="0099168D" w:rsidRDefault="00614922" w:rsidP="00A728B1">
            <w:pPr>
              <w:spacing w:after="0"/>
              <w:ind w:left="69" w:right="-391"/>
              <w:rPr>
                <w:rFonts w:cs="Arial"/>
              </w:rPr>
            </w:pPr>
          </w:p>
          <w:p w14:paraId="59A8C40B" w14:textId="77777777" w:rsidR="004175F0" w:rsidRPr="0099168D" w:rsidRDefault="004175F0" w:rsidP="00A728B1">
            <w:pPr>
              <w:spacing w:after="0"/>
              <w:ind w:left="69" w:right="-391"/>
              <w:rPr>
                <w:rFonts w:cs="Arial"/>
              </w:rPr>
            </w:pPr>
          </w:p>
        </w:tc>
        <w:tc>
          <w:tcPr>
            <w:tcW w:w="7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B644" w14:textId="77777777" w:rsidR="009B0756" w:rsidRPr="00F549E7" w:rsidRDefault="00470D3B" w:rsidP="009B0756">
            <w:pPr>
              <w:tabs>
                <w:tab w:val="left" w:pos="675"/>
              </w:tabs>
              <w:ind w:left="0"/>
              <w:rPr>
                <w:rFonts w:cs="Arial"/>
              </w:rPr>
            </w:pPr>
            <w:r w:rsidRPr="00F549E7">
              <w:rPr>
                <w:rFonts w:cs="Arial"/>
              </w:rPr>
              <w:t>Ministerul Justiției este organul de specialitate al administrației publice centrale, cu personalitate juridică, în subordinea Guvernului, care contribuie la buna funcționare a sistemului judiciar și la asigurarea condițiilor înfăptuirii justiției ca serviciu public.</w:t>
            </w:r>
            <w:r w:rsidR="009B0756" w:rsidRPr="00F549E7">
              <w:rPr>
                <w:rFonts w:cs="Arial"/>
              </w:rPr>
              <w:t xml:space="preserve"> </w:t>
            </w:r>
          </w:p>
          <w:p w14:paraId="13AD8FEA" w14:textId="0A702480" w:rsidR="009B0756" w:rsidRPr="00F549E7" w:rsidRDefault="009B0756" w:rsidP="009B0756">
            <w:pPr>
              <w:tabs>
                <w:tab w:val="left" w:pos="675"/>
              </w:tabs>
              <w:ind w:left="0"/>
              <w:rPr>
                <w:rFonts w:cs="Arial"/>
                <w:noProof/>
              </w:rPr>
            </w:pPr>
            <w:r w:rsidRPr="00F549E7">
              <w:rPr>
                <w:rFonts w:cs="Arial"/>
                <w:noProof/>
              </w:rPr>
              <w:t>Alocarea resurselor umane necesare bunei funcționări a instanţelor judecătoreşti, a constituit şi constituie în continuare un obiectiv important al Ministerului Justiției.</w:t>
            </w:r>
          </w:p>
          <w:p w14:paraId="601BD1AF" w14:textId="6BD6B61B" w:rsidR="00470D3B" w:rsidRPr="00F549E7" w:rsidRDefault="009B0756" w:rsidP="009B0756">
            <w:pPr>
              <w:spacing w:after="0"/>
              <w:ind w:left="0" w:right="-53"/>
              <w:rPr>
                <w:rFonts w:cs="Arial"/>
                <w:noProof/>
              </w:rPr>
            </w:pPr>
            <w:r w:rsidRPr="00F549E7">
              <w:rPr>
                <w:rFonts w:cs="Arial"/>
                <w:noProof/>
              </w:rPr>
              <w:t>Suplimentarea statelor de funcții ale instanțelor judecătorești, în vederea unei funcționări optime a acestora a fost un obiectiv inclus în Strategia pentru dezvoltarea sistemului judiciar 2015-2020, precum și în Planul de activități al Ministerului Justiției.</w:t>
            </w:r>
          </w:p>
          <w:p w14:paraId="27151F86" w14:textId="77777777" w:rsidR="00F549E7" w:rsidRPr="00F549E7" w:rsidRDefault="00F549E7" w:rsidP="009B0756">
            <w:pPr>
              <w:spacing w:after="0"/>
              <w:ind w:left="0" w:right="-53"/>
              <w:rPr>
                <w:rFonts w:cs="Arial"/>
              </w:rPr>
            </w:pPr>
          </w:p>
          <w:p w14:paraId="338B61D3" w14:textId="706718F1" w:rsidR="00AE0064" w:rsidRPr="00F549E7" w:rsidRDefault="00AE0064" w:rsidP="00AE0064">
            <w:pPr>
              <w:autoSpaceDE w:val="0"/>
              <w:autoSpaceDN w:val="0"/>
              <w:adjustRightInd w:val="0"/>
              <w:spacing w:after="0"/>
              <w:ind w:left="34"/>
              <w:rPr>
                <w:rFonts w:cs="Arial"/>
              </w:rPr>
            </w:pPr>
            <w:r w:rsidRPr="00F549E7">
              <w:rPr>
                <w:rFonts w:cs="Arial"/>
              </w:rPr>
              <w:t>Potrivit art. 134 alin. (1) din Legea nr. 304/2004 privind organizarea judiciară, republicată, cu modificările și completările ulterioare: „</w:t>
            </w:r>
            <w:r w:rsidRPr="00F549E7">
              <w:rPr>
                <w:rFonts w:cs="Arial"/>
                <w:i/>
              </w:rPr>
              <w:t>(1) Numărul maxim de posturi pentru instanțe și parchete se stabilește prin hotărâre a Guvernului, la propunerea ministrului justiției, cu avizul Consiliului Superior al Magistraturii.</w:t>
            </w:r>
            <w:r w:rsidRPr="00F549E7">
              <w:rPr>
                <w:rFonts w:cs="Arial"/>
              </w:rPr>
              <w:t>”</w:t>
            </w:r>
          </w:p>
          <w:p w14:paraId="3E34B768" w14:textId="77777777" w:rsidR="00F549E7" w:rsidRPr="00F549E7" w:rsidRDefault="00F549E7" w:rsidP="00AE0064">
            <w:pPr>
              <w:autoSpaceDE w:val="0"/>
              <w:autoSpaceDN w:val="0"/>
              <w:adjustRightInd w:val="0"/>
              <w:spacing w:after="0"/>
              <w:ind w:left="34"/>
              <w:rPr>
                <w:rFonts w:cs="Arial"/>
              </w:rPr>
            </w:pPr>
          </w:p>
          <w:p w14:paraId="0D50B3A7" w14:textId="15F809FE" w:rsidR="003535D6" w:rsidRPr="00F549E7" w:rsidRDefault="00470D3B" w:rsidP="003535D6">
            <w:pPr>
              <w:ind w:left="0" w:right="-58"/>
              <w:rPr>
                <w:rFonts w:cs="Arial"/>
              </w:rPr>
            </w:pPr>
            <w:r w:rsidRPr="00F549E7">
              <w:rPr>
                <w:rFonts w:cs="Arial"/>
              </w:rPr>
              <w:t xml:space="preserve">Conform </w:t>
            </w:r>
            <w:r w:rsidR="003535D6" w:rsidRPr="00F549E7">
              <w:rPr>
                <w:rFonts w:cs="Arial"/>
              </w:rPr>
              <w:t xml:space="preserve">Anexei nr. 2 din H.G. nr. 652/2009, numărul maxim de posturi alocat </w:t>
            </w:r>
            <w:proofErr w:type="spellStart"/>
            <w:r w:rsidR="003535D6" w:rsidRPr="00F549E7">
              <w:rPr>
                <w:rFonts w:cs="Arial"/>
              </w:rPr>
              <w:t>instanţelor</w:t>
            </w:r>
            <w:proofErr w:type="spellEnd"/>
            <w:r w:rsidR="003535D6" w:rsidRPr="00F549E7">
              <w:rPr>
                <w:rFonts w:cs="Arial"/>
              </w:rPr>
              <w:t xml:space="preserve"> </w:t>
            </w:r>
            <w:proofErr w:type="spellStart"/>
            <w:r w:rsidR="003535D6" w:rsidRPr="00F549E7">
              <w:rPr>
                <w:rFonts w:cs="Arial"/>
              </w:rPr>
              <w:t>judecătoreşti</w:t>
            </w:r>
            <w:proofErr w:type="spellEnd"/>
            <w:r w:rsidR="003535D6" w:rsidRPr="00F549E7">
              <w:rPr>
                <w:rFonts w:cs="Arial"/>
              </w:rPr>
              <w:t xml:space="preserve"> este de 14.</w:t>
            </w:r>
            <w:r w:rsidRPr="00F549E7">
              <w:rPr>
                <w:rFonts w:cs="Arial"/>
              </w:rPr>
              <w:t>997</w:t>
            </w:r>
            <w:r w:rsidR="003535D6" w:rsidRPr="00F549E7">
              <w:rPr>
                <w:rFonts w:cs="Arial"/>
              </w:rPr>
              <w:t>.</w:t>
            </w:r>
          </w:p>
          <w:p w14:paraId="4A552130" w14:textId="067C7840" w:rsidR="00470D3B" w:rsidRPr="00F549E7" w:rsidRDefault="00470D3B" w:rsidP="003535D6">
            <w:pPr>
              <w:ind w:left="0" w:right="-58"/>
              <w:rPr>
                <w:rFonts w:cs="Arial"/>
              </w:rPr>
            </w:pPr>
            <w:r w:rsidRPr="00F549E7">
              <w:t>Președinții instanțelor sunt responsabili de asigurarea bunei funcționări a instanței, inclusiv de managementul personalului, al resurselor materiale și al infrastructurii acesteia. Este esențial ca aceștia să dispună de competențele și de resursele necesare pentru a îndeplini această îndatorire în mod eficient.</w:t>
            </w:r>
          </w:p>
          <w:p w14:paraId="3B7475EB" w14:textId="789CF595" w:rsidR="00470D3B" w:rsidRPr="00F549E7" w:rsidRDefault="00470D3B" w:rsidP="00470D3B">
            <w:pPr>
              <w:ind w:left="0"/>
              <w:rPr>
                <w:iCs/>
              </w:rPr>
            </w:pPr>
            <w:r w:rsidRPr="00F549E7">
              <w:rPr>
                <w:rFonts w:cs="Arial"/>
              </w:rPr>
              <w:t xml:space="preserve">Astfel, în virtutea acestor atribuții, în ultimele 6 luni, </w:t>
            </w:r>
            <w:r w:rsidR="0007556F" w:rsidRPr="00F549E7">
              <w:rPr>
                <w:rFonts w:cs="Arial"/>
              </w:rPr>
              <w:t xml:space="preserve">președinții instanțelor judecătorești au transmis Ministerului Justiției o serie de </w:t>
            </w:r>
            <w:r w:rsidR="0007556F" w:rsidRPr="00F549E7">
              <w:rPr>
                <w:iCs/>
              </w:rPr>
              <w:t>solicitări</w:t>
            </w:r>
            <w:r w:rsidRPr="00F549E7">
              <w:rPr>
                <w:iCs/>
              </w:rPr>
              <w:t xml:space="preserve"> </w:t>
            </w:r>
            <w:r w:rsidR="0007556F" w:rsidRPr="00F549E7">
              <w:rPr>
                <w:iCs/>
              </w:rPr>
              <w:t>privind suplimentarea schemelor de personal</w:t>
            </w:r>
            <w:r w:rsidRPr="00F549E7">
              <w:rPr>
                <w:iCs/>
              </w:rPr>
              <w:t xml:space="preserve"> cu posturi de personal contractual, după cum urmează:</w:t>
            </w:r>
          </w:p>
          <w:p w14:paraId="7DDC9966" w14:textId="10143962" w:rsidR="00470D3B" w:rsidRPr="00F549E7" w:rsidRDefault="00470D3B" w:rsidP="00470D3B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</w:tabs>
              <w:ind w:left="0" w:firstLine="0"/>
            </w:pPr>
            <w:r w:rsidRPr="00F549E7">
              <w:t>Curtea de Apel Iași</w:t>
            </w:r>
            <w:r w:rsidR="0007556F" w:rsidRPr="00F549E7">
              <w:t xml:space="preserve"> a </w:t>
            </w:r>
            <w:r w:rsidRPr="00F549E7">
              <w:t>solicita</w:t>
            </w:r>
            <w:r w:rsidR="0007556F" w:rsidRPr="00F549E7">
              <w:t>t</w:t>
            </w:r>
            <w:r w:rsidRPr="00F549E7">
              <w:t xml:space="preserve"> de suplimentarea schemei de personal contractual cu 5 posturi de muncitor calificat, pentru asigurarea supravegherii celor 2 cazane aflate în dotarea Palatului de Justiție Iași, având în vedere fișa centralei termice avizată de RADTI–IMSP din care rezultă regimul de supraveghere permanentă a componentelor acesteia, acest personal nou încadrat urmând să asigure, </w:t>
            </w:r>
            <w:r w:rsidRPr="00F549E7">
              <w:lastRenderedPageBreak/>
              <w:t xml:space="preserve">împreună cu personalul existent, supravegherea centralei termice, aspect ce vizează integritatea </w:t>
            </w:r>
            <w:proofErr w:type="spellStart"/>
            <w:r w:rsidRPr="00F549E7">
              <w:t>instalaţiei</w:t>
            </w:r>
            <w:proofErr w:type="spellEnd"/>
            <w:r w:rsidRPr="00F549E7">
              <w:t xml:space="preserve"> </w:t>
            </w:r>
            <w:proofErr w:type="spellStart"/>
            <w:r w:rsidRPr="00F549E7">
              <w:t>şi</w:t>
            </w:r>
            <w:proofErr w:type="spellEnd"/>
            <w:r w:rsidRPr="00F549E7">
              <w:t xml:space="preserve"> </w:t>
            </w:r>
            <w:proofErr w:type="spellStart"/>
            <w:r w:rsidRPr="00F549E7">
              <w:t>siguranţa</w:t>
            </w:r>
            <w:proofErr w:type="spellEnd"/>
            <w:r w:rsidRPr="00F549E7">
              <w:t xml:space="preserve"> clădirii.</w:t>
            </w:r>
          </w:p>
          <w:p w14:paraId="12F5E6E0" w14:textId="72EA1C6C" w:rsidR="00470D3B" w:rsidRPr="00F549E7" w:rsidRDefault="00470D3B" w:rsidP="00470D3B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</w:tabs>
              <w:ind w:left="0" w:firstLine="0"/>
            </w:pPr>
            <w:r w:rsidRPr="00F549E7">
              <w:t xml:space="preserve">Tribunalul Satu Mare a solicitat suplimentarea statului de funcții al acestei instanțe sau al Judecătoriei Satu Mare cu un post de muncitor calificat, având în vedere că,  în prezent, la această instanță este încadrată o singură persoană care deține </w:t>
            </w:r>
            <w:proofErr w:type="spellStart"/>
            <w:r w:rsidRPr="00F549E7">
              <w:t>şi</w:t>
            </w:r>
            <w:proofErr w:type="spellEnd"/>
            <w:r w:rsidRPr="00F549E7">
              <w:t xml:space="preserve"> atestat de fochist autorizat ISCIR care asigură serviciile de întreținere </w:t>
            </w:r>
            <w:proofErr w:type="spellStart"/>
            <w:r w:rsidRPr="00F549E7">
              <w:t>şi</w:t>
            </w:r>
            <w:proofErr w:type="spellEnd"/>
            <w:r w:rsidRPr="00F549E7">
              <w:t xml:space="preserve"> reparații curente la nivelul întregii clădiri, atât în spațiul destinat funcționării tribunalului, cât </w:t>
            </w:r>
            <w:proofErr w:type="spellStart"/>
            <w:r w:rsidRPr="00F549E7">
              <w:t>şi</w:t>
            </w:r>
            <w:proofErr w:type="spellEnd"/>
            <w:r w:rsidRPr="00F549E7">
              <w:t xml:space="preserve"> în cel al judecătoriei, lipsa acestei unice persoane determinând pe perioada sezonului rece imposibilitatea de a asigura microclimatul optim la locul de muncă, deoarece centrala termică nu poate funcționa nesupravegheată.</w:t>
            </w:r>
          </w:p>
          <w:p w14:paraId="7EA6ECEC" w14:textId="1A514170" w:rsidR="00470D3B" w:rsidRPr="00F549E7" w:rsidRDefault="00470D3B" w:rsidP="00470D3B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</w:tabs>
              <w:ind w:left="0" w:firstLine="0"/>
            </w:pPr>
            <w:r w:rsidRPr="00F549E7">
              <w:rPr>
                <w:rFonts w:cs="Arial"/>
                <w:noProof/>
              </w:rPr>
              <w:t xml:space="preserve"> Curtea de Apel Timişoara a solicitat suplimentarea statului de funcţii şi de personal al Judecătoriei Timişoara cu un post de muncitor calificat în vederea asigurării mentenanţei tehnice </w:t>
            </w:r>
            <w:r w:rsidRPr="00F549E7">
              <w:rPr>
                <w:iCs/>
              </w:rPr>
              <w:t xml:space="preserve">a sistemelor de închidere a </w:t>
            </w:r>
            <w:proofErr w:type="spellStart"/>
            <w:r w:rsidRPr="00F549E7">
              <w:rPr>
                <w:iCs/>
              </w:rPr>
              <w:t>uşilor</w:t>
            </w:r>
            <w:proofErr w:type="spellEnd"/>
            <w:r w:rsidRPr="00F549E7">
              <w:rPr>
                <w:iCs/>
              </w:rPr>
              <w:t xml:space="preserve"> </w:t>
            </w:r>
            <w:proofErr w:type="spellStart"/>
            <w:r w:rsidRPr="00F549E7">
              <w:rPr>
                <w:iCs/>
              </w:rPr>
              <w:t>şi</w:t>
            </w:r>
            <w:proofErr w:type="spellEnd"/>
            <w:r w:rsidRPr="00F549E7">
              <w:rPr>
                <w:iCs/>
              </w:rPr>
              <w:t xml:space="preserve"> ferestrelor, pentru </w:t>
            </w:r>
            <w:proofErr w:type="spellStart"/>
            <w:r w:rsidRPr="00F549E7">
              <w:rPr>
                <w:iCs/>
              </w:rPr>
              <w:t>desfăşurarea</w:t>
            </w:r>
            <w:proofErr w:type="spellEnd"/>
            <w:r w:rsidRPr="00F549E7">
              <w:rPr>
                <w:iCs/>
              </w:rPr>
              <w:t xml:space="preserve"> în </w:t>
            </w:r>
            <w:proofErr w:type="spellStart"/>
            <w:r w:rsidRPr="00F549E7">
              <w:rPr>
                <w:iCs/>
              </w:rPr>
              <w:t>condiţii</w:t>
            </w:r>
            <w:proofErr w:type="spellEnd"/>
            <w:r w:rsidRPr="00F549E7">
              <w:rPr>
                <w:iCs/>
              </w:rPr>
              <w:t xml:space="preserve"> normale a </w:t>
            </w:r>
            <w:proofErr w:type="spellStart"/>
            <w:r w:rsidRPr="00F549E7">
              <w:rPr>
                <w:iCs/>
              </w:rPr>
              <w:t>activităţilor</w:t>
            </w:r>
            <w:proofErr w:type="spellEnd"/>
            <w:r w:rsidRPr="00F549E7">
              <w:rPr>
                <w:iCs/>
              </w:rPr>
              <w:t xml:space="preserve"> curente în </w:t>
            </w:r>
            <w:proofErr w:type="spellStart"/>
            <w:r w:rsidRPr="00F549E7">
              <w:rPr>
                <w:iCs/>
              </w:rPr>
              <w:t>salile</w:t>
            </w:r>
            <w:proofErr w:type="spellEnd"/>
            <w:r w:rsidRPr="00F549E7">
              <w:rPr>
                <w:iCs/>
              </w:rPr>
              <w:t xml:space="preserve"> de judecată </w:t>
            </w:r>
            <w:proofErr w:type="spellStart"/>
            <w:r w:rsidRPr="00F549E7">
              <w:rPr>
                <w:iCs/>
              </w:rPr>
              <w:t>şi</w:t>
            </w:r>
            <w:proofErr w:type="spellEnd"/>
            <w:r w:rsidRPr="00F549E7">
              <w:rPr>
                <w:iCs/>
              </w:rPr>
              <w:t xml:space="preserve"> în birourile acestei </w:t>
            </w:r>
            <w:proofErr w:type="spellStart"/>
            <w:r w:rsidRPr="00F549E7">
              <w:rPr>
                <w:iCs/>
              </w:rPr>
              <w:t>instanţe</w:t>
            </w:r>
            <w:proofErr w:type="spellEnd"/>
            <w:r w:rsidRPr="00F549E7">
              <w:rPr>
                <w:iCs/>
              </w:rPr>
              <w:t xml:space="preserve"> deservite de personal numeros, un număr de 130 de </w:t>
            </w:r>
            <w:proofErr w:type="spellStart"/>
            <w:r w:rsidRPr="00F549E7">
              <w:rPr>
                <w:iCs/>
              </w:rPr>
              <w:t>angajaţi</w:t>
            </w:r>
            <w:proofErr w:type="spellEnd"/>
            <w:r w:rsidRPr="00F549E7">
              <w:rPr>
                <w:iCs/>
              </w:rPr>
              <w:t xml:space="preserve">, în prezent fiind solicitat muncitorul care </w:t>
            </w:r>
            <w:proofErr w:type="spellStart"/>
            <w:r w:rsidRPr="00F549E7">
              <w:rPr>
                <w:iCs/>
              </w:rPr>
              <w:t>deserveşte</w:t>
            </w:r>
            <w:proofErr w:type="spellEnd"/>
            <w:r w:rsidRPr="00F549E7">
              <w:rPr>
                <w:iCs/>
              </w:rPr>
              <w:t xml:space="preserve"> Tribunalul </w:t>
            </w:r>
            <w:proofErr w:type="spellStart"/>
            <w:r w:rsidRPr="00F549E7">
              <w:rPr>
                <w:iCs/>
              </w:rPr>
              <w:t>Timiş</w:t>
            </w:r>
            <w:proofErr w:type="spellEnd"/>
            <w:r w:rsidRPr="00F549E7">
              <w:rPr>
                <w:iCs/>
              </w:rPr>
              <w:t>, în măsura în care timpul îi permite.</w:t>
            </w:r>
          </w:p>
          <w:p w14:paraId="64DC19DC" w14:textId="3A48363C" w:rsidR="00470D3B" w:rsidRPr="00F549E7" w:rsidRDefault="00470D3B" w:rsidP="00470D3B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</w:tabs>
              <w:ind w:left="0" w:firstLine="0"/>
            </w:pPr>
            <w:r w:rsidRPr="00F549E7">
              <w:rPr>
                <w:rFonts w:cs="Arial"/>
                <w:noProof/>
              </w:rPr>
              <w:t xml:space="preserve">Curtea de Apel Piteşti a solicitat </w:t>
            </w:r>
            <w:r w:rsidRPr="00F549E7">
              <w:t xml:space="preserve">suplimentarea statului de funcții </w:t>
            </w:r>
            <w:proofErr w:type="spellStart"/>
            <w:r w:rsidRPr="00F549E7">
              <w:t>şi</w:t>
            </w:r>
            <w:proofErr w:type="spellEnd"/>
            <w:r w:rsidRPr="00F549E7">
              <w:t xml:space="preserve"> de personal al Tribunalului </w:t>
            </w:r>
            <w:proofErr w:type="spellStart"/>
            <w:r w:rsidRPr="00F549E7">
              <w:t>Argeş</w:t>
            </w:r>
            <w:proofErr w:type="spellEnd"/>
            <w:r w:rsidRPr="00F549E7">
              <w:t xml:space="preserve"> cu</w:t>
            </w:r>
            <w:r w:rsidRPr="00F549E7">
              <w:rPr>
                <w:rFonts w:cs="Arial"/>
                <w:noProof/>
              </w:rPr>
              <w:t xml:space="preserve"> </w:t>
            </w:r>
            <w:r w:rsidRPr="00F549E7">
              <w:t>un</w:t>
            </w:r>
            <w:r w:rsidRPr="00F549E7">
              <w:rPr>
                <w:rFonts w:cs="Arial"/>
                <w:noProof/>
              </w:rPr>
              <w:t xml:space="preserve"> post de muncitor calificat, </w:t>
            </w:r>
            <w:r w:rsidRPr="00F549E7">
              <w:t xml:space="preserve">pentru rezolvarea problemelor tehnice inerente unei clădiri cu o suprafață de 9000 mp în care funcționează această instanță, </w:t>
            </w:r>
            <w:r w:rsidRPr="00F549E7">
              <w:rPr>
                <w:rFonts w:cs="Arial"/>
                <w:noProof/>
              </w:rPr>
              <w:t>pentru a nu mai fi necesară detaşarea în continuare a unui muncitor de la Judecătoria Topoloveni.</w:t>
            </w:r>
          </w:p>
          <w:p w14:paraId="6AD8FE23" w14:textId="7F557FBF" w:rsidR="00470D3B" w:rsidRPr="00F549E7" w:rsidRDefault="00470D3B" w:rsidP="00470D3B">
            <w:pPr>
              <w:pStyle w:val="ListParagraph"/>
              <w:numPr>
                <w:ilvl w:val="0"/>
                <w:numId w:val="19"/>
              </w:numPr>
              <w:tabs>
                <w:tab w:val="left" w:pos="540"/>
              </w:tabs>
              <w:ind w:left="0" w:firstLine="0"/>
            </w:pPr>
            <w:r w:rsidRPr="00F549E7">
              <w:t xml:space="preserve">Judecătoria Tecuci a solicitat suplimentarea statului de funcții </w:t>
            </w:r>
            <w:proofErr w:type="spellStart"/>
            <w:r w:rsidRPr="00F549E7">
              <w:t>şi</w:t>
            </w:r>
            <w:proofErr w:type="spellEnd"/>
            <w:r w:rsidRPr="00F549E7">
              <w:t xml:space="preserve"> de personal cu un post de muncitor </w:t>
            </w:r>
            <w:proofErr w:type="spellStart"/>
            <w:r w:rsidRPr="00F549E7">
              <w:t>şi</w:t>
            </w:r>
            <w:proofErr w:type="spellEnd"/>
            <w:r w:rsidRPr="00F549E7">
              <w:t xml:space="preserve"> un post de îngrijitor, în susținerea cererii fiind invocată necesitatea supravegherii </w:t>
            </w:r>
            <w:proofErr w:type="spellStart"/>
            <w:r w:rsidRPr="00F549E7">
              <w:t>şi</w:t>
            </w:r>
            <w:proofErr w:type="spellEnd"/>
            <w:r w:rsidRPr="00F549E7">
              <w:t xml:space="preserve"> </w:t>
            </w:r>
            <w:proofErr w:type="spellStart"/>
            <w:r w:rsidRPr="00F549E7">
              <w:t>mentenanţei</w:t>
            </w:r>
            <w:proofErr w:type="spellEnd"/>
            <w:r w:rsidRPr="00F549E7">
              <w:t xml:space="preserve"> centralei termice de către o persoană calificată, autorizată, precum </w:t>
            </w:r>
            <w:proofErr w:type="spellStart"/>
            <w:r w:rsidRPr="00F549E7">
              <w:t>şi</w:t>
            </w:r>
            <w:proofErr w:type="spellEnd"/>
            <w:r w:rsidRPr="00F549E7">
              <w:t xml:space="preserve"> necesitatea derulării unor lucrări de întreținere </w:t>
            </w:r>
            <w:proofErr w:type="spellStart"/>
            <w:r w:rsidRPr="00F549E7">
              <w:t>şi</w:t>
            </w:r>
            <w:proofErr w:type="spellEnd"/>
            <w:r w:rsidRPr="00F549E7">
              <w:t xml:space="preserve"> curățenie a sediului instanței.</w:t>
            </w:r>
          </w:p>
          <w:p w14:paraId="5EF16CA7" w14:textId="239AA2D3" w:rsidR="006C7396" w:rsidRPr="00F549E7" w:rsidRDefault="006C7396" w:rsidP="00470D3B">
            <w:pPr>
              <w:autoSpaceDE w:val="0"/>
              <w:autoSpaceDN w:val="0"/>
              <w:adjustRightInd w:val="0"/>
              <w:spacing w:after="0"/>
              <w:ind w:left="0"/>
              <w:rPr>
                <w:iCs/>
                <w:lang w:val="it-IT"/>
              </w:rPr>
            </w:pPr>
          </w:p>
        </w:tc>
      </w:tr>
      <w:tr w:rsidR="00EC7E47" w:rsidRPr="0099168D" w14:paraId="06DEE521" w14:textId="77777777" w:rsidTr="0099168D">
        <w:trPr>
          <w:trHeight w:val="100"/>
        </w:trPr>
        <w:tc>
          <w:tcPr>
            <w:tcW w:w="2710" w:type="dxa"/>
            <w:tcBorders>
              <w:right w:val="single" w:sz="4" w:space="0" w:color="auto"/>
            </w:tcBorders>
          </w:tcPr>
          <w:p w14:paraId="78771ED4" w14:textId="77777777" w:rsidR="00614922" w:rsidRPr="0099168D" w:rsidRDefault="00614922" w:rsidP="00A728B1">
            <w:pPr>
              <w:spacing w:after="0"/>
              <w:ind w:left="69" w:right="34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lastRenderedPageBreak/>
              <w:t>1</w:t>
            </w:r>
            <w:r w:rsidRPr="0099168D">
              <w:rPr>
                <w:rFonts w:cs="Arial"/>
                <w:snapToGrid w:val="0"/>
                <w:vertAlign w:val="superscript"/>
              </w:rPr>
              <w:t>1</w:t>
            </w:r>
            <w:r w:rsidRPr="0099168D">
              <w:rPr>
                <w:rFonts w:cs="Arial"/>
                <w:snapToGrid w:val="0"/>
              </w:rPr>
              <w:t>. În cazul proiectelor de acte normative care transpun legislație comunitară sau creează cadrul pentru aplicarea directă a acesteia, se vor specifica doar actele comunitare în cauză, însoțite de elementele de identificare ale acestora</w:t>
            </w:r>
          </w:p>
        </w:tc>
        <w:tc>
          <w:tcPr>
            <w:tcW w:w="7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A1EE" w14:textId="77777777" w:rsidR="00614922" w:rsidRPr="0099168D" w:rsidRDefault="00614922" w:rsidP="00A728B1">
            <w:pPr>
              <w:spacing w:after="0"/>
              <w:ind w:left="69" w:right="51"/>
            </w:pPr>
          </w:p>
        </w:tc>
      </w:tr>
      <w:tr w:rsidR="00EC7E47" w:rsidRPr="0099168D" w14:paraId="41CE06D2" w14:textId="77777777" w:rsidTr="0099168D">
        <w:trPr>
          <w:trHeight w:val="100"/>
        </w:trPr>
        <w:tc>
          <w:tcPr>
            <w:tcW w:w="2710" w:type="dxa"/>
            <w:tcBorders>
              <w:right w:val="single" w:sz="4" w:space="0" w:color="auto"/>
            </w:tcBorders>
          </w:tcPr>
          <w:p w14:paraId="3008E946" w14:textId="77777777" w:rsidR="004175F0" w:rsidRPr="0099168D" w:rsidRDefault="004175F0" w:rsidP="00A728B1">
            <w:pPr>
              <w:spacing w:after="0"/>
              <w:ind w:left="69" w:right="-391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2. Schimbări preconizate</w:t>
            </w:r>
          </w:p>
        </w:tc>
        <w:tc>
          <w:tcPr>
            <w:tcW w:w="7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EA7B" w14:textId="0050AFD5" w:rsidR="0007556F" w:rsidRPr="0099168D" w:rsidRDefault="00AE0064" w:rsidP="009B0756">
            <w:pPr>
              <w:spacing w:after="0"/>
              <w:ind w:left="0"/>
              <w:rPr>
                <w:rFonts w:cs="Arial"/>
                <w:snapToGrid w:val="0"/>
              </w:rPr>
            </w:pPr>
            <w:r w:rsidRPr="0099168D">
              <w:rPr>
                <w:bCs/>
              </w:rPr>
              <w:t xml:space="preserve">Prin prezentul proiect de hotărâre a Guvernului, se propune suplimentarea numărului maxim de posturi al instanțelor judecătorești, cu numărul de posturi menționat la punctul 1, prin modificarea în mod corespunzător a </w:t>
            </w:r>
            <w:r w:rsidR="0007556F" w:rsidRPr="0099168D">
              <w:t>anexei nr. 2 la Hotărârea Guvernului nr. 652/2009 privind organizarea și funcționarea Ministerului Justiției.</w:t>
            </w:r>
          </w:p>
          <w:p w14:paraId="07ED9DDE" w14:textId="0286182C" w:rsidR="00DB4421" w:rsidRPr="0099168D" w:rsidRDefault="00DB4421" w:rsidP="0007556F">
            <w:pPr>
              <w:spacing w:after="0"/>
              <w:ind w:left="69"/>
              <w:rPr>
                <w:bCs/>
              </w:rPr>
            </w:pPr>
          </w:p>
        </w:tc>
      </w:tr>
      <w:tr w:rsidR="00EC7E47" w:rsidRPr="0099168D" w14:paraId="781C10A2" w14:textId="77777777" w:rsidTr="0099168D">
        <w:trPr>
          <w:trHeight w:val="100"/>
        </w:trPr>
        <w:tc>
          <w:tcPr>
            <w:tcW w:w="2710" w:type="dxa"/>
          </w:tcPr>
          <w:p w14:paraId="411D8056" w14:textId="77777777" w:rsidR="004175F0" w:rsidRPr="0099168D" w:rsidRDefault="004175F0" w:rsidP="00A728B1">
            <w:pPr>
              <w:spacing w:after="0"/>
              <w:ind w:left="69" w:right="-391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lastRenderedPageBreak/>
              <w:t xml:space="preserve">3. Alte </w:t>
            </w:r>
            <w:r w:rsidR="00B939C6" w:rsidRPr="0099168D">
              <w:rPr>
                <w:rFonts w:cs="Arial"/>
                <w:snapToGrid w:val="0"/>
              </w:rPr>
              <w:t>informați</w:t>
            </w:r>
            <w:r w:rsidR="00A728B1" w:rsidRPr="0099168D">
              <w:rPr>
                <w:rFonts w:cs="Arial"/>
                <w:snapToGrid w:val="0"/>
              </w:rPr>
              <w:t>i</w:t>
            </w:r>
          </w:p>
          <w:p w14:paraId="17E87079" w14:textId="66B4CCB1" w:rsidR="00DB4421" w:rsidRPr="0099168D" w:rsidRDefault="00DB4421" w:rsidP="00A728B1">
            <w:pPr>
              <w:spacing w:after="0"/>
              <w:ind w:left="69" w:right="-391"/>
              <w:rPr>
                <w:rFonts w:cs="Arial"/>
                <w:snapToGrid w:val="0"/>
              </w:rPr>
            </w:pPr>
          </w:p>
        </w:tc>
        <w:tc>
          <w:tcPr>
            <w:tcW w:w="7317" w:type="dxa"/>
            <w:gridSpan w:val="6"/>
          </w:tcPr>
          <w:p w14:paraId="4B2F7EB0" w14:textId="69224CD3" w:rsidR="00B939C6" w:rsidRPr="0099168D" w:rsidRDefault="00B939C6" w:rsidP="00A728B1">
            <w:pPr>
              <w:spacing w:after="0"/>
              <w:ind w:left="0"/>
              <w:rPr>
                <w:rFonts w:cs="Arial"/>
              </w:rPr>
            </w:pPr>
          </w:p>
        </w:tc>
      </w:tr>
      <w:tr w:rsidR="00EC7E47" w:rsidRPr="0099168D" w14:paraId="74025C97" w14:textId="77777777" w:rsidTr="0099168D">
        <w:trPr>
          <w:trHeight w:val="100"/>
        </w:trPr>
        <w:tc>
          <w:tcPr>
            <w:tcW w:w="10027" w:type="dxa"/>
            <w:gridSpan w:val="7"/>
          </w:tcPr>
          <w:p w14:paraId="67B709DD" w14:textId="42796682" w:rsidR="00A728B1" w:rsidRPr="0099168D" w:rsidRDefault="00DB3D92" w:rsidP="008D0F55">
            <w:pPr>
              <w:spacing w:after="0"/>
              <w:ind w:left="0"/>
              <w:jc w:val="center"/>
              <w:rPr>
                <w:rFonts w:cs="Arial"/>
                <w:b/>
                <w:snapToGrid w:val="0"/>
              </w:rPr>
            </w:pPr>
            <w:r w:rsidRPr="0099168D">
              <w:rPr>
                <w:rFonts w:cs="Arial"/>
                <w:b/>
                <w:snapToGrid w:val="0"/>
              </w:rPr>
              <w:t>Secțiunea</w:t>
            </w:r>
            <w:r w:rsidR="004175F0" w:rsidRPr="0099168D">
              <w:rPr>
                <w:rFonts w:cs="Arial"/>
                <w:b/>
                <w:snapToGrid w:val="0"/>
              </w:rPr>
              <w:t xml:space="preserve"> a 3-a – Impactul socioeconomic al proiectului de act normativ</w:t>
            </w:r>
          </w:p>
        </w:tc>
      </w:tr>
      <w:tr w:rsidR="00EC7E47" w:rsidRPr="0099168D" w14:paraId="2492C221" w14:textId="77777777" w:rsidTr="0099168D">
        <w:trPr>
          <w:trHeight w:val="100"/>
        </w:trPr>
        <w:tc>
          <w:tcPr>
            <w:tcW w:w="2710" w:type="dxa"/>
          </w:tcPr>
          <w:p w14:paraId="19A70FFC" w14:textId="77777777" w:rsidR="004175F0" w:rsidRPr="0099168D" w:rsidRDefault="004175F0" w:rsidP="00A728B1">
            <w:pPr>
              <w:spacing w:after="0"/>
              <w:ind w:left="69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1. Impactul macroeconomic</w:t>
            </w:r>
          </w:p>
        </w:tc>
        <w:tc>
          <w:tcPr>
            <w:tcW w:w="7317" w:type="dxa"/>
            <w:gridSpan w:val="6"/>
          </w:tcPr>
          <w:p w14:paraId="391CE53A" w14:textId="77777777" w:rsidR="004175F0" w:rsidRPr="0099168D" w:rsidRDefault="004175F0" w:rsidP="00A728B1">
            <w:pPr>
              <w:spacing w:after="0"/>
              <w:ind w:left="69"/>
              <w:rPr>
                <w:rFonts w:cs="Arial"/>
              </w:rPr>
            </w:pPr>
            <w:r w:rsidRPr="0099168D">
              <w:rPr>
                <w:rFonts w:cs="Arial"/>
              </w:rPr>
              <w:t xml:space="preserve">Nu este cazul. </w:t>
            </w:r>
          </w:p>
        </w:tc>
      </w:tr>
      <w:tr w:rsidR="00EC7E47" w:rsidRPr="0099168D" w14:paraId="0EA1EFFC" w14:textId="77777777" w:rsidTr="0099168D">
        <w:trPr>
          <w:trHeight w:val="100"/>
        </w:trPr>
        <w:tc>
          <w:tcPr>
            <w:tcW w:w="2710" w:type="dxa"/>
          </w:tcPr>
          <w:p w14:paraId="2D2E4095" w14:textId="77777777" w:rsidR="004175F0" w:rsidRPr="0099168D" w:rsidRDefault="004175F0" w:rsidP="00A728B1">
            <w:pPr>
              <w:spacing w:after="0"/>
              <w:ind w:left="69" w:right="34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1</w:t>
            </w:r>
            <w:r w:rsidRPr="0099168D">
              <w:rPr>
                <w:rFonts w:cs="Arial"/>
                <w:snapToGrid w:val="0"/>
                <w:vertAlign w:val="superscript"/>
              </w:rPr>
              <w:t>1</w:t>
            </w:r>
            <w:r w:rsidRPr="0099168D">
              <w:rPr>
                <w:rFonts w:cs="Arial"/>
                <w:snapToGrid w:val="0"/>
              </w:rPr>
              <w:t>. Impactul asupra mediului concurențial și domeniului ajutoarelor de stat</w:t>
            </w:r>
          </w:p>
        </w:tc>
        <w:tc>
          <w:tcPr>
            <w:tcW w:w="7317" w:type="dxa"/>
            <w:gridSpan w:val="6"/>
          </w:tcPr>
          <w:p w14:paraId="627070BD" w14:textId="5811DEF3" w:rsidR="004175F0" w:rsidRPr="0099168D" w:rsidRDefault="004175F0" w:rsidP="00A728B1">
            <w:pPr>
              <w:spacing w:after="0"/>
              <w:ind w:left="69"/>
              <w:rPr>
                <w:rFonts w:cs="Arial"/>
              </w:rPr>
            </w:pPr>
            <w:r w:rsidRPr="0099168D">
              <w:rPr>
                <w:rFonts w:cs="Arial"/>
              </w:rPr>
              <w:t>Nu este cazul</w:t>
            </w:r>
            <w:r w:rsidR="00053A95" w:rsidRPr="0099168D">
              <w:rPr>
                <w:rFonts w:cs="Arial"/>
              </w:rPr>
              <w:t>.</w:t>
            </w:r>
          </w:p>
        </w:tc>
      </w:tr>
      <w:tr w:rsidR="00EC7E47" w:rsidRPr="0099168D" w14:paraId="2A9BFEE5" w14:textId="77777777" w:rsidTr="0099168D">
        <w:trPr>
          <w:trHeight w:val="100"/>
        </w:trPr>
        <w:tc>
          <w:tcPr>
            <w:tcW w:w="2710" w:type="dxa"/>
          </w:tcPr>
          <w:p w14:paraId="75804A8B" w14:textId="77777777" w:rsidR="004175F0" w:rsidRPr="0099168D" w:rsidRDefault="004175F0" w:rsidP="00A728B1">
            <w:pPr>
              <w:spacing w:after="0"/>
              <w:ind w:left="69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2. Impactul asupra mediului afaceri</w:t>
            </w:r>
          </w:p>
        </w:tc>
        <w:tc>
          <w:tcPr>
            <w:tcW w:w="7317" w:type="dxa"/>
            <w:gridSpan w:val="6"/>
          </w:tcPr>
          <w:p w14:paraId="55B8B8F2" w14:textId="6CE9781A" w:rsidR="004175F0" w:rsidRPr="0099168D" w:rsidRDefault="004175F0" w:rsidP="00A728B1">
            <w:pPr>
              <w:spacing w:after="0"/>
              <w:ind w:left="69"/>
              <w:rPr>
                <w:rFonts w:cs="Arial"/>
              </w:rPr>
            </w:pPr>
            <w:r w:rsidRPr="0099168D">
              <w:rPr>
                <w:rFonts w:cs="Arial"/>
              </w:rPr>
              <w:t>Nu este cazul</w:t>
            </w:r>
            <w:r w:rsidR="00053A95" w:rsidRPr="0099168D">
              <w:rPr>
                <w:rFonts w:cs="Arial"/>
              </w:rPr>
              <w:t>.</w:t>
            </w:r>
          </w:p>
        </w:tc>
      </w:tr>
      <w:tr w:rsidR="00EC7E47" w:rsidRPr="0099168D" w14:paraId="2FA9091C" w14:textId="77777777" w:rsidTr="0099168D">
        <w:trPr>
          <w:trHeight w:val="100"/>
        </w:trPr>
        <w:tc>
          <w:tcPr>
            <w:tcW w:w="2710" w:type="dxa"/>
          </w:tcPr>
          <w:p w14:paraId="3D8E6F02" w14:textId="77777777" w:rsidR="004175F0" w:rsidRPr="0099168D" w:rsidRDefault="004175F0" w:rsidP="00A728B1">
            <w:pPr>
              <w:spacing w:after="0"/>
              <w:ind w:left="69" w:right="-391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3. Impactul social</w:t>
            </w:r>
          </w:p>
        </w:tc>
        <w:tc>
          <w:tcPr>
            <w:tcW w:w="7317" w:type="dxa"/>
            <w:gridSpan w:val="6"/>
          </w:tcPr>
          <w:p w14:paraId="59E86743" w14:textId="40B03C51" w:rsidR="004175F0" w:rsidRPr="0099168D" w:rsidRDefault="004175F0" w:rsidP="00A728B1">
            <w:pPr>
              <w:spacing w:after="0"/>
              <w:ind w:left="69"/>
              <w:rPr>
                <w:rFonts w:cs="Arial"/>
              </w:rPr>
            </w:pPr>
            <w:r w:rsidRPr="0099168D">
              <w:rPr>
                <w:rFonts w:cs="Arial"/>
              </w:rPr>
              <w:t>Nu este cazul</w:t>
            </w:r>
            <w:r w:rsidR="00053A95" w:rsidRPr="0099168D">
              <w:rPr>
                <w:rFonts w:cs="Arial"/>
              </w:rPr>
              <w:t>.</w:t>
            </w:r>
          </w:p>
          <w:p w14:paraId="1C457513" w14:textId="13345688" w:rsidR="00FE3B1B" w:rsidRPr="0099168D" w:rsidRDefault="00FE3B1B" w:rsidP="00A728B1">
            <w:pPr>
              <w:spacing w:after="0"/>
              <w:ind w:left="69"/>
              <w:rPr>
                <w:rFonts w:cs="Arial"/>
              </w:rPr>
            </w:pPr>
          </w:p>
        </w:tc>
      </w:tr>
      <w:tr w:rsidR="00EC7E47" w:rsidRPr="0099168D" w14:paraId="2DE36AF1" w14:textId="77777777" w:rsidTr="0099168D">
        <w:trPr>
          <w:trHeight w:val="100"/>
        </w:trPr>
        <w:tc>
          <w:tcPr>
            <w:tcW w:w="2710" w:type="dxa"/>
          </w:tcPr>
          <w:p w14:paraId="2CE4C305" w14:textId="77777777" w:rsidR="004175F0" w:rsidRPr="0099168D" w:rsidRDefault="004175F0" w:rsidP="00A728B1">
            <w:pPr>
              <w:spacing w:after="0"/>
              <w:ind w:left="69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4. Impactul asupra mediului</w:t>
            </w:r>
          </w:p>
          <w:p w14:paraId="02CF3B49" w14:textId="23D13B82" w:rsidR="00DB4421" w:rsidRPr="0099168D" w:rsidRDefault="00DB4421" w:rsidP="00A728B1">
            <w:pPr>
              <w:spacing w:after="0"/>
              <w:ind w:left="69"/>
              <w:rPr>
                <w:rFonts w:cs="Arial"/>
                <w:snapToGrid w:val="0"/>
              </w:rPr>
            </w:pPr>
          </w:p>
        </w:tc>
        <w:tc>
          <w:tcPr>
            <w:tcW w:w="7317" w:type="dxa"/>
            <w:gridSpan w:val="6"/>
          </w:tcPr>
          <w:p w14:paraId="63221744" w14:textId="68FCAE1B" w:rsidR="004175F0" w:rsidRPr="0099168D" w:rsidRDefault="004175F0" w:rsidP="00A728B1">
            <w:pPr>
              <w:spacing w:after="0"/>
              <w:ind w:left="69"/>
              <w:rPr>
                <w:rFonts w:cs="Arial"/>
              </w:rPr>
            </w:pPr>
            <w:r w:rsidRPr="0099168D">
              <w:rPr>
                <w:rFonts w:cs="Arial"/>
              </w:rPr>
              <w:t>Nu este cazul</w:t>
            </w:r>
            <w:r w:rsidR="00053A95" w:rsidRPr="0099168D">
              <w:rPr>
                <w:rFonts w:cs="Arial"/>
              </w:rPr>
              <w:t>.</w:t>
            </w:r>
          </w:p>
        </w:tc>
      </w:tr>
      <w:tr w:rsidR="00EC7E47" w:rsidRPr="0099168D" w14:paraId="446B5A59" w14:textId="77777777" w:rsidTr="0099168D">
        <w:trPr>
          <w:trHeight w:val="100"/>
        </w:trPr>
        <w:tc>
          <w:tcPr>
            <w:tcW w:w="2710" w:type="dxa"/>
          </w:tcPr>
          <w:p w14:paraId="250E517A" w14:textId="77777777" w:rsidR="004175F0" w:rsidRPr="0099168D" w:rsidRDefault="004175F0" w:rsidP="00A728B1">
            <w:pPr>
              <w:spacing w:after="0"/>
              <w:ind w:left="69" w:right="-391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 xml:space="preserve">5. Alte </w:t>
            </w:r>
            <w:r w:rsidR="00B939C6" w:rsidRPr="0099168D">
              <w:rPr>
                <w:rFonts w:cs="Arial"/>
                <w:snapToGrid w:val="0"/>
              </w:rPr>
              <w:t>informații</w:t>
            </w:r>
          </w:p>
          <w:p w14:paraId="088A64DD" w14:textId="41E26375" w:rsidR="00A728B1" w:rsidRPr="0099168D" w:rsidRDefault="00A728B1" w:rsidP="00A728B1">
            <w:pPr>
              <w:spacing w:after="0"/>
              <w:ind w:left="69" w:right="-391"/>
              <w:rPr>
                <w:rFonts w:cs="Arial"/>
                <w:snapToGrid w:val="0"/>
              </w:rPr>
            </w:pPr>
          </w:p>
        </w:tc>
        <w:tc>
          <w:tcPr>
            <w:tcW w:w="7317" w:type="dxa"/>
            <w:gridSpan w:val="6"/>
          </w:tcPr>
          <w:p w14:paraId="404C2670" w14:textId="32762F32" w:rsidR="004175F0" w:rsidRPr="0099168D" w:rsidRDefault="0007556F" w:rsidP="00A728B1">
            <w:pPr>
              <w:spacing w:after="0"/>
              <w:ind w:left="69"/>
              <w:rPr>
                <w:rFonts w:cs="Arial"/>
              </w:rPr>
            </w:pPr>
            <w:r w:rsidRPr="0099168D">
              <w:rPr>
                <w:rFonts w:cs="Arial"/>
              </w:rPr>
              <w:t>Nu este cazul.</w:t>
            </w:r>
          </w:p>
        </w:tc>
      </w:tr>
      <w:tr w:rsidR="00EC7E47" w:rsidRPr="0099168D" w14:paraId="7692223B" w14:textId="77777777" w:rsidTr="0099168D">
        <w:trPr>
          <w:trHeight w:val="100"/>
        </w:trPr>
        <w:tc>
          <w:tcPr>
            <w:tcW w:w="10027" w:type="dxa"/>
            <w:gridSpan w:val="7"/>
          </w:tcPr>
          <w:p w14:paraId="6575E2FE" w14:textId="465E55A7" w:rsidR="00A728B1" w:rsidRPr="0099168D" w:rsidRDefault="00B40F1C" w:rsidP="008D0F55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cs="Arial"/>
                <w:b/>
                <w:snapToGrid w:val="0"/>
              </w:rPr>
            </w:pPr>
            <w:r w:rsidRPr="0099168D">
              <w:rPr>
                <w:rFonts w:cs="Arial"/>
                <w:b/>
                <w:snapToGrid w:val="0"/>
              </w:rPr>
              <w:t>Secțiunea</w:t>
            </w:r>
            <w:r w:rsidR="004175F0" w:rsidRPr="0099168D">
              <w:rPr>
                <w:rFonts w:cs="Arial"/>
                <w:b/>
                <w:snapToGrid w:val="0"/>
              </w:rPr>
              <w:t xml:space="preserve"> a 4-a – Impactul financiar asupra bugetului general consolidat, atât pe termen scurt, pentru anul curent, cât </w:t>
            </w:r>
            <w:r w:rsidRPr="0099168D">
              <w:rPr>
                <w:rFonts w:cs="Arial"/>
                <w:b/>
                <w:snapToGrid w:val="0"/>
              </w:rPr>
              <w:t>și</w:t>
            </w:r>
            <w:r w:rsidR="004175F0" w:rsidRPr="0099168D">
              <w:rPr>
                <w:rFonts w:cs="Arial"/>
                <w:b/>
                <w:snapToGrid w:val="0"/>
              </w:rPr>
              <w:t xml:space="preserve"> pe termen lung (5 ani)</w:t>
            </w:r>
          </w:p>
        </w:tc>
      </w:tr>
      <w:tr w:rsidR="00EC7E47" w:rsidRPr="0099168D" w14:paraId="08B878B2" w14:textId="77777777" w:rsidTr="0099168D">
        <w:trPr>
          <w:trHeight w:val="100"/>
        </w:trPr>
        <w:tc>
          <w:tcPr>
            <w:tcW w:w="10027" w:type="dxa"/>
            <w:gridSpan w:val="7"/>
          </w:tcPr>
          <w:p w14:paraId="5F382A37" w14:textId="77777777" w:rsidR="004175F0" w:rsidRPr="0099168D" w:rsidRDefault="004175F0" w:rsidP="00A728B1">
            <w:pPr>
              <w:spacing w:after="0"/>
              <w:ind w:left="69"/>
              <w:jc w:val="right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- mii lei -</w:t>
            </w:r>
          </w:p>
        </w:tc>
      </w:tr>
      <w:tr w:rsidR="00EC7E47" w:rsidRPr="0099168D" w14:paraId="664DAD63" w14:textId="77777777" w:rsidTr="0099168D">
        <w:trPr>
          <w:trHeight w:val="391"/>
        </w:trPr>
        <w:tc>
          <w:tcPr>
            <w:tcW w:w="2710" w:type="dxa"/>
          </w:tcPr>
          <w:p w14:paraId="27FAE9AE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Indicatori</w:t>
            </w:r>
          </w:p>
        </w:tc>
        <w:tc>
          <w:tcPr>
            <w:tcW w:w="1547" w:type="dxa"/>
            <w:shd w:val="clear" w:color="auto" w:fill="auto"/>
          </w:tcPr>
          <w:p w14:paraId="36DA203E" w14:textId="633B0D66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  <w:r w:rsidRPr="0099168D">
              <w:rPr>
                <w:rFonts w:cs="Arial"/>
              </w:rPr>
              <w:t>Anul curent</w:t>
            </w:r>
          </w:p>
        </w:tc>
        <w:tc>
          <w:tcPr>
            <w:tcW w:w="4503" w:type="dxa"/>
            <w:gridSpan w:val="4"/>
            <w:shd w:val="clear" w:color="auto" w:fill="auto"/>
          </w:tcPr>
          <w:p w14:paraId="6913BD2B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  <w:r w:rsidRPr="0099168D">
              <w:rPr>
                <w:rFonts w:cs="Arial"/>
              </w:rPr>
              <w:t>Următorii 4 ani</w:t>
            </w:r>
          </w:p>
        </w:tc>
        <w:tc>
          <w:tcPr>
            <w:tcW w:w="1267" w:type="dxa"/>
            <w:shd w:val="clear" w:color="auto" w:fill="auto"/>
          </w:tcPr>
          <w:p w14:paraId="354D01E0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  <w:r w:rsidRPr="0099168D">
              <w:rPr>
                <w:rFonts w:cs="Arial"/>
              </w:rPr>
              <w:t>Media pe 5 ani</w:t>
            </w:r>
          </w:p>
        </w:tc>
      </w:tr>
      <w:tr w:rsidR="00EC7E47" w:rsidRPr="0099168D" w14:paraId="74D00753" w14:textId="77777777" w:rsidTr="0099168D">
        <w:trPr>
          <w:trHeight w:val="507"/>
        </w:trPr>
        <w:tc>
          <w:tcPr>
            <w:tcW w:w="2710" w:type="dxa"/>
          </w:tcPr>
          <w:p w14:paraId="4D01A5F3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1</w:t>
            </w:r>
          </w:p>
        </w:tc>
        <w:tc>
          <w:tcPr>
            <w:tcW w:w="1547" w:type="dxa"/>
            <w:shd w:val="clear" w:color="auto" w:fill="auto"/>
          </w:tcPr>
          <w:p w14:paraId="53484633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  <w:r w:rsidRPr="0099168D">
              <w:rPr>
                <w:rFonts w:cs="Arial"/>
              </w:rPr>
              <w:t>2</w:t>
            </w:r>
          </w:p>
          <w:p w14:paraId="16B9F416" w14:textId="72053DAF" w:rsidR="004175F0" w:rsidRPr="0099168D" w:rsidRDefault="00253FC8" w:rsidP="00A728B1">
            <w:pPr>
              <w:spacing w:after="0"/>
              <w:ind w:left="69"/>
              <w:jc w:val="center"/>
              <w:rPr>
                <w:rFonts w:cs="Arial"/>
              </w:rPr>
            </w:pPr>
            <w:r w:rsidRPr="0099168D">
              <w:rPr>
                <w:rFonts w:cs="Arial"/>
              </w:rPr>
              <w:t>20</w:t>
            </w:r>
            <w:r w:rsidR="00B939C6" w:rsidRPr="0099168D">
              <w:rPr>
                <w:rFonts w:cs="Arial"/>
              </w:rPr>
              <w:t>2</w:t>
            </w:r>
            <w:r w:rsidR="00A728B1" w:rsidRPr="0099168D">
              <w:rPr>
                <w:rFonts w:cs="Arial"/>
              </w:rPr>
              <w:t>1</w:t>
            </w:r>
          </w:p>
        </w:tc>
        <w:tc>
          <w:tcPr>
            <w:tcW w:w="1126" w:type="dxa"/>
            <w:shd w:val="clear" w:color="auto" w:fill="auto"/>
          </w:tcPr>
          <w:p w14:paraId="76D5B67F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  <w:r w:rsidRPr="0099168D">
              <w:rPr>
                <w:rFonts w:cs="Arial"/>
              </w:rPr>
              <w:t>3</w:t>
            </w:r>
          </w:p>
          <w:p w14:paraId="7FC7236A" w14:textId="2DE74D6E" w:rsidR="004175F0" w:rsidRPr="0099168D" w:rsidRDefault="00253FC8" w:rsidP="00A728B1">
            <w:pPr>
              <w:spacing w:after="0"/>
              <w:ind w:left="69"/>
              <w:jc w:val="center"/>
              <w:rPr>
                <w:rFonts w:cs="Arial"/>
              </w:rPr>
            </w:pPr>
            <w:r w:rsidRPr="0099168D">
              <w:rPr>
                <w:rFonts w:cs="Arial"/>
              </w:rPr>
              <w:t>202</w:t>
            </w:r>
            <w:r w:rsidR="00A728B1" w:rsidRPr="0099168D">
              <w:rPr>
                <w:rFonts w:cs="Arial"/>
              </w:rPr>
              <w:t>2</w:t>
            </w:r>
          </w:p>
        </w:tc>
        <w:tc>
          <w:tcPr>
            <w:tcW w:w="1126" w:type="dxa"/>
            <w:shd w:val="clear" w:color="auto" w:fill="auto"/>
          </w:tcPr>
          <w:p w14:paraId="15A68E53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  <w:r w:rsidRPr="0099168D">
              <w:rPr>
                <w:rFonts w:cs="Arial"/>
              </w:rPr>
              <w:t>4</w:t>
            </w:r>
          </w:p>
          <w:p w14:paraId="31AEC086" w14:textId="0D84A713" w:rsidR="004175F0" w:rsidRPr="0099168D" w:rsidRDefault="00253FC8" w:rsidP="00A728B1">
            <w:pPr>
              <w:spacing w:after="0"/>
              <w:ind w:left="69"/>
              <w:jc w:val="center"/>
              <w:rPr>
                <w:rFonts w:cs="Arial"/>
              </w:rPr>
            </w:pPr>
            <w:r w:rsidRPr="0099168D">
              <w:rPr>
                <w:rFonts w:cs="Arial"/>
              </w:rPr>
              <w:t>202</w:t>
            </w:r>
            <w:r w:rsidR="00A728B1" w:rsidRPr="0099168D">
              <w:rPr>
                <w:rFonts w:cs="Arial"/>
              </w:rPr>
              <w:t>3</w:t>
            </w:r>
          </w:p>
        </w:tc>
        <w:tc>
          <w:tcPr>
            <w:tcW w:w="1126" w:type="dxa"/>
            <w:shd w:val="clear" w:color="auto" w:fill="auto"/>
          </w:tcPr>
          <w:p w14:paraId="181C9B44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  <w:r w:rsidRPr="0099168D">
              <w:rPr>
                <w:rFonts w:cs="Arial"/>
              </w:rPr>
              <w:t>5</w:t>
            </w:r>
          </w:p>
          <w:p w14:paraId="1C7D373A" w14:textId="65D5A092" w:rsidR="004175F0" w:rsidRPr="0099168D" w:rsidRDefault="00253FC8" w:rsidP="00A728B1">
            <w:pPr>
              <w:spacing w:after="0"/>
              <w:ind w:left="69"/>
              <w:jc w:val="center"/>
              <w:rPr>
                <w:rFonts w:cs="Arial"/>
              </w:rPr>
            </w:pPr>
            <w:r w:rsidRPr="0099168D">
              <w:rPr>
                <w:rFonts w:cs="Arial"/>
              </w:rPr>
              <w:t>202</w:t>
            </w:r>
            <w:r w:rsidR="00A728B1" w:rsidRPr="0099168D">
              <w:rPr>
                <w:rFonts w:cs="Arial"/>
              </w:rPr>
              <w:t>4</w:t>
            </w:r>
          </w:p>
        </w:tc>
        <w:tc>
          <w:tcPr>
            <w:tcW w:w="1125" w:type="dxa"/>
            <w:shd w:val="clear" w:color="auto" w:fill="auto"/>
          </w:tcPr>
          <w:p w14:paraId="0ABC7667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  <w:r w:rsidRPr="0099168D">
              <w:rPr>
                <w:rFonts w:cs="Arial"/>
              </w:rPr>
              <w:t>6</w:t>
            </w:r>
          </w:p>
          <w:p w14:paraId="7B170815" w14:textId="2BC6C9F4" w:rsidR="004175F0" w:rsidRPr="0099168D" w:rsidRDefault="0059449D" w:rsidP="00A728B1">
            <w:pPr>
              <w:spacing w:after="0"/>
              <w:ind w:left="69"/>
              <w:jc w:val="center"/>
              <w:rPr>
                <w:rFonts w:cs="Arial"/>
              </w:rPr>
            </w:pPr>
            <w:r w:rsidRPr="0099168D">
              <w:rPr>
                <w:rFonts w:cs="Arial"/>
              </w:rPr>
              <w:t>202</w:t>
            </w:r>
            <w:r w:rsidR="00A728B1" w:rsidRPr="0099168D">
              <w:rPr>
                <w:rFonts w:cs="Arial"/>
              </w:rPr>
              <w:t>5</w:t>
            </w:r>
          </w:p>
        </w:tc>
        <w:tc>
          <w:tcPr>
            <w:tcW w:w="1267" w:type="dxa"/>
            <w:shd w:val="clear" w:color="auto" w:fill="auto"/>
          </w:tcPr>
          <w:p w14:paraId="3D9E1673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  <w:r w:rsidRPr="0099168D">
              <w:rPr>
                <w:rFonts w:cs="Arial"/>
              </w:rPr>
              <w:t>7</w:t>
            </w:r>
          </w:p>
        </w:tc>
      </w:tr>
      <w:tr w:rsidR="00EC7E47" w:rsidRPr="0099168D" w14:paraId="23ED6C40" w14:textId="77777777" w:rsidTr="0099168D">
        <w:trPr>
          <w:trHeight w:val="100"/>
        </w:trPr>
        <w:tc>
          <w:tcPr>
            <w:tcW w:w="2710" w:type="dxa"/>
          </w:tcPr>
          <w:p w14:paraId="6BB5FB47" w14:textId="77777777" w:rsidR="004175F0" w:rsidRPr="0099168D" w:rsidRDefault="004175F0" w:rsidP="00A728B1">
            <w:pPr>
              <w:spacing w:after="0"/>
              <w:ind w:left="69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1. Modificări ale veniturilor bugetare, plus/minus, din care:</w:t>
            </w:r>
          </w:p>
        </w:tc>
        <w:tc>
          <w:tcPr>
            <w:tcW w:w="7317" w:type="dxa"/>
            <w:gridSpan w:val="6"/>
            <w:shd w:val="clear" w:color="auto" w:fill="auto"/>
          </w:tcPr>
          <w:p w14:paraId="3F75C403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</w:tr>
      <w:tr w:rsidR="00EC7E47" w:rsidRPr="0099168D" w14:paraId="4F143A1B" w14:textId="77777777" w:rsidTr="0099168D">
        <w:trPr>
          <w:trHeight w:val="100"/>
        </w:trPr>
        <w:tc>
          <w:tcPr>
            <w:tcW w:w="2710" w:type="dxa"/>
          </w:tcPr>
          <w:p w14:paraId="665E9FD3" w14:textId="77777777" w:rsidR="004175F0" w:rsidRPr="0099168D" w:rsidRDefault="004175F0" w:rsidP="00A728B1">
            <w:pPr>
              <w:spacing w:after="0"/>
              <w:ind w:left="69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a) buget de stat, din acesta:</w:t>
            </w:r>
          </w:p>
        </w:tc>
        <w:tc>
          <w:tcPr>
            <w:tcW w:w="1547" w:type="dxa"/>
            <w:shd w:val="clear" w:color="auto" w:fill="auto"/>
          </w:tcPr>
          <w:p w14:paraId="572653EB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shd w:val="clear" w:color="auto" w:fill="auto"/>
          </w:tcPr>
          <w:p w14:paraId="746E3848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shd w:val="clear" w:color="auto" w:fill="auto"/>
          </w:tcPr>
          <w:p w14:paraId="43722129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shd w:val="clear" w:color="auto" w:fill="auto"/>
          </w:tcPr>
          <w:p w14:paraId="0C6EF73E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5" w:type="dxa"/>
            <w:shd w:val="clear" w:color="auto" w:fill="auto"/>
          </w:tcPr>
          <w:p w14:paraId="180FB4BB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267" w:type="dxa"/>
            <w:shd w:val="clear" w:color="auto" w:fill="auto"/>
          </w:tcPr>
          <w:p w14:paraId="2D952E0B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</w:tr>
      <w:tr w:rsidR="00EC7E47" w:rsidRPr="0099168D" w14:paraId="46FD0692" w14:textId="77777777" w:rsidTr="0099168D">
        <w:trPr>
          <w:trHeight w:val="100"/>
        </w:trPr>
        <w:tc>
          <w:tcPr>
            <w:tcW w:w="2710" w:type="dxa"/>
          </w:tcPr>
          <w:p w14:paraId="5605FD0B" w14:textId="77777777" w:rsidR="004175F0" w:rsidRPr="0099168D" w:rsidRDefault="004175F0" w:rsidP="00A728B1">
            <w:pPr>
              <w:spacing w:after="0"/>
              <w:ind w:left="69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(i) impozit pe profit</w:t>
            </w:r>
          </w:p>
        </w:tc>
        <w:tc>
          <w:tcPr>
            <w:tcW w:w="1547" w:type="dxa"/>
            <w:shd w:val="clear" w:color="auto" w:fill="auto"/>
          </w:tcPr>
          <w:p w14:paraId="3EC963AA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shd w:val="clear" w:color="auto" w:fill="auto"/>
          </w:tcPr>
          <w:p w14:paraId="4F015456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shd w:val="clear" w:color="auto" w:fill="auto"/>
          </w:tcPr>
          <w:p w14:paraId="010D5072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shd w:val="clear" w:color="auto" w:fill="auto"/>
          </w:tcPr>
          <w:p w14:paraId="76D3D9C9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5" w:type="dxa"/>
            <w:shd w:val="clear" w:color="auto" w:fill="auto"/>
          </w:tcPr>
          <w:p w14:paraId="3856F2F3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267" w:type="dxa"/>
            <w:shd w:val="clear" w:color="auto" w:fill="auto"/>
          </w:tcPr>
          <w:p w14:paraId="7AB32E1D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</w:tr>
      <w:tr w:rsidR="00EC7E47" w:rsidRPr="0099168D" w14:paraId="61B388FB" w14:textId="77777777" w:rsidTr="0099168D">
        <w:trPr>
          <w:trHeight w:val="100"/>
        </w:trPr>
        <w:tc>
          <w:tcPr>
            <w:tcW w:w="2710" w:type="dxa"/>
          </w:tcPr>
          <w:p w14:paraId="73F1E893" w14:textId="77777777" w:rsidR="004175F0" w:rsidRPr="0099168D" w:rsidRDefault="004175F0" w:rsidP="00A728B1">
            <w:pPr>
              <w:spacing w:after="0"/>
              <w:ind w:left="69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(ii) impozit pe venit</w:t>
            </w:r>
          </w:p>
        </w:tc>
        <w:tc>
          <w:tcPr>
            <w:tcW w:w="1547" w:type="dxa"/>
            <w:shd w:val="clear" w:color="auto" w:fill="auto"/>
          </w:tcPr>
          <w:p w14:paraId="227451EE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shd w:val="clear" w:color="auto" w:fill="auto"/>
          </w:tcPr>
          <w:p w14:paraId="6377DB1F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shd w:val="clear" w:color="auto" w:fill="auto"/>
          </w:tcPr>
          <w:p w14:paraId="081E0EEE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shd w:val="clear" w:color="auto" w:fill="auto"/>
          </w:tcPr>
          <w:p w14:paraId="042F6BB3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5" w:type="dxa"/>
            <w:shd w:val="clear" w:color="auto" w:fill="auto"/>
          </w:tcPr>
          <w:p w14:paraId="2A435E16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267" w:type="dxa"/>
            <w:shd w:val="clear" w:color="auto" w:fill="auto"/>
          </w:tcPr>
          <w:p w14:paraId="757D4456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</w:tr>
      <w:tr w:rsidR="00EC7E47" w:rsidRPr="0099168D" w14:paraId="147D4E10" w14:textId="77777777" w:rsidTr="0099168D">
        <w:trPr>
          <w:trHeight w:val="100"/>
        </w:trPr>
        <w:tc>
          <w:tcPr>
            <w:tcW w:w="2710" w:type="dxa"/>
          </w:tcPr>
          <w:p w14:paraId="3F9AFB32" w14:textId="77777777" w:rsidR="004175F0" w:rsidRPr="0099168D" w:rsidRDefault="004175F0" w:rsidP="00A728B1">
            <w:pPr>
              <w:spacing w:after="0"/>
              <w:ind w:left="69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b) bugete locale:</w:t>
            </w:r>
          </w:p>
        </w:tc>
        <w:tc>
          <w:tcPr>
            <w:tcW w:w="1547" w:type="dxa"/>
            <w:shd w:val="clear" w:color="auto" w:fill="auto"/>
          </w:tcPr>
          <w:p w14:paraId="37A38A3A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shd w:val="clear" w:color="auto" w:fill="auto"/>
          </w:tcPr>
          <w:p w14:paraId="17FA9D7A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shd w:val="clear" w:color="auto" w:fill="auto"/>
          </w:tcPr>
          <w:p w14:paraId="047812F6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shd w:val="clear" w:color="auto" w:fill="auto"/>
          </w:tcPr>
          <w:p w14:paraId="0D7C1F58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5" w:type="dxa"/>
            <w:shd w:val="clear" w:color="auto" w:fill="auto"/>
          </w:tcPr>
          <w:p w14:paraId="6DCB1A61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267" w:type="dxa"/>
            <w:shd w:val="clear" w:color="auto" w:fill="auto"/>
          </w:tcPr>
          <w:p w14:paraId="23BFE9E9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</w:tr>
      <w:tr w:rsidR="00EC7E47" w:rsidRPr="0099168D" w14:paraId="0A77E025" w14:textId="77777777" w:rsidTr="0099168D">
        <w:trPr>
          <w:trHeight w:val="100"/>
        </w:trPr>
        <w:tc>
          <w:tcPr>
            <w:tcW w:w="2710" w:type="dxa"/>
          </w:tcPr>
          <w:p w14:paraId="26287B0E" w14:textId="77777777" w:rsidR="004175F0" w:rsidRPr="0099168D" w:rsidRDefault="004175F0" w:rsidP="00A728B1">
            <w:pPr>
              <w:spacing w:after="0"/>
              <w:ind w:left="69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(i) impozit pe profit</w:t>
            </w:r>
          </w:p>
        </w:tc>
        <w:tc>
          <w:tcPr>
            <w:tcW w:w="1547" w:type="dxa"/>
            <w:shd w:val="clear" w:color="auto" w:fill="auto"/>
          </w:tcPr>
          <w:p w14:paraId="7A05873F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shd w:val="clear" w:color="auto" w:fill="auto"/>
          </w:tcPr>
          <w:p w14:paraId="412280CF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shd w:val="clear" w:color="auto" w:fill="auto"/>
          </w:tcPr>
          <w:p w14:paraId="63B46807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shd w:val="clear" w:color="auto" w:fill="auto"/>
          </w:tcPr>
          <w:p w14:paraId="1B07C4CA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5" w:type="dxa"/>
            <w:shd w:val="clear" w:color="auto" w:fill="auto"/>
          </w:tcPr>
          <w:p w14:paraId="1415309C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267" w:type="dxa"/>
            <w:shd w:val="clear" w:color="auto" w:fill="auto"/>
          </w:tcPr>
          <w:p w14:paraId="0BF67F22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</w:tr>
      <w:tr w:rsidR="00EC7E47" w:rsidRPr="0099168D" w14:paraId="3321A19F" w14:textId="77777777" w:rsidTr="0099168D">
        <w:trPr>
          <w:trHeight w:val="100"/>
        </w:trPr>
        <w:tc>
          <w:tcPr>
            <w:tcW w:w="2710" w:type="dxa"/>
          </w:tcPr>
          <w:p w14:paraId="33DEA609" w14:textId="77777777" w:rsidR="004175F0" w:rsidRPr="0099168D" w:rsidRDefault="004175F0" w:rsidP="00A728B1">
            <w:pPr>
              <w:spacing w:after="0"/>
              <w:ind w:left="69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c) bugetul asigurărilor sociale de stat:</w:t>
            </w:r>
          </w:p>
        </w:tc>
        <w:tc>
          <w:tcPr>
            <w:tcW w:w="1547" w:type="dxa"/>
            <w:shd w:val="clear" w:color="auto" w:fill="auto"/>
          </w:tcPr>
          <w:p w14:paraId="7F9482C1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shd w:val="clear" w:color="auto" w:fill="auto"/>
          </w:tcPr>
          <w:p w14:paraId="7F691DFF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shd w:val="clear" w:color="auto" w:fill="auto"/>
          </w:tcPr>
          <w:p w14:paraId="7EB0B173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shd w:val="clear" w:color="auto" w:fill="auto"/>
          </w:tcPr>
          <w:p w14:paraId="5B9485AE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5" w:type="dxa"/>
            <w:shd w:val="clear" w:color="auto" w:fill="auto"/>
          </w:tcPr>
          <w:p w14:paraId="6BD95C9E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267" w:type="dxa"/>
            <w:shd w:val="clear" w:color="auto" w:fill="auto"/>
          </w:tcPr>
          <w:p w14:paraId="0CC315A2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</w:tr>
      <w:tr w:rsidR="00EC7E47" w:rsidRPr="0099168D" w14:paraId="106FE986" w14:textId="77777777" w:rsidTr="0099168D">
        <w:trPr>
          <w:trHeight w:val="100"/>
        </w:trPr>
        <w:tc>
          <w:tcPr>
            <w:tcW w:w="2710" w:type="dxa"/>
          </w:tcPr>
          <w:p w14:paraId="2C422C53" w14:textId="3F081C0F" w:rsidR="004175F0" w:rsidRPr="0099168D" w:rsidRDefault="004175F0" w:rsidP="00A728B1">
            <w:pPr>
              <w:spacing w:after="0"/>
              <w:ind w:left="69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 xml:space="preserve">(i) </w:t>
            </w:r>
            <w:r w:rsidR="00B939C6" w:rsidRPr="0099168D">
              <w:rPr>
                <w:rFonts w:cs="Arial"/>
                <w:snapToGrid w:val="0"/>
              </w:rPr>
              <w:t>contribuții</w:t>
            </w:r>
            <w:r w:rsidRPr="0099168D">
              <w:rPr>
                <w:rFonts w:cs="Arial"/>
                <w:snapToGrid w:val="0"/>
              </w:rPr>
              <w:t xml:space="preserve"> de asigurări</w:t>
            </w:r>
          </w:p>
        </w:tc>
        <w:tc>
          <w:tcPr>
            <w:tcW w:w="1547" w:type="dxa"/>
            <w:shd w:val="clear" w:color="auto" w:fill="auto"/>
          </w:tcPr>
          <w:p w14:paraId="01AB44A6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shd w:val="clear" w:color="auto" w:fill="auto"/>
          </w:tcPr>
          <w:p w14:paraId="22753546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shd w:val="clear" w:color="auto" w:fill="auto"/>
          </w:tcPr>
          <w:p w14:paraId="05899547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shd w:val="clear" w:color="auto" w:fill="auto"/>
          </w:tcPr>
          <w:p w14:paraId="0A307CEB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5" w:type="dxa"/>
            <w:shd w:val="clear" w:color="auto" w:fill="auto"/>
          </w:tcPr>
          <w:p w14:paraId="0134F8B9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267" w:type="dxa"/>
            <w:shd w:val="clear" w:color="auto" w:fill="auto"/>
          </w:tcPr>
          <w:p w14:paraId="68369145" w14:textId="77777777" w:rsidR="004175F0" w:rsidRPr="0099168D" w:rsidRDefault="004175F0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</w:tr>
      <w:tr w:rsidR="004C68CA" w:rsidRPr="0099168D" w14:paraId="5E736302" w14:textId="77777777" w:rsidTr="0099168D">
        <w:trPr>
          <w:trHeight w:val="100"/>
        </w:trPr>
        <w:tc>
          <w:tcPr>
            <w:tcW w:w="2710" w:type="dxa"/>
          </w:tcPr>
          <w:p w14:paraId="305E765F" w14:textId="77777777" w:rsidR="004C68CA" w:rsidRPr="0099168D" w:rsidRDefault="004C68CA" w:rsidP="00A728B1">
            <w:pPr>
              <w:spacing w:after="0"/>
              <w:ind w:left="69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2. Modificări ale cheltuielilor bugetare, plus/minus, din care: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F94C" w14:textId="48E31E19" w:rsidR="004C68CA" w:rsidRPr="0099168D" w:rsidRDefault="004C68CA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A9D5" w14:textId="4C069327" w:rsidR="004C68CA" w:rsidRPr="0099168D" w:rsidRDefault="004C68CA" w:rsidP="0007556F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2652" w14:textId="3348127D" w:rsidR="004C68CA" w:rsidRPr="0099168D" w:rsidRDefault="004C68CA" w:rsidP="0007556F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FEBE" w14:textId="6EFA1EA6" w:rsidR="004C68CA" w:rsidRPr="0099168D" w:rsidRDefault="004C68CA" w:rsidP="0007556F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88AE" w14:textId="0C76ACF6" w:rsidR="004C68CA" w:rsidRPr="0099168D" w:rsidRDefault="004C68CA" w:rsidP="0007556F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43E4" w14:textId="3FD60726" w:rsidR="004C68CA" w:rsidRPr="0099168D" w:rsidRDefault="004C68CA" w:rsidP="0007556F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</w:tr>
      <w:tr w:rsidR="004C68CA" w:rsidRPr="0099168D" w14:paraId="14652374" w14:textId="77777777" w:rsidTr="0099168D">
        <w:trPr>
          <w:trHeight w:val="100"/>
        </w:trPr>
        <w:tc>
          <w:tcPr>
            <w:tcW w:w="2710" w:type="dxa"/>
          </w:tcPr>
          <w:p w14:paraId="0BAA341F" w14:textId="77777777" w:rsidR="004C68CA" w:rsidRPr="0099168D" w:rsidRDefault="004C68CA" w:rsidP="00A728B1">
            <w:pPr>
              <w:spacing w:after="0"/>
              <w:ind w:left="69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a) buget de stat, din acesta: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4E6C" w14:textId="10DD15F9" w:rsidR="004C68CA" w:rsidRPr="0099168D" w:rsidRDefault="004C68CA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51D0" w14:textId="2C7FC300" w:rsidR="004C68CA" w:rsidRPr="0099168D" w:rsidRDefault="004C68CA" w:rsidP="0007556F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6478" w14:textId="0CA0AAC8" w:rsidR="004C68CA" w:rsidRPr="0099168D" w:rsidRDefault="004C68CA" w:rsidP="0007556F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0324" w14:textId="3C689C16" w:rsidR="004C68CA" w:rsidRPr="0099168D" w:rsidRDefault="004C68CA" w:rsidP="0007556F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7B16" w14:textId="1438BD9B" w:rsidR="004C68CA" w:rsidRPr="0099168D" w:rsidRDefault="004C68CA" w:rsidP="0007556F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C0E7" w14:textId="5FCE8CF8" w:rsidR="004C68CA" w:rsidRPr="0099168D" w:rsidRDefault="004C68CA" w:rsidP="0007556F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</w:tr>
      <w:tr w:rsidR="004C68CA" w:rsidRPr="0099168D" w14:paraId="3ED94239" w14:textId="77777777" w:rsidTr="0099168D">
        <w:trPr>
          <w:trHeight w:val="100"/>
        </w:trPr>
        <w:tc>
          <w:tcPr>
            <w:tcW w:w="2710" w:type="dxa"/>
          </w:tcPr>
          <w:p w14:paraId="070DE233" w14:textId="77777777" w:rsidR="004C68CA" w:rsidRPr="0099168D" w:rsidRDefault="004C68CA" w:rsidP="00A728B1">
            <w:pPr>
              <w:spacing w:after="0"/>
              <w:ind w:left="69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(i) cheltuieli de personal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75D3" w14:textId="1202DFA3" w:rsidR="004C68CA" w:rsidRPr="0099168D" w:rsidRDefault="004C68CA" w:rsidP="0007556F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FB70" w14:textId="1EA12AF7" w:rsidR="004C68CA" w:rsidRPr="0099168D" w:rsidRDefault="004C68CA" w:rsidP="0007556F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E516" w14:textId="134A2604" w:rsidR="004C68CA" w:rsidRPr="0099168D" w:rsidRDefault="004C68CA" w:rsidP="008D0F55">
            <w:pPr>
              <w:spacing w:after="0"/>
              <w:ind w:left="69"/>
              <w:rPr>
                <w:rFonts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37F7" w14:textId="27FA1275" w:rsidR="004C68CA" w:rsidRPr="0099168D" w:rsidRDefault="004C68CA" w:rsidP="0007556F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B056" w14:textId="3FA2EC58" w:rsidR="004C68CA" w:rsidRPr="0099168D" w:rsidRDefault="004C68CA" w:rsidP="0007556F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9029" w14:textId="6851BDA3" w:rsidR="004C68CA" w:rsidRPr="0099168D" w:rsidRDefault="004C68CA" w:rsidP="0007556F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</w:tr>
      <w:tr w:rsidR="004C68CA" w:rsidRPr="0099168D" w14:paraId="0DE6006D" w14:textId="77777777" w:rsidTr="0099168D">
        <w:trPr>
          <w:trHeight w:val="100"/>
        </w:trPr>
        <w:tc>
          <w:tcPr>
            <w:tcW w:w="2710" w:type="dxa"/>
          </w:tcPr>
          <w:p w14:paraId="2FCE4991" w14:textId="1FDF162B" w:rsidR="004C68CA" w:rsidRPr="0099168D" w:rsidRDefault="004C68CA" w:rsidP="00A728B1">
            <w:pPr>
              <w:spacing w:after="0"/>
              <w:ind w:left="69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 xml:space="preserve">(ii) bunuri </w:t>
            </w:r>
            <w:r w:rsidR="00237758" w:rsidRPr="0099168D">
              <w:rPr>
                <w:rFonts w:cs="Arial"/>
                <w:snapToGrid w:val="0"/>
              </w:rPr>
              <w:t>și</w:t>
            </w:r>
            <w:r w:rsidRPr="0099168D">
              <w:rPr>
                <w:rFonts w:cs="Arial"/>
                <w:snapToGrid w:val="0"/>
              </w:rPr>
              <w:t xml:space="preserve"> servicii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16BF" w14:textId="77777777" w:rsidR="004C68CA" w:rsidRPr="0099168D" w:rsidRDefault="004C68CA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5368" w14:textId="77777777" w:rsidR="004C68CA" w:rsidRPr="0099168D" w:rsidRDefault="004C68CA" w:rsidP="0007556F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BB8F" w14:textId="77777777" w:rsidR="004C68CA" w:rsidRPr="0099168D" w:rsidRDefault="004C68CA" w:rsidP="0007556F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43AD" w14:textId="77777777" w:rsidR="004C68CA" w:rsidRPr="0099168D" w:rsidRDefault="004C68CA" w:rsidP="0007556F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1ECF" w14:textId="77777777" w:rsidR="004C68CA" w:rsidRPr="0099168D" w:rsidRDefault="004C68CA" w:rsidP="0007556F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D8AC" w14:textId="77777777" w:rsidR="004C68CA" w:rsidRPr="0099168D" w:rsidRDefault="004C68CA" w:rsidP="0007556F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</w:tr>
      <w:tr w:rsidR="004C68CA" w:rsidRPr="0099168D" w14:paraId="7CFF967B" w14:textId="77777777" w:rsidTr="0099168D">
        <w:trPr>
          <w:trHeight w:val="100"/>
        </w:trPr>
        <w:tc>
          <w:tcPr>
            <w:tcW w:w="2710" w:type="dxa"/>
          </w:tcPr>
          <w:p w14:paraId="4BAB0314" w14:textId="77777777" w:rsidR="004C68CA" w:rsidRPr="0099168D" w:rsidRDefault="004C68CA" w:rsidP="00A728B1">
            <w:pPr>
              <w:spacing w:after="0"/>
              <w:ind w:left="69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b) bugete locale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F9EB" w14:textId="77777777" w:rsidR="004C68CA" w:rsidRPr="0099168D" w:rsidRDefault="004C68CA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9C8A" w14:textId="77777777" w:rsidR="004C68CA" w:rsidRPr="0099168D" w:rsidRDefault="004C68CA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30D3" w14:textId="77777777" w:rsidR="004C68CA" w:rsidRPr="0099168D" w:rsidRDefault="004C68CA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EE90" w14:textId="77777777" w:rsidR="004C68CA" w:rsidRPr="0099168D" w:rsidRDefault="004C68CA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D0F8" w14:textId="77777777" w:rsidR="004C68CA" w:rsidRPr="0099168D" w:rsidRDefault="004C68CA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9EF2" w14:textId="77777777" w:rsidR="004C68CA" w:rsidRPr="0099168D" w:rsidRDefault="004C68CA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</w:tr>
      <w:tr w:rsidR="004C68CA" w:rsidRPr="0099168D" w14:paraId="284951FD" w14:textId="77777777" w:rsidTr="0099168D">
        <w:trPr>
          <w:trHeight w:val="100"/>
        </w:trPr>
        <w:tc>
          <w:tcPr>
            <w:tcW w:w="2710" w:type="dxa"/>
          </w:tcPr>
          <w:p w14:paraId="743CF487" w14:textId="77777777" w:rsidR="004C68CA" w:rsidRPr="0099168D" w:rsidRDefault="004C68CA" w:rsidP="00A728B1">
            <w:pPr>
              <w:spacing w:after="0"/>
              <w:ind w:left="69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(i) cheltuieli de personal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C505" w14:textId="77777777" w:rsidR="004C68CA" w:rsidRPr="0099168D" w:rsidRDefault="004C68CA" w:rsidP="00A728B1">
            <w:pPr>
              <w:spacing w:after="0"/>
              <w:ind w:left="69"/>
              <w:rPr>
                <w:rFonts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32E6" w14:textId="77777777" w:rsidR="004C68CA" w:rsidRPr="0099168D" w:rsidRDefault="004C68CA" w:rsidP="00A728B1">
            <w:pPr>
              <w:spacing w:after="0"/>
              <w:ind w:left="69"/>
              <w:rPr>
                <w:rFonts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727A" w14:textId="77777777" w:rsidR="004C68CA" w:rsidRPr="0099168D" w:rsidRDefault="004C68CA" w:rsidP="00A728B1">
            <w:pPr>
              <w:spacing w:after="0"/>
              <w:ind w:left="69"/>
              <w:rPr>
                <w:rFonts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92C0" w14:textId="77777777" w:rsidR="004C68CA" w:rsidRPr="0099168D" w:rsidRDefault="004C68CA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C730" w14:textId="77777777" w:rsidR="004C68CA" w:rsidRPr="0099168D" w:rsidRDefault="004C68CA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4498" w14:textId="77777777" w:rsidR="004C68CA" w:rsidRPr="0099168D" w:rsidRDefault="004C68CA" w:rsidP="00A728B1">
            <w:pPr>
              <w:spacing w:after="0"/>
              <w:ind w:left="69"/>
              <w:rPr>
                <w:rFonts w:cs="Arial"/>
              </w:rPr>
            </w:pPr>
          </w:p>
        </w:tc>
      </w:tr>
      <w:tr w:rsidR="004C68CA" w:rsidRPr="0099168D" w14:paraId="20441D26" w14:textId="77777777" w:rsidTr="0099168D">
        <w:trPr>
          <w:trHeight w:val="100"/>
        </w:trPr>
        <w:tc>
          <w:tcPr>
            <w:tcW w:w="2710" w:type="dxa"/>
          </w:tcPr>
          <w:p w14:paraId="1FDB176D" w14:textId="6F1F62C4" w:rsidR="004C68CA" w:rsidRPr="0099168D" w:rsidRDefault="004C68CA" w:rsidP="00A728B1">
            <w:pPr>
              <w:spacing w:after="0"/>
              <w:ind w:left="69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 xml:space="preserve">(ii) bunuri </w:t>
            </w:r>
            <w:r w:rsidR="00237758" w:rsidRPr="0099168D">
              <w:rPr>
                <w:rFonts w:cs="Arial"/>
                <w:snapToGrid w:val="0"/>
              </w:rPr>
              <w:t>și</w:t>
            </w:r>
            <w:r w:rsidRPr="0099168D">
              <w:rPr>
                <w:rFonts w:cs="Arial"/>
                <w:snapToGrid w:val="0"/>
              </w:rPr>
              <w:t xml:space="preserve"> servicii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7323" w14:textId="77777777" w:rsidR="004C68CA" w:rsidRPr="0099168D" w:rsidRDefault="004C68CA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C495" w14:textId="77777777" w:rsidR="004C68CA" w:rsidRPr="0099168D" w:rsidRDefault="004C68CA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4AD2" w14:textId="77777777" w:rsidR="004C68CA" w:rsidRPr="0099168D" w:rsidRDefault="004C68CA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00BB" w14:textId="77777777" w:rsidR="004C68CA" w:rsidRPr="0099168D" w:rsidRDefault="004C68CA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C061" w14:textId="77777777" w:rsidR="004C68CA" w:rsidRPr="0099168D" w:rsidRDefault="004C68CA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16CA" w14:textId="77777777" w:rsidR="004C68CA" w:rsidRPr="0099168D" w:rsidRDefault="004C68CA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</w:tr>
      <w:tr w:rsidR="004C68CA" w:rsidRPr="0099168D" w14:paraId="2130E8F0" w14:textId="77777777" w:rsidTr="0099168D">
        <w:trPr>
          <w:trHeight w:val="100"/>
        </w:trPr>
        <w:tc>
          <w:tcPr>
            <w:tcW w:w="2710" w:type="dxa"/>
          </w:tcPr>
          <w:p w14:paraId="701F0581" w14:textId="77777777" w:rsidR="004C68CA" w:rsidRPr="0099168D" w:rsidRDefault="004C68CA" w:rsidP="00A728B1">
            <w:pPr>
              <w:spacing w:after="0"/>
              <w:ind w:left="69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lastRenderedPageBreak/>
              <w:t>c) bugetul asigurărilor sociale de stat: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29BC" w14:textId="77777777" w:rsidR="004C68CA" w:rsidRPr="0099168D" w:rsidRDefault="004C68CA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0582" w14:textId="77777777" w:rsidR="004C68CA" w:rsidRPr="0099168D" w:rsidRDefault="004C68CA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41F0" w14:textId="77777777" w:rsidR="004C68CA" w:rsidRPr="0099168D" w:rsidRDefault="004C68CA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7BD0" w14:textId="77777777" w:rsidR="004C68CA" w:rsidRPr="0099168D" w:rsidRDefault="004C68CA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BC7F" w14:textId="77777777" w:rsidR="004C68CA" w:rsidRPr="0099168D" w:rsidRDefault="004C68CA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171F" w14:textId="77777777" w:rsidR="004C68CA" w:rsidRPr="0099168D" w:rsidRDefault="004C68CA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</w:tr>
      <w:tr w:rsidR="004C68CA" w:rsidRPr="0099168D" w14:paraId="25B4B506" w14:textId="77777777" w:rsidTr="0099168D">
        <w:trPr>
          <w:trHeight w:val="100"/>
        </w:trPr>
        <w:tc>
          <w:tcPr>
            <w:tcW w:w="2710" w:type="dxa"/>
          </w:tcPr>
          <w:p w14:paraId="6C650F82" w14:textId="77777777" w:rsidR="004C68CA" w:rsidRPr="0099168D" w:rsidRDefault="004C68CA" w:rsidP="00A728B1">
            <w:pPr>
              <w:spacing w:after="0"/>
              <w:ind w:left="69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(i) cheltuieli de personal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E3A3" w14:textId="77777777" w:rsidR="004C68CA" w:rsidRPr="0099168D" w:rsidRDefault="004C68CA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D655" w14:textId="77777777" w:rsidR="004C68CA" w:rsidRPr="0099168D" w:rsidRDefault="004C68CA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46EE" w14:textId="77777777" w:rsidR="004C68CA" w:rsidRPr="0099168D" w:rsidRDefault="004C68CA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0050" w14:textId="77777777" w:rsidR="004C68CA" w:rsidRPr="0099168D" w:rsidRDefault="004C68CA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CD76" w14:textId="77777777" w:rsidR="004C68CA" w:rsidRPr="0099168D" w:rsidRDefault="004C68CA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FDE2" w14:textId="77777777" w:rsidR="004C68CA" w:rsidRPr="0099168D" w:rsidRDefault="004C68CA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</w:tr>
      <w:tr w:rsidR="004C68CA" w:rsidRPr="0099168D" w14:paraId="7B8892BB" w14:textId="77777777" w:rsidTr="0099168D">
        <w:trPr>
          <w:trHeight w:val="100"/>
        </w:trPr>
        <w:tc>
          <w:tcPr>
            <w:tcW w:w="2710" w:type="dxa"/>
          </w:tcPr>
          <w:p w14:paraId="20916CA4" w14:textId="48600D28" w:rsidR="004C68CA" w:rsidRPr="0099168D" w:rsidRDefault="004C68CA" w:rsidP="00A728B1">
            <w:pPr>
              <w:spacing w:after="0"/>
              <w:ind w:left="69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 xml:space="preserve">(ii) bunuri </w:t>
            </w:r>
            <w:r w:rsidR="00237758" w:rsidRPr="0099168D">
              <w:rPr>
                <w:rFonts w:cs="Arial"/>
                <w:snapToGrid w:val="0"/>
              </w:rPr>
              <w:t>și</w:t>
            </w:r>
            <w:r w:rsidRPr="0099168D">
              <w:rPr>
                <w:rFonts w:cs="Arial"/>
                <w:snapToGrid w:val="0"/>
              </w:rPr>
              <w:t xml:space="preserve"> servicii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91AB" w14:textId="77777777" w:rsidR="004C68CA" w:rsidRPr="0099168D" w:rsidRDefault="004C68CA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088B" w14:textId="77777777" w:rsidR="004C68CA" w:rsidRPr="0099168D" w:rsidRDefault="004C68CA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718C" w14:textId="77777777" w:rsidR="004C68CA" w:rsidRPr="0099168D" w:rsidRDefault="004C68CA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D26A" w14:textId="77777777" w:rsidR="004C68CA" w:rsidRPr="0099168D" w:rsidRDefault="004C68CA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FC14" w14:textId="77777777" w:rsidR="004C68CA" w:rsidRPr="0099168D" w:rsidRDefault="004C68CA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87B9" w14:textId="77777777" w:rsidR="004C68CA" w:rsidRPr="0099168D" w:rsidRDefault="004C68CA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</w:tr>
      <w:tr w:rsidR="00B95545" w:rsidRPr="0099168D" w14:paraId="66C57EA7" w14:textId="77777777" w:rsidTr="0099168D">
        <w:trPr>
          <w:trHeight w:val="100"/>
        </w:trPr>
        <w:tc>
          <w:tcPr>
            <w:tcW w:w="2710" w:type="dxa"/>
          </w:tcPr>
          <w:p w14:paraId="4171F78F" w14:textId="77777777" w:rsidR="00B95545" w:rsidRPr="0099168D" w:rsidRDefault="00B95545" w:rsidP="00A728B1">
            <w:pPr>
              <w:spacing w:after="0"/>
              <w:ind w:left="69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3. Impact financiar, plus/minus, din care: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0AE1" w14:textId="22E515F8" w:rsidR="00B95545" w:rsidRPr="0099168D" w:rsidRDefault="00B95545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4316" w14:textId="49889952" w:rsidR="00B95545" w:rsidRPr="0099168D" w:rsidRDefault="00B95545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8BAA" w14:textId="186EAA8B" w:rsidR="00B95545" w:rsidRPr="0099168D" w:rsidRDefault="00B95545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EF71" w14:textId="68916279" w:rsidR="00B95545" w:rsidRPr="0099168D" w:rsidRDefault="00B95545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B776" w14:textId="1D3CB8A1" w:rsidR="00B95545" w:rsidRPr="0099168D" w:rsidRDefault="00B95545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1BE9" w14:textId="2C7B9CD7" w:rsidR="00B95545" w:rsidRPr="0099168D" w:rsidRDefault="00B95545" w:rsidP="00A728B1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</w:tr>
      <w:tr w:rsidR="00133C15" w:rsidRPr="0099168D" w14:paraId="1D43E9D1" w14:textId="77777777" w:rsidTr="0099168D">
        <w:trPr>
          <w:trHeight w:val="100"/>
        </w:trPr>
        <w:tc>
          <w:tcPr>
            <w:tcW w:w="2710" w:type="dxa"/>
          </w:tcPr>
          <w:p w14:paraId="4198B1AC" w14:textId="77777777" w:rsidR="00133C15" w:rsidRPr="0099168D" w:rsidRDefault="00133C15" w:rsidP="00133C15">
            <w:pPr>
              <w:spacing w:after="0"/>
              <w:ind w:left="69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a) buget de stat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E7A2" w14:textId="3D83A7C5" w:rsidR="00133C15" w:rsidRPr="0099168D" w:rsidRDefault="00133C15" w:rsidP="00133C15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E4A6" w14:textId="7EC7FBA4" w:rsidR="00133C15" w:rsidRPr="0099168D" w:rsidRDefault="00133C15" w:rsidP="00133C15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BA5B" w14:textId="590DC2EE" w:rsidR="00133C15" w:rsidRPr="0099168D" w:rsidRDefault="00133C15" w:rsidP="00133C15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E6E3" w14:textId="7FFC0424" w:rsidR="00133C15" w:rsidRPr="0099168D" w:rsidRDefault="00133C15" w:rsidP="00133C15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644A" w14:textId="0237D790" w:rsidR="00133C15" w:rsidRPr="0099168D" w:rsidRDefault="00133C15" w:rsidP="00133C15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2BD8" w14:textId="335553CE" w:rsidR="00133C15" w:rsidRPr="0099168D" w:rsidRDefault="00133C15" w:rsidP="00133C15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</w:tr>
      <w:tr w:rsidR="00133C15" w:rsidRPr="0099168D" w14:paraId="0719648B" w14:textId="77777777" w:rsidTr="0099168D">
        <w:trPr>
          <w:trHeight w:val="100"/>
        </w:trPr>
        <w:tc>
          <w:tcPr>
            <w:tcW w:w="2710" w:type="dxa"/>
          </w:tcPr>
          <w:p w14:paraId="516DC36D" w14:textId="77777777" w:rsidR="00133C15" w:rsidRPr="0099168D" w:rsidRDefault="00133C15" w:rsidP="00133C15">
            <w:pPr>
              <w:spacing w:after="0"/>
              <w:ind w:left="69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(i) cheltuieli de personal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17E4" w14:textId="6B7CCAEB" w:rsidR="00133C15" w:rsidRPr="0099168D" w:rsidRDefault="00133C15" w:rsidP="00133C15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8A3A" w14:textId="2D819C59" w:rsidR="00133C15" w:rsidRPr="0099168D" w:rsidRDefault="00133C15" w:rsidP="00133C15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AB6A" w14:textId="6057C94A" w:rsidR="00133C15" w:rsidRPr="0099168D" w:rsidRDefault="00133C15" w:rsidP="00133C15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BAE8" w14:textId="22D1F640" w:rsidR="00133C15" w:rsidRPr="0099168D" w:rsidRDefault="00133C15" w:rsidP="00133C15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0F01" w14:textId="6BE0AAF9" w:rsidR="00133C15" w:rsidRPr="0099168D" w:rsidRDefault="00133C15" w:rsidP="00133C15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6018" w14:textId="250BF55D" w:rsidR="00133C15" w:rsidRPr="0099168D" w:rsidRDefault="00133C15" w:rsidP="00133C15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</w:tr>
      <w:tr w:rsidR="00133C15" w:rsidRPr="0099168D" w14:paraId="7A4AFAA5" w14:textId="77777777" w:rsidTr="0099168D">
        <w:trPr>
          <w:trHeight w:val="100"/>
        </w:trPr>
        <w:tc>
          <w:tcPr>
            <w:tcW w:w="2710" w:type="dxa"/>
          </w:tcPr>
          <w:p w14:paraId="7432EAA8" w14:textId="77777777" w:rsidR="00133C15" w:rsidRPr="0099168D" w:rsidRDefault="00133C15" w:rsidP="00133C15">
            <w:pPr>
              <w:spacing w:after="0"/>
              <w:ind w:left="69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b) bugetele locale</w:t>
            </w:r>
          </w:p>
        </w:tc>
        <w:tc>
          <w:tcPr>
            <w:tcW w:w="1547" w:type="dxa"/>
            <w:shd w:val="clear" w:color="auto" w:fill="auto"/>
          </w:tcPr>
          <w:p w14:paraId="606117C8" w14:textId="77777777" w:rsidR="00133C15" w:rsidRPr="0099168D" w:rsidRDefault="00133C15" w:rsidP="00133C15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shd w:val="clear" w:color="auto" w:fill="auto"/>
          </w:tcPr>
          <w:p w14:paraId="07DA2B1A" w14:textId="77777777" w:rsidR="00133C15" w:rsidRPr="0099168D" w:rsidRDefault="00133C15" w:rsidP="00133C15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shd w:val="clear" w:color="auto" w:fill="auto"/>
          </w:tcPr>
          <w:p w14:paraId="57B436F2" w14:textId="77777777" w:rsidR="00133C15" w:rsidRPr="0099168D" w:rsidRDefault="00133C15" w:rsidP="00133C15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shd w:val="clear" w:color="auto" w:fill="auto"/>
          </w:tcPr>
          <w:p w14:paraId="37ACCC17" w14:textId="77777777" w:rsidR="00133C15" w:rsidRPr="0099168D" w:rsidRDefault="00133C15" w:rsidP="00133C15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5" w:type="dxa"/>
            <w:shd w:val="clear" w:color="auto" w:fill="auto"/>
          </w:tcPr>
          <w:p w14:paraId="7B1E5097" w14:textId="77777777" w:rsidR="00133C15" w:rsidRPr="0099168D" w:rsidRDefault="00133C15" w:rsidP="00133C15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267" w:type="dxa"/>
            <w:shd w:val="clear" w:color="auto" w:fill="auto"/>
          </w:tcPr>
          <w:p w14:paraId="5506A093" w14:textId="77777777" w:rsidR="00133C15" w:rsidRPr="0099168D" w:rsidRDefault="00133C15" w:rsidP="00133C15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</w:tr>
      <w:tr w:rsidR="00133C15" w:rsidRPr="0099168D" w14:paraId="1E80DFB6" w14:textId="77777777" w:rsidTr="0099168D">
        <w:trPr>
          <w:trHeight w:val="100"/>
        </w:trPr>
        <w:tc>
          <w:tcPr>
            <w:tcW w:w="2710" w:type="dxa"/>
          </w:tcPr>
          <w:p w14:paraId="297E8494" w14:textId="0D596248" w:rsidR="00133C15" w:rsidRPr="0099168D" w:rsidRDefault="00133C15" w:rsidP="00133C15">
            <w:pPr>
              <w:spacing w:after="0"/>
              <w:ind w:left="69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4. Propuneri pentru acoperirea creșterii cheltuielilor bugetare</w:t>
            </w:r>
          </w:p>
        </w:tc>
        <w:tc>
          <w:tcPr>
            <w:tcW w:w="7317" w:type="dxa"/>
            <w:gridSpan w:val="6"/>
            <w:shd w:val="clear" w:color="auto" w:fill="auto"/>
          </w:tcPr>
          <w:p w14:paraId="75B0E652" w14:textId="77777777" w:rsidR="00133C15" w:rsidRPr="0099168D" w:rsidRDefault="00133C15" w:rsidP="00133C15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</w:tr>
      <w:tr w:rsidR="00133C15" w:rsidRPr="0099168D" w14:paraId="101EBA31" w14:textId="77777777" w:rsidTr="0099168D">
        <w:trPr>
          <w:trHeight w:val="100"/>
        </w:trPr>
        <w:tc>
          <w:tcPr>
            <w:tcW w:w="2710" w:type="dxa"/>
          </w:tcPr>
          <w:p w14:paraId="51130FC6" w14:textId="77777777" w:rsidR="00133C15" w:rsidRPr="0099168D" w:rsidRDefault="00133C15" w:rsidP="00133C15">
            <w:pPr>
              <w:spacing w:after="0"/>
              <w:ind w:left="69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5. Propuneri pentru a compensa reducerea veniturilor bugetare</w:t>
            </w:r>
          </w:p>
        </w:tc>
        <w:tc>
          <w:tcPr>
            <w:tcW w:w="1547" w:type="dxa"/>
            <w:shd w:val="clear" w:color="auto" w:fill="auto"/>
          </w:tcPr>
          <w:p w14:paraId="635103C8" w14:textId="77777777" w:rsidR="00133C15" w:rsidRPr="0099168D" w:rsidRDefault="00133C15" w:rsidP="00133C15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shd w:val="clear" w:color="auto" w:fill="auto"/>
          </w:tcPr>
          <w:p w14:paraId="360AFC3A" w14:textId="77777777" w:rsidR="00133C15" w:rsidRPr="0099168D" w:rsidRDefault="00133C15" w:rsidP="00133C15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shd w:val="clear" w:color="auto" w:fill="auto"/>
          </w:tcPr>
          <w:p w14:paraId="5E7B1E7A" w14:textId="77777777" w:rsidR="00133C15" w:rsidRPr="0099168D" w:rsidRDefault="00133C15" w:rsidP="00133C15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6" w:type="dxa"/>
            <w:shd w:val="clear" w:color="auto" w:fill="auto"/>
          </w:tcPr>
          <w:p w14:paraId="344D0D41" w14:textId="77777777" w:rsidR="00133C15" w:rsidRPr="0099168D" w:rsidRDefault="00133C15" w:rsidP="00133C15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125" w:type="dxa"/>
            <w:shd w:val="clear" w:color="auto" w:fill="auto"/>
          </w:tcPr>
          <w:p w14:paraId="0B0255C7" w14:textId="77777777" w:rsidR="00133C15" w:rsidRPr="0099168D" w:rsidRDefault="00133C15" w:rsidP="00133C15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  <w:tc>
          <w:tcPr>
            <w:tcW w:w="1267" w:type="dxa"/>
            <w:shd w:val="clear" w:color="auto" w:fill="auto"/>
          </w:tcPr>
          <w:p w14:paraId="73A15AA1" w14:textId="77777777" w:rsidR="00133C15" w:rsidRPr="0099168D" w:rsidRDefault="00133C15" w:rsidP="00133C15">
            <w:pPr>
              <w:spacing w:after="0"/>
              <w:ind w:left="69"/>
              <w:jc w:val="center"/>
              <w:rPr>
                <w:rFonts w:cs="Arial"/>
              </w:rPr>
            </w:pPr>
          </w:p>
        </w:tc>
      </w:tr>
      <w:tr w:rsidR="00133C15" w:rsidRPr="0099168D" w14:paraId="78CA2EC0" w14:textId="77777777" w:rsidTr="0099168D">
        <w:trPr>
          <w:trHeight w:val="100"/>
        </w:trPr>
        <w:tc>
          <w:tcPr>
            <w:tcW w:w="2710" w:type="dxa"/>
          </w:tcPr>
          <w:p w14:paraId="05D9AC44" w14:textId="77777777" w:rsidR="00133C15" w:rsidRPr="0099168D" w:rsidRDefault="00133C15" w:rsidP="00133C15">
            <w:pPr>
              <w:spacing w:after="0"/>
              <w:ind w:left="69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 xml:space="preserve">6. Calcule detaliate privind fundamentarea modificărilor veniturilor </w:t>
            </w:r>
            <w:proofErr w:type="spellStart"/>
            <w:r w:rsidRPr="0099168D">
              <w:rPr>
                <w:rFonts w:cs="Arial"/>
                <w:snapToGrid w:val="0"/>
              </w:rPr>
              <w:t>şi</w:t>
            </w:r>
            <w:proofErr w:type="spellEnd"/>
            <w:r w:rsidRPr="0099168D">
              <w:rPr>
                <w:rFonts w:cs="Arial"/>
                <w:snapToGrid w:val="0"/>
              </w:rPr>
              <w:t>/sau cheltuielilor bugetare</w:t>
            </w:r>
          </w:p>
        </w:tc>
        <w:tc>
          <w:tcPr>
            <w:tcW w:w="7317" w:type="dxa"/>
            <w:gridSpan w:val="6"/>
            <w:shd w:val="clear" w:color="auto" w:fill="auto"/>
          </w:tcPr>
          <w:p w14:paraId="0AB2649A" w14:textId="77777777" w:rsidR="00133C15" w:rsidRPr="0099168D" w:rsidRDefault="00133C15" w:rsidP="00133C15">
            <w:pPr>
              <w:pStyle w:val="ListParagraph"/>
              <w:spacing w:after="0"/>
              <w:ind w:left="69"/>
              <w:rPr>
                <w:rFonts w:cs="Arial"/>
              </w:rPr>
            </w:pPr>
          </w:p>
        </w:tc>
      </w:tr>
      <w:tr w:rsidR="00133C15" w:rsidRPr="0099168D" w14:paraId="1478F91A" w14:textId="77777777" w:rsidTr="0099168D">
        <w:trPr>
          <w:trHeight w:val="100"/>
        </w:trPr>
        <w:tc>
          <w:tcPr>
            <w:tcW w:w="2710" w:type="dxa"/>
          </w:tcPr>
          <w:p w14:paraId="7F706E89" w14:textId="77777777" w:rsidR="00133C15" w:rsidRPr="0099168D" w:rsidRDefault="00133C15" w:rsidP="00133C15">
            <w:pPr>
              <w:spacing w:after="0"/>
              <w:ind w:left="69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7 Alte informații</w:t>
            </w:r>
          </w:p>
        </w:tc>
        <w:tc>
          <w:tcPr>
            <w:tcW w:w="7317" w:type="dxa"/>
            <w:gridSpan w:val="6"/>
            <w:shd w:val="clear" w:color="auto" w:fill="auto"/>
          </w:tcPr>
          <w:p w14:paraId="18685B2F" w14:textId="3A3E872A" w:rsidR="008D0F55" w:rsidRPr="008D0F55" w:rsidRDefault="008D0F55" w:rsidP="008D0F55">
            <w:pPr>
              <w:ind w:left="0"/>
            </w:pPr>
            <w:r w:rsidRPr="008D0F55">
              <w:t>Proiectul</w:t>
            </w:r>
            <w:r>
              <w:t xml:space="preserve"> de act normativ</w:t>
            </w:r>
            <w:r w:rsidRPr="008D0F55">
              <w:t xml:space="preserve"> nu are </w:t>
            </w:r>
            <w:r w:rsidRPr="008D0F55">
              <w:t>influență</w:t>
            </w:r>
            <w:r w:rsidRPr="008D0F55">
              <w:t xml:space="preserve"> financiară.</w:t>
            </w:r>
          </w:p>
          <w:p w14:paraId="767ED5A4" w14:textId="11AAF27D" w:rsidR="008D0F55" w:rsidRPr="008D0F55" w:rsidRDefault="008D0F55" w:rsidP="008D0F55">
            <w:pPr>
              <w:ind w:left="0"/>
              <w:rPr>
                <w:lang w:val="en-US"/>
              </w:rPr>
            </w:pPr>
            <w:r w:rsidRPr="008D0F55">
              <w:t xml:space="preserve">Ocuparea posturilor astfel suplimentate se va realiza după asigurarea </w:t>
            </w:r>
            <w:r w:rsidRPr="008D0F55">
              <w:t>finanțării</w:t>
            </w:r>
            <w:r w:rsidRPr="008D0F55">
              <w:t xml:space="preserve"> acestora, prin legile bugetare anuale sau actele normative de rectificare, cu respectarea art. 38 din OUG nr. 114/2018 privind instituirea unor măsuri în domeniul </w:t>
            </w:r>
            <w:r w:rsidRPr="008D0F55">
              <w:t>investițiilor</w:t>
            </w:r>
            <w:r w:rsidRPr="008D0F55">
              <w:t xml:space="preserve"> publice </w:t>
            </w:r>
            <w:proofErr w:type="spellStart"/>
            <w:r w:rsidRPr="008D0F55">
              <w:t>şi</w:t>
            </w:r>
            <w:proofErr w:type="spellEnd"/>
            <w:r w:rsidRPr="008D0F55">
              <w:t xml:space="preserve"> a unor măsuri fiscal-bugetare, modificarea </w:t>
            </w:r>
            <w:proofErr w:type="spellStart"/>
            <w:r w:rsidRPr="008D0F55">
              <w:t>şi</w:t>
            </w:r>
            <w:proofErr w:type="spellEnd"/>
            <w:r w:rsidRPr="008D0F55">
              <w:t xml:space="preserve"> completarea unor acte normative </w:t>
            </w:r>
            <w:proofErr w:type="spellStart"/>
            <w:r w:rsidRPr="008D0F55">
              <w:t>şi</w:t>
            </w:r>
            <w:proofErr w:type="spellEnd"/>
            <w:r w:rsidRPr="008D0F55">
              <w:t xml:space="preserve"> prorogarea unor termene, potrivit căruia: „în perioada 2019 - 2021, numărul maxim de posturi care se </w:t>
            </w:r>
            <w:proofErr w:type="spellStart"/>
            <w:r w:rsidRPr="008D0F55">
              <w:t>finanţează</w:t>
            </w:r>
            <w:proofErr w:type="spellEnd"/>
            <w:r w:rsidRPr="008D0F55">
              <w:t xml:space="preserve"> din fonduri publice, pentru </w:t>
            </w:r>
            <w:proofErr w:type="spellStart"/>
            <w:r w:rsidRPr="008D0F55">
              <w:t>instituţiile</w:t>
            </w:r>
            <w:proofErr w:type="spellEnd"/>
            <w:r w:rsidRPr="008D0F55">
              <w:t xml:space="preserve"> </w:t>
            </w:r>
            <w:proofErr w:type="spellStart"/>
            <w:r w:rsidRPr="008D0F55">
              <w:t>şi</w:t>
            </w:r>
            <w:proofErr w:type="spellEnd"/>
            <w:r w:rsidRPr="008D0F55">
              <w:t xml:space="preserve"> </w:t>
            </w:r>
            <w:proofErr w:type="spellStart"/>
            <w:r w:rsidRPr="008D0F55">
              <w:t>autorităţile</w:t>
            </w:r>
            <w:proofErr w:type="spellEnd"/>
            <w:r w:rsidRPr="008D0F55">
              <w:t xml:space="preserve"> publice, indiferent de modul de </w:t>
            </w:r>
            <w:proofErr w:type="spellStart"/>
            <w:r w:rsidRPr="008D0F55">
              <w:t>finanţare</w:t>
            </w:r>
            <w:proofErr w:type="spellEnd"/>
            <w:r w:rsidRPr="008D0F55">
              <w:t xml:space="preserve"> </w:t>
            </w:r>
            <w:proofErr w:type="spellStart"/>
            <w:r w:rsidRPr="008D0F55">
              <w:t>şi</w:t>
            </w:r>
            <w:proofErr w:type="spellEnd"/>
            <w:r w:rsidRPr="008D0F55">
              <w:t xml:space="preserve"> subordonare, se </w:t>
            </w:r>
            <w:proofErr w:type="spellStart"/>
            <w:r w:rsidRPr="008D0F55">
              <w:t>stabileşte</w:t>
            </w:r>
            <w:proofErr w:type="spellEnd"/>
            <w:r w:rsidRPr="008D0F55">
              <w:t xml:space="preserve"> de către ordonatorii de credite astfel încât să se asigure plata integrală a drepturilor de natură salarială acordate în </w:t>
            </w:r>
            <w:proofErr w:type="spellStart"/>
            <w:r w:rsidRPr="008D0F55">
              <w:t>condiţiile</w:t>
            </w:r>
            <w:proofErr w:type="spellEnd"/>
            <w:r w:rsidRPr="008D0F55">
              <w:t xml:space="preserve"> legii, cu încadrarea în cheltuielile de personal aprobate prin buget”.</w:t>
            </w:r>
          </w:p>
          <w:p w14:paraId="174D8877" w14:textId="78D3AA72" w:rsidR="00133C15" w:rsidRPr="0099168D" w:rsidRDefault="00133C15" w:rsidP="00133C15">
            <w:pPr>
              <w:spacing w:after="0"/>
              <w:ind w:left="69"/>
              <w:rPr>
                <w:rFonts w:cs="Arial"/>
                <w:bCs/>
              </w:rPr>
            </w:pPr>
          </w:p>
        </w:tc>
      </w:tr>
      <w:tr w:rsidR="00133C15" w:rsidRPr="0099168D" w14:paraId="11587FBF" w14:textId="77777777" w:rsidTr="0099168D">
        <w:trPr>
          <w:trHeight w:val="100"/>
        </w:trPr>
        <w:tc>
          <w:tcPr>
            <w:tcW w:w="10027" w:type="dxa"/>
            <w:gridSpan w:val="7"/>
          </w:tcPr>
          <w:p w14:paraId="7FF912F0" w14:textId="2C08CC00" w:rsidR="00133C15" w:rsidRPr="0099168D" w:rsidRDefault="00133C15" w:rsidP="008D0F55">
            <w:pPr>
              <w:spacing w:after="0"/>
              <w:ind w:left="0"/>
              <w:jc w:val="center"/>
              <w:rPr>
                <w:rFonts w:cs="Arial"/>
                <w:b/>
                <w:snapToGrid w:val="0"/>
              </w:rPr>
            </w:pPr>
            <w:r w:rsidRPr="0099168D">
              <w:rPr>
                <w:rFonts w:cs="Arial"/>
                <w:b/>
                <w:snapToGrid w:val="0"/>
              </w:rPr>
              <w:t>Secțiunea a 5 –a – Efectele proiectului de act normativ asupra legislației în vigoare</w:t>
            </w:r>
          </w:p>
        </w:tc>
      </w:tr>
      <w:tr w:rsidR="00133C15" w:rsidRPr="0099168D" w14:paraId="0F204603" w14:textId="77777777" w:rsidTr="0099168D">
        <w:trPr>
          <w:trHeight w:val="100"/>
        </w:trPr>
        <w:tc>
          <w:tcPr>
            <w:tcW w:w="2710" w:type="dxa"/>
          </w:tcPr>
          <w:p w14:paraId="0B296DEC" w14:textId="77777777" w:rsidR="00133C15" w:rsidRPr="0099168D" w:rsidRDefault="00133C15" w:rsidP="00133C15">
            <w:pPr>
              <w:spacing w:after="0"/>
              <w:ind w:left="69" w:right="34"/>
              <w:rPr>
                <w:rFonts w:cs="Arial"/>
              </w:rPr>
            </w:pPr>
            <w:r w:rsidRPr="0099168D">
              <w:rPr>
                <w:rFonts w:cs="Arial"/>
                <w:snapToGrid w:val="0"/>
              </w:rPr>
              <w:t xml:space="preserve">1. </w:t>
            </w:r>
            <w:r w:rsidRPr="0099168D">
              <w:rPr>
                <w:rFonts w:cs="Arial"/>
              </w:rPr>
              <w:t xml:space="preserve">Măsuri normative necesare pentru   aplicarea prevederilor  proiectului de act normativ:                                            </w:t>
            </w:r>
          </w:p>
          <w:p w14:paraId="4F6ABEAA" w14:textId="77777777" w:rsidR="00133C15" w:rsidRPr="0099168D" w:rsidRDefault="00133C15" w:rsidP="00133C15">
            <w:pPr>
              <w:spacing w:after="0"/>
              <w:ind w:left="69" w:right="34"/>
              <w:rPr>
                <w:rFonts w:cs="Arial"/>
              </w:rPr>
            </w:pPr>
            <w:r w:rsidRPr="0099168D">
              <w:rPr>
                <w:rFonts w:cs="Arial"/>
              </w:rPr>
              <w:t xml:space="preserve">a) acte normative în vigoare ce vor    fi modificate sau abrogate, ca   urmare a intrării în vigoare a       proiectului de act normativ;    </w:t>
            </w:r>
          </w:p>
          <w:p w14:paraId="4D2167FC" w14:textId="2DA67DAC" w:rsidR="00133C15" w:rsidRPr="0099168D" w:rsidRDefault="00133C15" w:rsidP="00133C15">
            <w:pPr>
              <w:spacing w:after="0"/>
              <w:ind w:left="69" w:right="34"/>
              <w:rPr>
                <w:rFonts w:cs="Arial"/>
                <w:snapToGrid w:val="0"/>
              </w:rPr>
            </w:pPr>
            <w:r w:rsidRPr="0099168D">
              <w:rPr>
                <w:rFonts w:cs="Arial"/>
              </w:rPr>
              <w:lastRenderedPageBreak/>
              <w:t>b) acte normative ce urmează a fi elaborate în implementării noilor dispoziții.</w:t>
            </w:r>
          </w:p>
        </w:tc>
        <w:tc>
          <w:tcPr>
            <w:tcW w:w="7317" w:type="dxa"/>
            <w:gridSpan w:val="6"/>
          </w:tcPr>
          <w:p w14:paraId="159EFB6D" w14:textId="77777777" w:rsidR="00133C15" w:rsidRPr="0099168D" w:rsidRDefault="00133C15" w:rsidP="00133C15">
            <w:pPr>
              <w:spacing w:after="0"/>
              <w:ind w:left="69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lastRenderedPageBreak/>
              <w:t xml:space="preserve">Nu este cazul. </w:t>
            </w:r>
          </w:p>
        </w:tc>
      </w:tr>
      <w:tr w:rsidR="00133C15" w:rsidRPr="0099168D" w14:paraId="4EB871AF" w14:textId="77777777" w:rsidTr="0099168D">
        <w:trPr>
          <w:trHeight w:val="100"/>
        </w:trPr>
        <w:tc>
          <w:tcPr>
            <w:tcW w:w="2710" w:type="dxa"/>
          </w:tcPr>
          <w:p w14:paraId="642AAA85" w14:textId="77777777" w:rsidR="00133C15" w:rsidRPr="0099168D" w:rsidRDefault="00133C15" w:rsidP="00133C15">
            <w:pPr>
              <w:spacing w:after="0"/>
              <w:ind w:left="69" w:right="34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1</w:t>
            </w:r>
            <w:r w:rsidRPr="0099168D">
              <w:rPr>
                <w:rFonts w:cs="Arial"/>
                <w:snapToGrid w:val="0"/>
                <w:vertAlign w:val="superscript"/>
              </w:rPr>
              <w:t>1</w:t>
            </w:r>
            <w:r w:rsidRPr="0099168D">
              <w:rPr>
                <w:rFonts w:cs="Arial"/>
                <w:snapToGrid w:val="0"/>
              </w:rPr>
              <w:t>. Compatibilitatea proiectului de act normativ cu legislația în domeniul achizițiilor publice</w:t>
            </w:r>
          </w:p>
        </w:tc>
        <w:tc>
          <w:tcPr>
            <w:tcW w:w="7317" w:type="dxa"/>
            <w:gridSpan w:val="6"/>
          </w:tcPr>
          <w:p w14:paraId="53DC8A74" w14:textId="18D2C5D8" w:rsidR="00133C15" w:rsidRPr="0099168D" w:rsidRDefault="00133C15" w:rsidP="00133C15">
            <w:pPr>
              <w:spacing w:after="0"/>
              <w:ind w:left="69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Nu este cazul.</w:t>
            </w:r>
          </w:p>
        </w:tc>
      </w:tr>
      <w:tr w:rsidR="00133C15" w:rsidRPr="0099168D" w14:paraId="067A8ED5" w14:textId="77777777" w:rsidTr="0099168D">
        <w:trPr>
          <w:trHeight w:val="230"/>
        </w:trPr>
        <w:tc>
          <w:tcPr>
            <w:tcW w:w="2710" w:type="dxa"/>
          </w:tcPr>
          <w:p w14:paraId="14EE35D8" w14:textId="38BA48A3" w:rsidR="00133C15" w:rsidRPr="0099168D" w:rsidRDefault="00133C15" w:rsidP="00133C15">
            <w:pPr>
              <w:autoSpaceDE w:val="0"/>
              <w:autoSpaceDN w:val="0"/>
              <w:adjustRightInd w:val="0"/>
              <w:spacing w:after="0"/>
              <w:ind w:left="69" w:right="34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 xml:space="preserve">2. </w:t>
            </w:r>
            <w:r w:rsidRPr="0099168D">
              <w:rPr>
                <w:rFonts w:cs="Arial"/>
                <w:iCs/>
              </w:rPr>
              <w:t>Conformitatea proiectului de act normativ cu legislația comunitară în cazul proiectelor ce transpun prevederi comunitare</w:t>
            </w:r>
          </w:p>
        </w:tc>
        <w:tc>
          <w:tcPr>
            <w:tcW w:w="7317" w:type="dxa"/>
            <w:gridSpan w:val="6"/>
          </w:tcPr>
          <w:p w14:paraId="11946F32" w14:textId="77777777" w:rsidR="00133C15" w:rsidRPr="0099168D" w:rsidRDefault="00133C15" w:rsidP="00133C15">
            <w:pPr>
              <w:spacing w:after="0"/>
              <w:ind w:left="69"/>
              <w:rPr>
                <w:rFonts w:cs="Arial"/>
                <w:snapToGrid w:val="0"/>
              </w:rPr>
            </w:pPr>
          </w:p>
        </w:tc>
      </w:tr>
      <w:tr w:rsidR="00133C15" w:rsidRPr="0099168D" w14:paraId="71E88E60" w14:textId="77777777" w:rsidTr="0099168D">
        <w:trPr>
          <w:trHeight w:val="228"/>
        </w:trPr>
        <w:tc>
          <w:tcPr>
            <w:tcW w:w="2710" w:type="dxa"/>
          </w:tcPr>
          <w:p w14:paraId="26C647AA" w14:textId="77777777" w:rsidR="00133C15" w:rsidRPr="0099168D" w:rsidRDefault="00133C15" w:rsidP="00133C15">
            <w:pPr>
              <w:autoSpaceDE w:val="0"/>
              <w:autoSpaceDN w:val="0"/>
              <w:adjustRightInd w:val="0"/>
              <w:spacing w:after="0"/>
              <w:ind w:left="69" w:right="34"/>
              <w:rPr>
                <w:rFonts w:cs="Arial"/>
                <w:snapToGrid w:val="0"/>
              </w:rPr>
            </w:pPr>
            <w:r w:rsidRPr="0099168D">
              <w:rPr>
                <w:rFonts w:cs="Arial"/>
                <w:iCs/>
              </w:rPr>
              <w:t>3. Măsuri normative necesare aplicării directe a actelor  normative comunitare</w:t>
            </w:r>
          </w:p>
        </w:tc>
        <w:tc>
          <w:tcPr>
            <w:tcW w:w="7317" w:type="dxa"/>
            <w:gridSpan w:val="6"/>
          </w:tcPr>
          <w:p w14:paraId="1FB806C6" w14:textId="77777777" w:rsidR="00133C15" w:rsidRPr="0099168D" w:rsidRDefault="00133C15" w:rsidP="00133C15">
            <w:pPr>
              <w:spacing w:after="0"/>
              <w:ind w:left="69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 xml:space="preserve">Nu este cazul. </w:t>
            </w:r>
          </w:p>
        </w:tc>
      </w:tr>
      <w:tr w:rsidR="00133C15" w:rsidRPr="0099168D" w14:paraId="55CC3124" w14:textId="77777777" w:rsidTr="0099168D">
        <w:trPr>
          <w:trHeight w:val="228"/>
        </w:trPr>
        <w:tc>
          <w:tcPr>
            <w:tcW w:w="2710" w:type="dxa"/>
          </w:tcPr>
          <w:p w14:paraId="01AAFEC7" w14:textId="77777777" w:rsidR="00133C15" w:rsidRPr="0099168D" w:rsidRDefault="00133C15" w:rsidP="00133C15">
            <w:pPr>
              <w:spacing w:after="0"/>
              <w:ind w:left="69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4. Hotărâri ale Curții de Justiție a Uniunii Europene</w:t>
            </w:r>
          </w:p>
        </w:tc>
        <w:tc>
          <w:tcPr>
            <w:tcW w:w="7317" w:type="dxa"/>
            <w:gridSpan w:val="6"/>
          </w:tcPr>
          <w:p w14:paraId="17FCBC30" w14:textId="77777777" w:rsidR="00133C15" w:rsidRPr="0099168D" w:rsidRDefault="00133C15" w:rsidP="00133C15">
            <w:pPr>
              <w:spacing w:after="0"/>
              <w:ind w:left="69" w:right="-391"/>
              <w:rPr>
                <w:rFonts w:cs="Arial"/>
              </w:rPr>
            </w:pPr>
            <w:r w:rsidRPr="0099168D">
              <w:rPr>
                <w:rFonts w:cs="Arial"/>
              </w:rPr>
              <w:t xml:space="preserve">Nu este cazul. </w:t>
            </w:r>
          </w:p>
        </w:tc>
      </w:tr>
      <w:tr w:rsidR="00133C15" w:rsidRPr="0099168D" w14:paraId="1A94ED37" w14:textId="77777777" w:rsidTr="0099168D">
        <w:trPr>
          <w:trHeight w:val="228"/>
        </w:trPr>
        <w:tc>
          <w:tcPr>
            <w:tcW w:w="2710" w:type="dxa"/>
          </w:tcPr>
          <w:p w14:paraId="1586094C" w14:textId="77777777" w:rsidR="00133C15" w:rsidRPr="0099168D" w:rsidRDefault="00133C15" w:rsidP="00133C15">
            <w:pPr>
              <w:spacing w:after="0"/>
              <w:ind w:left="69" w:right="134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5. Alte acte normative și/sau documente internaționale din care decurg angajamente</w:t>
            </w:r>
          </w:p>
        </w:tc>
        <w:tc>
          <w:tcPr>
            <w:tcW w:w="7317" w:type="dxa"/>
            <w:gridSpan w:val="6"/>
          </w:tcPr>
          <w:p w14:paraId="521F6C92" w14:textId="77777777" w:rsidR="00133C15" w:rsidRPr="0099168D" w:rsidRDefault="00133C15" w:rsidP="00133C15">
            <w:pPr>
              <w:spacing w:after="0"/>
              <w:ind w:left="69" w:right="134"/>
              <w:rPr>
                <w:rFonts w:cs="Arial"/>
              </w:rPr>
            </w:pPr>
          </w:p>
        </w:tc>
      </w:tr>
      <w:tr w:rsidR="00133C15" w:rsidRPr="0099168D" w14:paraId="19F46BD7" w14:textId="77777777" w:rsidTr="0099168D">
        <w:trPr>
          <w:trHeight w:val="228"/>
        </w:trPr>
        <w:tc>
          <w:tcPr>
            <w:tcW w:w="2710" w:type="dxa"/>
          </w:tcPr>
          <w:p w14:paraId="5E5D1817" w14:textId="77777777" w:rsidR="00133C15" w:rsidRPr="0099168D" w:rsidRDefault="00133C15" w:rsidP="00133C15">
            <w:pPr>
              <w:spacing w:after="0"/>
              <w:ind w:left="69" w:right="134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 xml:space="preserve">6. Alte informații. </w:t>
            </w:r>
          </w:p>
        </w:tc>
        <w:tc>
          <w:tcPr>
            <w:tcW w:w="7317" w:type="dxa"/>
            <w:gridSpan w:val="6"/>
          </w:tcPr>
          <w:p w14:paraId="347224A4" w14:textId="060A58DF" w:rsidR="00133C15" w:rsidRPr="0099168D" w:rsidRDefault="00133C15" w:rsidP="00133C15">
            <w:pPr>
              <w:spacing w:after="0"/>
              <w:ind w:left="69" w:right="134"/>
              <w:rPr>
                <w:rFonts w:cs="Arial"/>
              </w:rPr>
            </w:pPr>
            <w:r w:rsidRPr="0099168D">
              <w:rPr>
                <w:rFonts w:cs="Arial"/>
              </w:rPr>
              <w:t xml:space="preserve">Nu este cazul. </w:t>
            </w:r>
          </w:p>
        </w:tc>
      </w:tr>
      <w:tr w:rsidR="00133C15" w:rsidRPr="0099168D" w14:paraId="50F80860" w14:textId="77777777" w:rsidTr="0099168D">
        <w:trPr>
          <w:trHeight w:val="228"/>
        </w:trPr>
        <w:tc>
          <w:tcPr>
            <w:tcW w:w="10027" w:type="dxa"/>
            <w:gridSpan w:val="7"/>
          </w:tcPr>
          <w:p w14:paraId="50D9DCCA" w14:textId="6886D7CA" w:rsidR="00133C15" w:rsidRPr="0099168D" w:rsidRDefault="00133C15" w:rsidP="008D0F55">
            <w:pPr>
              <w:spacing w:after="0"/>
              <w:ind w:left="0" w:right="134"/>
              <w:jc w:val="center"/>
              <w:rPr>
                <w:rFonts w:cs="Arial"/>
                <w:b/>
                <w:snapToGrid w:val="0"/>
              </w:rPr>
            </w:pPr>
            <w:r w:rsidRPr="0099168D">
              <w:rPr>
                <w:rFonts w:cs="Arial"/>
                <w:b/>
                <w:snapToGrid w:val="0"/>
              </w:rPr>
              <w:t>Secțiunea a 6-a – Consultările efectuate în vederea elaborării proiectului de act normativ</w:t>
            </w:r>
          </w:p>
        </w:tc>
      </w:tr>
      <w:tr w:rsidR="00133C15" w:rsidRPr="0099168D" w14:paraId="22711403" w14:textId="77777777" w:rsidTr="0099168D">
        <w:trPr>
          <w:trHeight w:val="237"/>
        </w:trPr>
        <w:tc>
          <w:tcPr>
            <w:tcW w:w="2710" w:type="dxa"/>
          </w:tcPr>
          <w:p w14:paraId="5666204B" w14:textId="7FE7FB9E" w:rsidR="00133C15" w:rsidRPr="0099168D" w:rsidRDefault="00133C15" w:rsidP="00133C15">
            <w:pPr>
              <w:spacing w:after="0"/>
              <w:ind w:left="69" w:right="134"/>
              <w:rPr>
                <w:rFonts w:cs="Arial"/>
                <w:snapToGrid w:val="0"/>
              </w:rPr>
            </w:pPr>
            <w:r w:rsidRPr="0099168D">
              <w:rPr>
                <w:rFonts w:cs="Arial"/>
              </w:rPr>
              <w:t>1. Informații privind procesul de consultare cu organizații neguvernamentale, institute de  cercetare și alte organisme     implicate</w:t>
            </w:r>
          </w:p>
        </w:tc>
        <w:tc>
          <w:tcPr>
            <w:tcW w:w="7317" w:type="dxa"/>
            <w:gridSpan w:val="6"/>
          </w:tcPr>
          <w:p w14:paraId="26F1B9C9" w14:textId="685CB0E1" w:rsidR="00133C15" w:rsidRPr="0099168D" w:rsidRDefault="00133C15" w:rsidP="00133C15">
            <w:pPr>
              <w:spacing w:after="0"/>
              <w:ind w:left="69" w:right="134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Nu este cazul.</w:t>
            </w:r>
          </w:p>
        </w:tc>
      </w:tr>
      <w:tr w:rsidR="00133C15" w:rsidRPr="0099168D" w14:paraId="18B2EAF2" w14:textId="77777777" w:rsidTr="0099168D">
        <w:trPr>
          <w:trHeight w:val="235"/>
        </w:trPr>
        <w:tc>
          <w:tcPr>
            <w:tcW w:w="2710" w:type="dxa"/>
          </w:tcPr>
          <w:p w14:paraId="67196F36" w14:textId="2DD257F2" w:rsidR="00133C15" w:rsidRPr="0099168D" w:rsidRDefault="00133C15" w:rsidP="00133C15">
            <w:pPr>
              <w:spacing w:after="0"/>
              <w:ind w:left="69" w:right="134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2. Fundamentarea alegerii organizațiilor cu care a avut loc consultarea, precum și a modului în care activitatea acestor organizații este legată de obiectul proiectului de act normativ</w:t>
            </w:r>
          </w:p>
        </w:tc>
        <w:tc>
          <w:tcPr>
            <w:tcW w:w="7317" w:type="dxa"/>
            <w:gridSpan w:val="6"/>
          </w:tcPr>
          <w:p w14:paraId="55CC4654" w14:textId="3933CABC" w:rsidR="00133C15" w:rsidRPr="0099168D" w:rsidRDefault="00133C15" w:rsidP="00133C15">
            <w:pPr>
              <w:spacing w:after="0"/>
              <w:ind w:left="69" w:right="134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Nu este cazul.</w:t>
            </w:r>
          </w:p>
        </w:tc>
      </w:tr>
      <w:tr w:rsidR="00133C15" w:rsidRPr="0099168D" w14:paraId="42784D71" w14:textId="77777777" w:rsidTr="0099168D">
        <w:trPr>
          <w:trHeight w:val="235"/>
        </w:trPr>
        <w:tc>
          <w:tcPr>
            <w:tcW w:w="2710" w:type="dxa"/>
          </w:tcPr>
          <w:p w14:paraId="22EC0501" w14:textId="5CBB72F9" w:rsidR="00133C15" w:rsidRPr="0099168D" w:rsidRDefault="00133C15" w:rsidP="00133C15">
            <w:pPr>
              <w:spacing w:after="0"/>
              <w:ind w:left="69" w:right="134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 xml:space="preserve">3. Consultările organizate cu autoritățile administrației publice locale, în situația în </w:t>
            </w:r>
            <w:r w:rsidRPr="0099168D">
              <w:rPr>
                <w:rFonts w:cs="Arial"/>
                <w:snapToGrid w:val="0"/>
              </w:rPr>
              <w:lastRenderedPageBreak/>
              <w:t>care proiectul de act normativ are ca obiect activități ale acestor autorități, în condițiile Hotărârii Guvernului nr. 521/2005 privind procedura de consultare a structurilor asociative ale autorităților administrației publice locale la elaborarea proiectelor de acte normative</w:t>
            </w:r>
          </w:p>
        </w:tc>
        <w:tc>
          <w:tcPr>
            <w:tcW w:w="7317" w:type="dxa"/>
            <w:gridSpan w:val="6"/>
          </w:tcPr>
          <w:p w14:paraId="5388CEF4" w14:textId="43EB0A88" w:rsidR="00133C15" w:rsidRPr="0099168D" w:rsidRDefault="00133C15" w:rsidP="00133C15">
            <w:pPr>
              <w:spacing w:after="0"/>
              <w:ind w:left="69" w:right="134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lastRenderedPageBreak/>
              <w:t>Nu este cazul.</w:t>
            </w:r>
          </w:p>
        </w:tc>
      </w:tr>
      <w:tr w:rsidR="00133C15" w:rsidRPr="0099168D" w14:paraId="38D9C915" w14:textId="77777777" w:rsidTr="0099168D">
        <w:trPr>
          <w:trHeight w:val="235"/>
        </w:trPr>
        <w:tc>
          <w:tcPr>
            <w:tcW w:w="2710" w:type="dxa"/>
          </w:tcPr>
          <w:p w14:paraId="1C3FC9FC" w14:textId="303FC9A2" w:rsidR="00133C15" w:rsidRPr="0099168D" w:rsidRDefault="00133C15" w:rsidP="00133C15">
            <w:pPr>
              <w:autoSpaceDE w:val="0"/>
              <w:autoSpaceDN w:val="0"/>
              <w:adjustRightInd w:val="0"/>
              <w:spacing w:after="0"/>
              <w:ind w:left="69" w:right="134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 xml:space="preserve">4. </w:t>
            </w:r>
            <w:r w:rsidRPr="0099168D">
              <w:rPr>
                <w:rFonts w:cs="Arial"/>
              </w:rPr>
              <w:t>Consultările desfășurate în cadrul consiliilor interministeriale, în conformitate cu prevederile    Hotărârii Guvernului nr. 750/2005  privind constituirea consiliilor    interministeriale permanente</w:t>
            </w:r>
          </w:p>
        </w:tc>
        <w:tc>
          <w:tcPr>
            <w:tcW w:w="7317" w:type="dxa"/>
            <w:gridSpan w:val="6"/>
          </w:tcPr>
          <w:p w14:paraId="56348B88" w14:textId="3997501F" w:rsidR="00133C15" w:rsidRPr="0099168D" w:rsidRDefault="00133C15" w:rsidP="00133C15">
            <w:pPr>
              <w:spacing w:after="0"/>
              <w:ind w:left="69" w:right="134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Nu este cazul.</w:t>
            </w:r>
          </w:p>
        </w:tc>
      </w:tr>
      <w:tr w:rsidR="00133C15" w:rsidRPr="0099168D" w14:paraId="1CE1A9E3" w14:textId="77777777" w:rsidTr="0099168D">
        <w:trPr>
          <w:trHeight w:val="235"/>
        </w:trPr>
        <w:tc>
          <w:tcPr>
            <w:tcW w:w="2710" w:type="dxa"/>
          </w:tcPr>
          <w:p w14:paraId="1603FAF4" w14:textId="6ACF699E" w:rsidR="00133C15" w:rsidRPr="0099168D" w:rsidRDefault="00133C15" w:rsidP="00133C15">
            <w:pPr>
              <w:spacing w:after="0"/>
              <w:ind w:left="69" w:right="134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5. Informații privind avizarea de către:</w:t>
            </w:r>
          </w:p>
          <w:p w14:paraId="31BF31B1" w14:textId="77777777" w:rsidR="00133C15" w:rsidRPr="0099168D" w:rsidRDefault="00133C15" w:rsidP="00133C15">
            <w:pPr>
              <w:spacing w:after="0"/>
              <w:ind w:left="69" w:right="134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a) Consiliul Legislativ</w:t>
            </w:r>
          </w:p>
          <w:p w14:paraId="0EE21EFB" w14:textId="3AC8AF0B" w:rsidR="00133C15" w:rsidRPr="0099168D" w:rsidRDefault="00133C15" w:rsidP="00133C15">
            <w:pPr>
              <w:spacing w:after="0"/>
              <w:ind w:left="69" w:right="134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b) Consiliul Suprem de Apărare a Țării</w:t>
            </w:r>
          </w:p>
          <w:p w14:paraId="13CB4832" w14:textId="722302DE" w:rsidR="00133C15" w:rsidRPr="0099168D" w:rsidRDefault="00133C15" w:rsidP="00133C15">
            <w:pPr>
              <w:spacing w:after="0"/>
              <w:ind w:left="69" w:right="134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c) Consiliul Economic și Social</w:t>
            </w:r>
          </w:p>
          <w:p w14:paraId="789D64CD" w14:textId="4DF0B898" w:rsidR="00133C15" w:rsidRPr="0099168D" w:rsidRDefault="00133C15" w:rsidP="00133C15">
            <w:pPr>
              <w:spacing w:after="0"/>
              <w:ind w:left="69" w:right="134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d) Consiliul Concurenței</w:t>
            </w:r>
          </w:p>
          <w:p w14:paraId="493106FB" w14:textId="4102D8D0" w:rsidR="00133C15" w:rsidRPr="0099168D" w:rsidRDefault="00133C15" w:rsidP="00133C15">
            <w:pPr>
              <w:spacing w:after="0"/>
              <w:ind w:left="69" w:right="134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e) Curtea de Conturi.</w:t>
            </w:r>
          </w:p>
        </w:tc>
        <w:tc>
          <w:tcPr>
            <w:tcW w:w="7317" w:type="dxa"/>
            <w:gridSpan w:val="6"/>
          </w:tcPr>
          <w:p w14:paraId="78E5A46C" w14:textId="7EF61BA5" w:rsidR="00133C15" w:rsidRPr="0099168D" w:rsidRDefault="00133C15" w:rsidP="00133C15">
            <w:pPr>
              <w:spacing w:after="0"/>
              <w:ind w:left="69" w:right="134"/>
              <w:rPr>
                <w:rFonts w:cs="Arial"/>
                <w:snapToGrid w:val="0"/>
              </w:rPr>
            </w:pPr>
            <w:r w:rsidRPr="0099168D">
              <w:rPr>
                <w:rFonts w:cs="Arial"/>
              </w:rPr>
              <w:t xml:space="preserve">Proiectul va fi supus avizului Consiliului Legislativ, Consiliului Economic </w:t>
            </w:r>
            <w:proofErr w:type="spellStart"/>
            <w:r w:rsidRPr="0099168D">
              <w:rPr>
                <w:rFonts w:cs="Arial"/>
              </w:rPr>
              <w:t>şi</w:t>
            </w:r>
            <w:proofErr w:type="spellEnd"/>
            <w:r w:rsidRPr="0099168D">
              <w:rPr>
                <w:rFonts w:cs="Arial"/>
              </w:rPr>
              <w:t xml:space="preserve"> Social </w:t>
            </w:r>
            <w:proofErr w:type="spellStart"/>
            <w:r w:rsidRPr="0099168D">
              <w:rPr>
                <w:rFonts w:cs="Arial"/>
              </w:rPr>
              <w:t>şi</w:t>
            </w:r>
            <w:proofErr w:type="spellEnd"/>
            <w:r w:rsidRPr="0099168D">
              <w:rPr>
                <w:rFonts w:cs="Arial"/>
              </w:rPr>
              <w:t xml:space="preserve"> Consiliului Superior al Magistraturii.</w:t>
            </w:r>
          </w:p>
        </w:tc>
      </w:tr>
      <w:tr w:rsidR="00133C15" w:rsidRPr="0099168D" w14:paraId="4D2B62D6" w14:textId="77777777" w:rsidTr="0099168D">
        <w:trPr>
          <w:trHeight w:val="228"/>
        </w:trPr>
        <w:tc>
          <w:tcPr>
            <w:tcW w:w="10027" w:type="dxa"/>
            <w:gridSpan w:val="7"/>
          </w:tcPr>
          <w:p w14:paraId="183F3D9D" w14:textId="18115EA4" w:rsidR="00133C15" w:rsidRPr="0099168D" w:rsidRDefault="00133C15" w:rsidP="008D0F55">
            <w:pPr>
              <w:spacing w:after="0"/>
              <w:ind w:left="0" w:right="134"/>
              <w:jc w:val="center"/>
              <w:rPr>
                <w:rFonts w:cs="Arial"/>
                <w:b/>
                <w:snapToGrid w:val="0"/>
              </w:rPr>
            </w:pPr>
            <w:r w:rsidRPr="0099168D">
              <w:rPr>
                <w:rFonts w:cs="Arial"/>
                <w:b/>
                <w:snapToGrid w:val="0"/>
              </w:rPr>
              <w:t>Secțiunea a 7-a – Activități de informare publică privind elaborarea și implementarea proiectului de act normativ</w:t>
            </w:r>
          </w:p>
        </w:tc>
      </w:tr>
      <w:tr w:rsidR="00133C15" w:rsidRPr="0099168D" w14:paraId="5402AF53" w14:textId="77777777" w:rsidTr="0099168D">
        <w:trPr>
          <w:trHeight w:val="235"/>
        </w:trPr>
        <w:tc>
          <w:tcPr>
            <w:tcW w:w="2710" w:type="dxa"/>
          </w:tcPr>
          <w:p w14:paraId="62A0ACB6" w14:textId="73EFD2F0" w:rsidR="00133C15" w:rsidRPr="0099168D" w:rsidRDefault="00133C15" w:rsidP="00133C15">
            <w:pPr>
              <w:spacing w:after="0"/>
              <w:ind w:left="69" w:right="134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1. Informarea societății civile cu privire la necesitatea elaborării actului normativ</w:t>
            </w:r>
          </w:p>
        </w:tc>
        <w:tc>
          <w:tcPr>
            <w:tcW w:w="7317" w:type="dxa"/>
            <w:gridSpan w:val="6"/>
          </w:tcPr>
          <w:p w14:paraId="490EB355" w14:textId="42321549" w:rsidR="00133C15" w:rsidRPr="0099168D" w:rsidRDefault="00133C15" w:rsidP="00133C15">
            <w:pPr>
              <w:autoSpaceDE w:val="0"/>
              <w:autoSpaceDN w:val="0"/>
              <w:adjustRightInd w:val="0"/>
              <w:spacing w:after="0"/>
              <w:ind w:left="69" w:right="134"/>
              <w:rPr>
                <w:rFonts w:cs="Arial"/>
              </w:rPr>
            </w:pPr>
            <w:r w:rsidRPr="0099168D">
              <w:rPr>
                <w:rFonts w:cs="Arial"/>
              </w:rPr>
              <w:t>Proiectul a fost publicat pe pagina de internet a Ministerului Justiției, în conformitate cu prevederile Legii nr. 52/2003 privind transparența decizională în administrația publică, cu completările ulterioare.</w:t>
            </w:r>
          </w:p>
        </w:tc>
      </w:tr>
      <w:tr w:rsidR="00133C15" w:rsidRPr="0099168D" w14:paraId="2B27AFD8" w14:textId="77777777" w:rsidTr="0099168D">
        <w:trPr>
          <w:trHeight w:val="234"/>
        </w:trPr>
        <w:tc>
          <w:tcPr>
            <w:tcW w:w="2710" w:type="dxa"/>
          </w:tcPr>
          <w:p w14:paraId="060CEF21" w14:textId="7EC8ABFE" w:rsidR="00133C15" w:rsidRPr="0099168D" w:rsidRDefault="00133C15" w:rsidP="00133C15">
            <w:pPr>
              <w:spacing w:after="0"/>
              <w:ind w:left="69" w:right="134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 xml:space="preserve">2. Informarea societății civile cu privire la eventualul impact asupra mediului în urma implementării proiectului de act normativ, precum și </w:t>
            </w:r>
            <w:r w:rsidRPr="0099168D">
              <w:rPr>
                <w:rFonts w:cs="Arial"/>
                <w:snapToGrid w:val="0"/>
              </w:rPr>
              <w:lastRenderedPageBreak/>
              <w:t>efectele asupra sănătății și securității cetățenilor sau diversității biologice</w:t>
            </w:r>
          </w:p>
        </w:tc>
        <w:tc>
          <w:tcPr>
            <w:tcW w:w="7317" w:type="dxa"/>
            <w:gridSpan w:val="6"/>
          </w:tcPr>
          <w:p w14:paraId="393E6EA6" w14:textId="26CD6E00" w:rsidR="00133C15" w:rsidRPr="0099168D" w:rsidRDefault="00133C15" w:rsidP="00133C15">
            <w:pPr>
              <w:spacing w:after="0"/>
              <w:ind w:left="69" w:right="134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lastRenderedPageBreak/>
              <w:t>Nu este cazul.</w:t>
            </w:r>
          </w:p>
        </w:tc>
      </w:tr>
      <w:tr w:rsidR="00133C15" w:rsidRPr="0099168D" w14:paraId="0CDE5384" w14:textId="77777777" w:rsidTr="0099168D">
        <w:trPr>
          <w:trHeight w:val="234"/>
        </w:trPr>
        <w:tc>
          <w:tcPr>
            <w:tcW w:w="2710" w:type="dxa"/>
          </w:tcPr>
          <w:p w14:paraId="2C91CDA2" w14:textId="77777777" w:rsidR="00133C15" w:rsidRPr="0099168D" w:rsidRDefault="00133C15" w:rsidP="00133C15">
            <w:pPr>
              <w:spacing w:after="0"/>
              <w:ind w:left="69" w:right="134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3. Alte informații</w:t>
            </w:r>
          </w:p>
        </w:tc>
        <w:tc>
          <w:tcPr>
            <w:tcW w:w="7317" w:type="dxa"/>
            <w:gridSpan w:val="6"/>
          </w:tcPr>
          <w:p w14:paraId="708A835C" w14:textId="13EB460D" w:rsidR="00133C15" w:rsidRPr="0099168D" w:rsidRDefault="00133C15" w:rsidP="00133C15">
            <w:pPr>
              <w:spacing w:after="0"/>
              <w:ind w:left="69" w:right="134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Nu este cazul.</w:t>
            </w:r>
          </w:p>
        </w:tc>
      </w:tr>
      <w:tr w:rsidR="00133C15" w:rsidRPr="0099168D" w14:paraId="730227A1" w14:textId="77777777" w:rsidTr="0099168D">
        <w:trPr>
          <w:trHeight w:val="234"/>
        </w:trPr>
        <w:tc>
          <w:tcPr>
            <w:tcW w:w="10027" w:type="dxa"/>
            <w:gridSpan w:val="7"/>
          </w:tcPr>
          <w:p w14:paraId="4836A26E" w14:textId="6D686F86" w:rsidR="00133C15" w:rsidRPr="0099168D" w:rsidRDefault="00133C15" w:rsidP="008D0F55">
            <w:pPr>
              <w:spacing w:after="0"/>
              <w:ind w:left="0" w:right="134"/>
              <w:jc w:val="center"/>
              <w:rPr>
                <w:rFonts w:cs="Arial"/>
                <w:b/>
                <w:snapToGrid w:val="0"/>
              </w:rPr>
            </w:pPr>
            <w:r w:rsidRPr="0099168D">
              <w:rPr>
                <w:rFonts w:cs="Arial"/>
                <w:b/>
                <w:snapToGrid w:val="0"/>
              </w:rPr>
              <w:t>Secțiunea a 8-a - Măsuri de implementare</w:t>
            </w:r>
            <w:bookmarkStart w:id="0" w:name="_GoBack"/>
            <w:bookmarkEnd w:id="0"/>
          </w:p>
        </w:tc>
      </w:tr>
      <w:tr w:rsidR="00133C15" w:rsidRPr="0099168D" w14:paraId="650C0C5F" w14:textId="77777777" w:rsidTr="0099168D">
        <w:trPr>
          <w:trHeight w:val="234"/>
        </w:trPr>
        <w:tc>
          <w:tcPr>
            <w:tcW w:w="2710" w:type="dxa"/>
          </w:tcPr>
          <w:p w14:paraId="34B74B3E" w14:textId="58BA9D44" w:rsidR="00133C15" w:rsidRPr="0099168D" w:rsidRDefault="00133C15" w:rsidP="00133C15">
            <w:pPr>
              <w:spacing w:after="0"/>
              <w:ind w:left="69" w:right="134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1. Măsurile de punere în aplicare a proiectului de act normativ de către autoritățile administrației publice centrale și/sau locale – înființarea unor noi organisme sau extinderea competențelor instituțiilor existente</w:t>
            </w:r>
          </w:p>
        </w:tc>
        <w:tc>
          <w:tcPr>
            <w:tcW w:w="7317" w:type="dxa"/>
            <w:gridSpan w:val="6"/>
          </w:tcPr>
          <w:p w14:paraId="76CE57D2" w14:textId="6B3B9D4C" w:rsidR="00133C15" w:rsidRPr="0099168D" w:rsidRDefault="00133C15" w:rsidP="00133C15">
            <w:pPr>
              <w:spacing w:after="0"/>
              <w:ind w:left="69" w:right="134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Nu este cazul.</w:t>
            </w:r>
          </w:p>
        </w:tc>
      </w:tr>
      <w:tr w:rsidR="00133C15" w:rsidRPr="0099168D" w14:paraId="7E2C49CB" w14:textId="77777777" w:rsidTr="0099168D">
        <w:trPr>
          <w:trHeight w:val="234"/>
        </w:trPr>
        <w:tc>
          <w:tcPr>
            <w:tcW w:w="2710" w:type="dxa"/>
          </w:tcPr>
          <w:p w14:paraId="1A4386BC" w14:textId="70B8552F" w:rsidR="00133C15" w:rsidRPr="0099168D" w:rsidRDefault="00133C15" w:rsidP="00133C15">
            <w:pPr>
              <w:spacing w:after="0"/>
              <w:ind w:left="69" w:right="134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2. Alte informații</w:t>
            </w:r>
          </w:p>
        </w:tc>
        <w:tc>
          <w:tcPr>
            <w:tcW w:w="7317" w:type="dxa"/>
            <w:gridSpan w:val="6"/>
          </w:tcPr>
          <w:p w14:paraId="2B949531" w14:textId="690E6F82" w:rsidR="00133C15" w:rsidRPr="0099168D" w:rsidRDefault="00133C15" w:rsidP="00133C15">
            <w:pPr>
              <w:spacing w:after="0"/>
              <w:ind w:left="69" w:right="134"/>
              <w:rPr>
                <w:rFonts w:cs="Arial"/>
                <w:snapToGrid w:val="0"/>
              </w:rPr>
            </w:pPr>
            <w:r w:rsidRPr="0099168D">
              <w:rPr>
                <w:rFonts w:cs="Arial"/>
                <w:snapToGrid w:val="0"/>
              </w:rPr>
              <w:t>Nu au fost identificate.</w:t>
            </w:r>
          </w:p>
        </w:tc>
      </w:tr>
    </w:tbl>
    <w:p w14:paraId="192105F3" w14:textId="77777777" w:rsidR="0099168D" w:rsidRPr="0099168D" w:rsidRDefault="0099168D" w:rsidP="0099168D">
      <w:pPr>
        <w:pStyle w:val="MediumGrid21"/>
        <w:rPr>
          <w:sz w:val="22"/>
          <w:szCs w:val="22"/>
          <w:lang w:eastAsia="ro-RO"/>
        </w:rPr>
      </w:pPr>
    </w:p>
    <w:p w14:paraId="22EDF2A7" w14:textId="77777777" w:rsidR="0099168D" w:rsidRPr="0099168D" w:rsidRDefault="0099168D" w:rsidP="0099168D">
      <w:pPr>
        <w:pStyle w:val="MediumGrid21"/>
        <w:rPr>
          <w:sz w:val="22"/>
          <w:szCs w:val="22"/>
          <w:lang w:eastAsia="ro-RO"/>
        </w:rPr>
      </w:pPr>
    </w:p>
    <w:p w14:paraId="41167549" w14:textId="77777777" w:rsidR="009B0756" w:rsidRDefault="0099168D" w:rsidP="009B0756">
      <w:pPr>
        <w:pStyle w:val="MediumGrid21"/>
        <w:ind w:left="-1276"/>
        <w:jc w:val="both"/>
        <w:rPr>
          <w:sz w:val="22"/>
          <w:szCs w:val="22"/>
          <w:lang w:eastAsia="ro-RO"/>
        </w:rPr>
      </w:pPr>
      <w:proofErr w:type="spellStart"/>
      <w:r w:rsidRPr="0099168D">
        <w:rPr>
          <w:sz w:val="22"/>
          <w:szCs w:val="22"/>
          <w:lang w:eastAsia="ro-RO"/>
        </w:rPr>
        <w:t>Față</w:t>
      </w:r>
      <w:proofErr w:type="spellEnd"/>
      <w:r w:rsidRPr="0099168D">
        <w:rPr>
          <w:sz w:val="22"/>
          <w:szCs w:val="22"/>
          <w:lang w:eastAsia="ro-RO"/>
        </w:rPr>
        <w:t xml:space="preserve"> de </w:t>
      </w:r>
      <w:proofErr w:type="spellStart"/>
      <w:r w:rsidRPr="0099168D">
        <w:rPr>
          <w:sz w:val="22"/>
          <w:szCs w:val="22"/>
          <w:lang w:eastAsia="ro-RO"/>
        </w:rPr>
        <w:t>cele</w:t>
      </w:r>
      <w:proofErr w:type="spellEnd"/>
      <w:r w:rsidRPr="0099168D">
        <w:rPr>
          <w:sz w:val="22"/>
          <w:szCs w:val="22"/>
          <w:lang w:eastAsia="ro-RO"/>
        </w:rPr>
        <w:t xml:space="preserve"> </w:t>
      </w:r>
      <w:proofErr w:type="spellStart"/>
      <w:r w:rsidRPr="0099168D">
        <w:rPr>
          <w:sz w:val="22"/>
          <w:szCs w:val="22"/>
          <w:lang w:eastAsia="ro-RO"/>
        </w:rPr>
        <w:t>prezentate</w:t>
      </w:r>
      <w:proofErr w:type="spellEnd"/>
      <w:r w:rsidRPr="0099168D">
        <w:rPr>
          <w:sz w:val="22"/>
          <w:szCs w:val="22"/>
          <w:lang w:eastAsia="ro-RO"/>
        </w:rPr>
        <w:t xml:space="preserve">, a </w:t>
      </w:r>
      <w:proofErr w:type="spellStart"/>
      <w:r w:rsidRPr="0099168D">
        <w:rPr>
          <w:sz w:val="22"/>
          <w:szCs w:val="22"/>
          <w:lang w:eastAsia="ro-RO"/>
        </w:rPr>
        <w:t>fost</w:t>
      </w:r>
      <w:proofErr w:type="spellEnd"/>
      <w:r w:rsidRPr="0099168D">
        <w:rPr>
          <w:sz w:val="22"/>
          <w:szCs w:val="22"/>
          <w:lang w:eastAsia="ro-RO"/>
        </w:rPr>
        <w:t xml:space="preserve"> </w:t>
      </w:r>
      <w:proofErr w:type="spellStart"/>
      <w:r w:rsidRPr="0099168D">
        <w:rPr>
          <w:sz w:val="22"/>
          <w:szCs w:val="22"/>
          <w:lang w:eastAsia="ro-RO"/>
        </w:rPr>
        <w:t>elaborat</w:t>
      </w:r>
      <w:proofErr w:type="spellEnd"/>
      <w:r w:rsidRPr="0099168D">
        <w:rPr>
          <w:sz w:val="22"/>
          <w:szCs w:val="22"/>
          <w:lang w:eastAsia="ro-RO"/>
        </w:rPr>
        <w:t xml:space="preserve"> </w:t>
      </w:r>
      <w:proofErr w:type="spellStart"/>
      <w:r w:rsidRPr="0099168D">
        <w:rPr>
          <w:sz w:val="22"/>
          <w:szCs w:val="22"/>
          <w:lang w:eastAsia="ro-RO"/>
        </w:rPr>
        <w:t>prezentul</w:t>
      </w:r>
      <w:proofErr w:type="spellEnd"/>
      <w:r w:rsidRPr="0099168D">
        <w:rPr>
          <w:sz w:val="22"/>
          <w:szCs w:val="22"/>
          <w:lang w:eastAsia="ro-RO"/>
        </w:rPr>
        <w:t xml:space="preserve"> </w:t>
      </w:r>
      <w:proofErr w:type="spellStart"/>
      <w:r w:rsidRPr="0099168D">
        <w:rPr>
          <w:sz w:val="22"/>
          <w:szCs w:val="22"/>
          <w:lang w:eastAsia="ro-RO"/>
        </w:rPr>
        <w:t>proiect</w:t>
      </w:r>
      <w:proofErr w:type="spellEnd"/>
      <w:r w:rsidRPr="0099168D">
        <w:rPr>
          <w:bCs/>
          <w:sz w:val="22"/>
          <w:szCs w:val="22"/>
          <w:lang w:eastAsia="ro-RO"/>
        </w:rPr>
        <w:t xml:space="preserve"> de </w:t>
      </w:r>
      <w:proofErr w:type="spellStart"/>
      <w:r w:rsidRPr="0099168D">
        <w:rPr>
          <w:bCs/>
          <w:sz w:val="22"/>
          <w:szCs w:val="22"/>
          <w:lang w:eastAsia="ro-RO"/>
        </w:rPr>
        <w:t>Hotărâre</w:t>
      </w:r>
      <w:proofErr w:type="spellEnd"/>
      <w:r w:rsidRPr="0099168D">
        <w:rPr>
          <w:bCs/>
          <w:sz w:val="22"/>
          <w:szCs w:val="22"/>
          <w:lang w:eastAsia="ro-RO"/>
        </w:rPr>
        <w:t xml:space="preserve"> a </w:t>
      </w:r>
      <w:proofErr w:type="spellStart"/>
      <w:r w:rsidRPr="0099168D">
        <w:rPr>
          <w:bCs/>
          <w:sz w:val="22"/>
          <w:szCs w:val="22"/>
          <w:lang w:eastAsia="ro-RO"/>
        </w:rPr>
        <w:t>Guvernului</w:t>
      </w:r>
      <w:proofErr w:type="spellEnd"/>
      <w:r w:rsidRPr="0099168D">
        <w:rPr>
          <w:bCs/>
          <w:sz w:val="22"/>
          <w:szCs w:val="22"/>
          <w:lang w:eastAsia="ro-RO"/>
        </w:rPr>
        <w:t xml:space="preserve"> </w:t>
      </w:r>
      <w:proofErr w:type="spellStart"/>
      <w:r w:rsidRPr="0099168D">
        <w:rPr>
          <w:sz w:val="22"/>
          <w:szCs w:val="22"/>
        </w:rPr>
        <w:t>pentru</w:t>
      </w:r>
      <w:proofErr w:type="spellEnd"/>
      <w:r w:rsidRPr="0099168D">
        <w:rPr>
          <w:sz w:val="22"/>
          <w:szCs w:val="22"/>
        </w:rPr>
        <w:t xml:space="preserve"> </w:t>
      </w:r>
      <w:proofErr w:type="spellStart"/>
      <w:r w:rsidRPr="0099168D">
        <w:rPr>
          <w:sz w:val="22"/>
          <w:szCs w:val="22"/>
        </w:rPr>
        <w:t>modificarea</w:t>
      </w:r>
      <w:proofErr w:type="spellEnd"/>
      <w:r w:rsidRPr="0099168D">
        <w:rPr>
          <w:sz w:val="22"/>
          <w:szCs w:val="22"/>
        </w:rPr>
        <w:t xml:space="preserve"> </w:t>
      </w:r>
      <w:proofErr w:type="spellStart"/>
      <w:r w:rsidRPr="0099168D">
        <w:rPr>
          <w:sz w:val="22"/>
          <w:szCs w:val="22"/>
        </w:rPr>
        <w:t>Anexei</w:t>
      </w:r>
      <w:proofErr w:type="spellEnd"/>
      <w:r w:rsidRPr="0099168D">
        <w:rPr>
          <w:sz w:val="22"/>
          <w:szCs w:val="22"/>
        </w:rPr>
        <w:t xml:space="preserve"> nr. 2 la </w:t>
      </w:r>
      <w:proofErr w:type="spellStart"/>
      <w:r w:rsidRPr="0099168D">
        <w:rPr>
          <w:sz w:val="22"/>
          <w:szCs w:val="22"/>
        </w:rPr>
        <w:t>Hotărârea</w:t>
      </w:r>
      <w:proofErr w:type="spellEnd"/>
      <w:r w:rsidRPr="0099168D">
        <w:rPr>
          <w:sz w:val="22"/>
          <w:szCs w:val="22"/>
        </w:rPr>
        <w:t xml:space="preserve"> </w:t>
      </w:r>
      <w:proofErr w:type="spellStart"/>
      <w:r w:rsidRPr="0099168D">
        <w:rPr>
          <w:sz w:val="22"/>
          <w:szCs w:val="22"/>
        </w:rPr>
        <w:t>Guvernului</w:t>
      </w:r>
      <w:proofErr w:type="spellEnd"/>
      <w:r w:rsidRPr="0099168D">
        <w:rPr>
          <w:sz w:val="22"/>
          <w:szCs w:val="22"/>
        </w:rPr>
        <w:t xml:space="preserve"> nr. 652/2009 </w:t>
      </w:r>
      <w:proofErr w:type="spellStart"/>
      <w:r w:rsidRPr="0099168D">
        <w:rPr>
          <w:sz w:val="22"/>
          <w:szCs w:val="22"/>
        </w:rPr>
        <w:t>privind</w:t>
      </w:r>
      <w:proofErr w:type="spellEnd"/>
      <w:r w:rsidRPr="0099168D">
        <w:rPr>
          <w:sz w:val="22"/>
          <w:szCs w:val="22"/>
        </w:rPr>
        <w:t xml:space="preserve"> </w:t>
      </w:r>
      <w:proofErr w:type="spellStart"/>
      <w:r w:rsidRPr="0099168D">
        <w:rPr>
          <w:sz w:val="22"/>
          <w:szCs w:val="22"/>
        </w:rPr>
        <w:t>organizarea</w:t>
      </w:r>
      <w:proofErr w:type="spellEnd"/>
      <w:r w:rsidRPr="0099168D">
        <w:rPr>
          <w:sz w:val="22"/>
          <w:szCs w:val="22"/>
        </w:rPr>
        <w:t xml:space="preserve"> </w:t>
      </w:r>
      <w:proofErr w:type="spellStart"/>
      <w:r w:rsidRPr="0099168D">
        <w:rPr>
          <w:sz w:val="22"/>
          <w:szCs w:val="22"/>
        </w:rPr>
        <w:t>şi</w:t>
      </w:r>
      <w:proofErr w:type="spellEnd"/>
      <w:r w:rsidRPr="0099168D">
        <w:rPr>
          <w:sz w:val="22"/>
          <w:szCs w:val="22"/>
        </w:rPr>
        <w:t xml:space="preserve"> </w:t>
      </w:r>
      <w:proofErr w:type="spellStart"/>
      <w:r w:rsidRPr="0099168D">
        <w:rPr>
          <w:sz w:val="22"/>
          <w:szCs w:val="22"/>
        </w:rPr>
        <w:t>funcţionarea</w:t>
      </w:r>
      <w:proofErr w:type="spellEnd"/>
      <w:r w:rsidRPr="0099168D">
        <w:rPr>
          <w:sz w:val="22"/>
          <w:szCs w:val="22"/>
        </w:rPr>
        <w:t xml:space="preserve"> </w:t>
      </w:r>
      <w:proofErr w:type="spellStart"/>
      <w:r w:rsidRPr="0099168D">
        <w:rPr>
          <w:sz w:val="22"/>
          <w:szCs w:val="22"/>
        </w:rPr>
        <w:t>Ministerului</w:t>
      </w:r>
      <w:proofErr w:type="spellEnd"/>
      <w:r w:rsidRPr="0099168D">
        <w:rPr>
          <w:sz w:val="22"/>
          <w:szCs w:val="22"/>
        </w:rPr>
        <w:t xml:space="preserve"> </w:t>
      </w:r>
      <w:proofErr w:type="spellStart"/>
      <w:r w:rsidRPr="0099168D">
        <w:rPr>
          <w:sz w:val="22"/>
          <w:szCs w:val="22"/>
        </w:rPr>
        <w:t>Justiţiei</w:t>
      </w:r>
      <w:proofErr w:type="spellEnd"/>
      <w:r w:rsidRPr="0099168D">
        <w:rPr>
          <w:sz w:val="22"/>
          <w:szCs w:val="22"/>
          <w:lang w:eastAsia="ro-RO"/>
        </w:rPr>
        <w:t xml:space="preserve">, pe care </w:t>
      </w:r>
      <w:proofErr w:type="spellStart"/>
      <w:r w:rsidRPr="0099168D">
        <w:rPr>
          <w:sz w:val="22"/>
          <w:szCs w:val="22"/>
          <w:lang w:eastAsia="ro-RO"/>
        </w:rPr>
        <w:t>îl</w:t>
      </w:r>
      <w:proofErr w:type="spellEnd"/>
      <w:r w:rsidRPr="0099168D">
        <w:rPr>
          <w:sz w:val="22"/>
          <w:szCs w:val="22"/>
          <w:lang w:eastAsia="ro-RO"/>
        </w:rPr>
        <w:t xml:space="preserve"> </w:t>
      </w:r>
      <w:proofErr w:type="spellStart"/>
      <w:r w:rsidRPr="0099168D">
        <w:rPr>
          <w:sz w:val="22"/>
          <w:szCs w:val="22"/>
          <w:lang w:eastAsia="ro-RO"/>
        </w:rPr>
        <w:t>supunem</w:t>
      </w:r>
      <w:proofErr w:type="spellEnd"/>
      <w:r w:rsidRPr="0099168D">
        <w:rPr>
          <w:sz w:val="22"/>
          <w:szCs w:val="22"/>
          <w:lang w:eastAsia="ro-RO"/>
        </w:rPr>
        <w:t xml:space="preserve"> </w:t>
      </w:r>
      <w:proofErr w:type="spellStart"/>
      <w:r w:rsidRPr="0099168D">
        <w:rPr>
          <w:sz w:val="22"/>
          <w:szCs w:val="22"/>
          <w:lang w:eastAsia="ro-RO"/>
        </w:rPr>
        <w:t>Guvernului</w:t>
      </w:r>
      <w:proofErr w:type="spellEnd"/>
      <w:r w:rsidRPr="0099168D">
        <w:rPr>
          <w:sz w:val="22"/>
          <w:szCs w:val="22"/>
          <w:lang w:eastAsia="ro-RO"/>
        </w:rPr>
        <w:t xml:space="preserve"> </w:t>
      </w:r>
      <w:proofErr w:type="spellStart"/>
      <w:r w:rsidRPr="0099168D">
        <w:rPr>
          <w:sz w:val="22"/>
          <w:szCs w:val="22"/>
          <w:lang w:eastAsia="ro-RO"/>
        </w:rPr>
        <w:t>spre</w:t>
      </w:r>
      <w:proofErr w:type="spellEnd"/>
      <w:r w:rsidRPr="0099168D">
        <w:rPr>
          <w:sz w:val="22"/>
          <w:szCs w:val="22"/>
          <w:lang w:eastAsia="ro-RO"/>
        </w:rPr>
        <w:t xml:space="preserve"> </w:t>
      </w:r>
      <w:proofErr w:type="spellStart"/>
      <w:r w:rsidRPr="0099168D">
        <w:rPr>
          <w:sz w:val="22"/>
          <w:szCs w:val="22"/>
          <w:lang w:eastAsia="ro-RO"/>
        </w:rPr>
        <w:t>adoptare</w:t>
      </w:r>
      <w:proofErr w:type="spellEnd"/>
      <w:r w:rsidRPr="0099168D">
        <w:rPr>
          <w:sz w:val="22"/>
          <w:szCs w:val="22"/>
          <w:lang w:eastAsia="ro-RO"/>
        </w:rPr>
        <w:t>.</w:t>
      </w:r>
    </w:p>
    <w:p w14:paraId="26295087" w14:textId="77777777" w:rsidR="009B0756" w:rsidRDefault="009B0756" w:rsidP="009B0756">
      <w:pPr>
        <w:pStyle w:val="MediumGrid21"/>
        <w:ind w:left="-1276"/>
        <w:jc w:val="both"/>
        <w:rPr>
          <w:sz w:val="22"/>
          <w:szCs w:val="22"/>
          <w:lang w:eastAsia="ro-RO"/>
        </w:rPr>
      </w:pPr>
    </w:p>
    <w:p w14:paraId="6FA96B1E" w14:textId="77777777" w:rsidR="009B0756" w:rsidRDefault="00C94EEA" w:rsidP="009B0756">
      <w:pPr>
        <w:pStyle w:val="MediumGrid21"/>
        <w:ind w:left="-1276"/>
        <w:jc w:val="center"/>
        <w:rPr>
          <w:b/>
          <w:sz w:val="22"/>
          <w:szCs w:val="22"/>
        </w:rPr>
      </w:pPr>
      <w:proofErr w:type="spellStart"/>
      <w:r w:rsidRPr="0099168D">
        <w:rPr>
          <w:b/>
          <w:sz w:val="22"/>
          <w:szCs w:val="22"/>
        </w:rPr>
        <w:t>Ministrul</w:t>
      </w:r>
      <w:proofErr w:type="spellEnd"/>
      <w:r w:rsidRPr="0099168D">
        <w:rPr>
          <w:b/>
          <w:sz w:val="22"/>
          <w:szCs w:val="22"/>
        </w:rPr>
        <w:t xml:space="preserve"> </w:t>
      </w:r>
      <w:proofErr w:type="spellStart"/>
      <w:r w:rsidRPr="0099168D">
        <w:rPr>
          <w:b/>
          <w:sz w:val="22"/>
          <w:szCs w:val="22"/>
        </w:rPr>
        <w:t>Justiției</w:t>
      </w:r>
      <w:proofErr w:type="spellEnd"/>
    </w:p>
    <w:p w14:paraId="1A031D3E" w14:textId="77777777" w:rsidR="009B0756" w:rsidRDefault="009B0756" w:rsidP="009B0756">
      <w:pPr>
        <w:pStyle w:val="MediumGrid21"/>
        <w:ind w:left="-1276"/>
        <w:jc w:val="center"/>
        <w:rPr>
          <w:b/>
          <w:sz w:val="22"/>
          <w:szCs w:val="22"/>
        </w:rPr>
      </w:pPr>
    </w:p>
    <w:p w14:paraId="69CDE2F6" w14:textId="076CF351" w:rsidR="009B0756" w:rsidRDefault="009159E1" w:rsidP="009B0756">
      <w:pPr>
        <w:pStyle w:val="MediumGrid21"/>
        <w:ind w:left="-1276"/>
        <w:jc w:val="center"/>
        <w:rPr>
          <w:b/>
          <w:sz w:val="22"/>
          <w:szCs w:val="22"/>
        </w:rPr>
      </w:pPr>
      <w:proofErr w:type="spellStart"/>
      <w:r w:rsidRPr="0099168D">
        <w:rPr>
          <w:b/>
          <w:sz w:val="22"/>
          <w:szCs w:val="22"/>
        </w:rPr>
        <w:t>Stelian</w:t>
      </w:r>
      <w:proofErr w:type="spellEnd"/>
      <w:r w:rsidRPr="0099168D">
        <w:rPr>
          <w:b/>
          <w:sz w:val="22"/>
          <w:szCs w:val="22"/>
        </w:rPr>
        <w:t>-Cristian ION</w:t>
      </w:r>
    </w:p>
    <w:p w14:paraId="79BF186E" w14:textId="77777777" w:rsidR="00F549E7" w:rsidRDefault="00F549E7" w:rsidP="009B0756">
      <w:pPr>
        <w:pStyle w:val="MediumGrid21"/>
        <w:ind w:left="-1276"/>
        <w:jc w:val="center"/>
        <w:rPr>
          <w:b/>
          <w:sz w:val="22"/>
          <w:szCs w:val="22"/>
        </w:rPr>
      </w:pPr>
    </w:p>
    <w:p w14:paraId="048590F8" w14:textId="77777777" w:rsidR="009B0756" w:rsidRDefault="009B0756" w:rsidP="009B0756">
      <w:pPr>
        <w:pStyle w:val="MediumGrid21"/>
        <w:ind w:left="-1276"/>
        <w:jc w:val="center"/>
        <w:rPr>
          <w:b/>
          <w:sz w:val="22"/>
          <w:szCs w:val="22"/>
        </w:rPr>
      </w:pPr>
    </w:p>
    <w:p w14:paraId="31685486" w14:textId="77777777" w:rsidR="009B0756" w:rsidRDefault="00C94EEA" w:rsidP="009B0756">
      <w:pPr>
        <w:pStyle w:val="MediumGrid21"/>
        <w:ind w:left="-1276"/>
        <w:jc w:val="center"/>
        <w:rPr>
          <w:b/>
          <w:sz w:val="22"/>
          <w:szCs w:val="22"/>
        </w:rPr>
      </w:pPr>
      <w:r w:rsidRPr="0099168D">
        <w:rPr>
          <w:b/>
          <w:sz w:val="22"/>
          <w:szCs w:val="22"/>
        </w:rPr>
        <w:t>AVIZĂM FAVORABIL</w:t>
      </w:r>
      <w:r w:rsidR="004C76F9" w:rsidRPr="0099168D">
        <w:rPr>
          <w:b/>
          <w:sz w:val="22"/>
          <w:szCs w:val="22"/>
        </w:rPr>
        <w:t>:</w:t>
      </w:r>
    </w:p>
    <w:p w14:paraId="39E68992" w14:textId="77777777" w:rsidR="009B0756" w:rsidRDefault="009B0756" w:rsidP="009B0756">
      <w:pPr>
        <w:pStyle w:val="MediumGrid21"/>
        <w:ind w:left="-1276"/>
        <w:jc w:val="center"/>
        <w:rPr>
          <w:b/>
          <w:sz w:val="22"/>
          <w:szCs w:val="22"/>
        </w:rPr>
      </w:pPr>
    </w:p>
    <w:p w14:paraId="13172B79" w14:textId="77777777" w:rsidR="009B0756" w:rsidRDefault="009B0756" w:rsidP="009B0756">
      <w:pPr>
        <w:pStyle w:val="MediumGrid21"/>
        <w:ind w:left="-1276"/>
        <w:jc w:val="center"/>
        <w:rPr>
          <w:b/>
          <w:sz w:val="22"/>
          <w:szCs w:val="22"/>
        </w:rPr>
      </w:pPr>
    </w:p>
    <w:p w14:paraId="5900B769" w14:textId="77777777" w:rsidR="009B0756" w:rsidRDefault="00923368" w:rsidP="009B0756">
      <w:pPr>
        <w:pStyle w:val="MediumGrid21"/>
        <w:ind w:left="-1276"/>
        <w:jc w:val="center"/>
        <w:rPr>
          <w:b/>
          <w:sz w:val="22"/>
          <w:szCs w:val="22"/>
        </w:rPr>
      </w:pPr>
      <w:proofErr w:type="spellStart"/>
      <w:r w:rsidRPr="0099168D">
        <w:rPr>
          <w:b/>
          <w:sz w:val="22"/>
          <w:szCs w:val="22"/>
        </w:rPr>
        <w:t>Viceprim-ministru</w:t>
      </w:r>
      <w:proofErr w:type="spellEnd"/>
    </w:p>
    <w:p w14:paraId="5C3869D9" w14:textId="77777777" w:rsidR="009B0756" w:rsidRDefault="009B0756" w:rsidP="009B0756">
      <w:pPr>
        <w:pStyle w:val="MediumGrid21"/>
        <w:ind w:left="-1276"/>
        <w:jc w:val="center"/>
        <w:rPr>
          <w:b/>
          <w:sz w:val="22"/>
          <w:szCs w:val="22"/>
        </w:rPr>
      </w:pPr>
    </w:p>
    <w:p w14:paraId="7B41926E" w14:textId="77777777" w:rsidR="009B0756" w:rsidRDefault="009B0756" w:rsidP="009B0756">
      <w:pPr>
        <w:pStyle w:val="MediumGrid21"/>
        <w:ind w:left="-1276"/>
        <w:jc w:val="center"/>
        <w:rPr>
          <w:b/>
          <w:sz w:val="22"/>
          <w:szCs w:val="22"/>
        </w:rPr>
      </w:pPr>
    </w:p>
    <w:p w14:paraId="7AEB8F54" w14:textId="77777777" w:rsidR="009B0756" w:rsidRDefault="009B0756" w:rsidP="009B0756">
      <w:pPr>
        <w:pStyle w:val="MediumGrid21"/>
        <w:ind w:left="-1276"/>
        <w:jc w:val="center"/>
        <w:rPr>
          <w:b/>
          <w:sz w:val="22"/>
          <w:szCs w:val="22"/>
        </w:rPr>
      </w:pPr>
    </w:p>
    <w:p w14:paraId="2063F4D1" w14:textId="0B891CFA" w:rsidR="00923368" w:rsidRPr="009B0756" w:rsidRDefault="00923368" w:rsidP="009B0756">
      <w:pPr>
        <w:pStyle w:val="MediumGrid21"/>
        <w:ind w:left="-1276"/>
        <w:jc w:val="center"/>
        <w:rPr>
          <w:bCs/>
          <w:sz w:val="22"/>
          <w:szCs w:val="22"/>
          <w:lang w:eastAsia="ro-RO"/>
        </w:rPr>
      </w:pPr>
      <w:proofErr w:type="spellStart"/>
      <w:r w:rsidRPr="0099168D">
        <w:rPr>
          <w:b/>
          <w:sz w:val="22"/>
          <w:szCs w:val="22"/>
        </w:rPr>
        <w:t>Ilie</w:t>
      </w:r>
      <w:proofErr w:type="spellEnd"/>
      <w:r w:rsidRPr="0099168D">
        <w:rPr>
          <w:b/>
          <w:sz w:val="22"/>
          <w:szCs w:val="22"/>
        </w:rPr>
        <w:t>-Dan BARNA</w:t>
      </w:r>
    </w:p>
    <w:p w14:paraId="0A33F871" w14:textId="77777777" w:rsidR="00A728B1" w:rsidRPr="0099168D" w:rsidRDefault="00A728B1" w:rsidP="0099168D">
      <w:pPr>
        <w:ind w:left="0"/>
        <w:jc w:val="center"/>
        <w:rPr>
          <w:b/>
        </w:rPr>
      </w:pPr>
    </w:p>
    <w:p w14:paraId="66D5D1D6" w14:textId="77777777" w:rsidR="00A728B1" w:rsidRPr="0099168D" w:rsidRDefault="00A728B1" w:rsidP="0099168D">
      <w:pPr>
        <w:ind w:left="142"/>
        <w:jc w:val="center"/>
        <w:rPr>
          <w:b/>
        </w:rPr>
      </w:pPr>
    </w:p>
    <w:tbl>
      <w:tblPr>
        <w:tblStyle w:val="TableGrid"/>
        <w:tblW w:w="0" w:type="auto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6"/>
        <w:gridCol w:w="4399"/>
      </w:tblGrid>
      <w:tr w:rsidR="00A728B1" w:rsidRPr="0099168D" w14:paraId="7B7ACF5A" w14:textId="77777777" w:rsidTr="00A728B1">
        <w:tc>
          <w:tcPr>
            <w:tcW w:w="5666" w:type="dxa"/>
          </w:tcPr>
          <w:p w14:paraId="197552FF" w14:textId="77777777" w:rsidR="00A728B1" w:rsidRPr="0099168D" w:rsidRDefault="00A728B1" w:rsidP="0099168D">
            <w:pPr>
              <w:ind w:left="0"/>
              <w:jc w:val="center"/>
              <w:rPr>
                <w:b/>
              </w:rPr>
            </w:pPr>
            <w:r w:rsidRPr="0099168D">
              <w:rPr>
                <w:b/>
              </w:rPr>
              <w:t>Ministrul Muncii și Protecției  Sociale</w:t>
            </w:r>
          </w:p>
          <w:p w14:paraId="44FDB46A" w14:textId="77777777" w:rsidR="00A728B1" w:rsidRPr="0099168D" w:rsidRDefault="00A728B1" w:rsidP="0099168D">
            <w:pPr>
              <w:ind w:left="0"/>
              <w:jc w:val="center"/>
              <w:rPr>
                <w:b/>
              </w:rPr>
            </w:pPr>
          </w:p>
          <w:p w14:paraId="797A0D93" w14:textId="77777777" w:rsidR="00A728B1" w:rsidRPr="0099168D" w:rsidRDefault="00A728B1" w:rsidP="0099168D">
            <w:pPr>
              <w:ind w:left="0"/>
              <w:jc w:val="center"/>
              <w:rPr>
                <w:b/>
              </w:rPr>
            </w:pPr>
            <w:r w:rsidRPr="0099168D">
              <w:rPr>
                <w:b/>
              </w:rPr>
              <w:t>Raluca TURCAN</w:t>
            </w:r>
          </w:p>
          <w:p w14:paraId="14B17CAC" w14:textId="4576CBED" w:rsidR="00A728B1" w:rsidRPr="0099168D" w:rsidRDefault="00A728B1" w:rsidP="0099168D">
            <w:pPr>
              <w:ind w:left="0"/>
              <w:jc w:val="center"/>
              <w:rPr>
                <w:b/>
              </w:rPr>
            </w:pPr>
          </w:p>
        </w:tc>
        <w:tc>
          <w:tcPr>
            <w:tcW w:w="4399" w:type="dxa"/>
          </w:tcPr>
          <w:p w14:paraId="31D104AC" w14:textId="7031EBAC" w:rsidR="00A728B1" w:rsidRPr="0099168D" w:rsidRDefault="00A728B1" w:rsidP="0099168D">
            <w:pPr>
              <w:ind w:left="0"/>
              <w:jc w:val="center"/>
              <w:rPr>
                <w:b/>
              </w:rPr>
            </w:pPr>
            <w:r w:rsidRPr="0099168D">
              <w:rPr>
                <w:b/>
              </w:rPr>
              <w:t>Ministrul Finanțelor</w:t>
            </w:r>
          </w:p>
          <w:p w14:paraId="3AAD01BE" w14:textId="77777777" w:rsidR="00A728B1" w:rsidRPr="0099168D" w:rsidRDefault="00A728B1" w:rsidP="0099168D">
            <w:pPr>
              <w:ind w:left="-851"/>
              <w:jc w:val="center"/>
              <w:rPr>
                <w:b/>
              </w:rPr>
            </w:pPr>
          </w:p>
          <w:p w14:paraId="0BEF98F7" w14:textId="77777777" w:rsidR="00A728B1" w:rsidRPr="0099168D" w:rsidRDefault="00A728B1" w:rsidP="0099168D">
            <w:pPr>
              <w:ind w:left="142"/>
              <w:jc w:val="center"/>
              <w:rPr>
                <w:b/>
              </w:rPr>
            </w:pPr>
            <w:r w:rsidRPr="0099168D">
              <w:rPr>
                <w:b/>
              </w:rPr>
              <w:t>Alexandru NAZARE</w:t>
            </w:r>
          </w:p>
          <w:p w14:paraId="78088F9F" w14:textId="7649E553" w:rsidR="00A728B1" w:rsidRPr="0099168D" w:rsidRDefault="00A728B1" w:rsidP="0099168D">
            <w:pPr>
              <w:ind w:left="142"/>
              <w:jc w:val="center"/>
              <w:rPr>
                <w:b/>
              </w:rPr>
            </w:pPr>
          </w:p>
        </w:tc>
      </w:tr>
    </w:tbl>
    <w:p w14:paraId="7ABD0834" w14:textId="77777777" w:rsidR="00A728B1" w:rsidRPr="0099168D" w:rsidRDefault="00A728B1">
      <w:pPr>
        <w:ind w:left="142"/>
        <w:jc w:val="center"/>
        <w:rPr>
          <w:b/>
        </w:rPr>
      </w:pPr>
    </w:p>
    <w:sectPr w:rsidR="00A728B1" w:rsidRPr="0099168D" w:rsidSect="00F51808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851" w:right="567" w:bottom="1135" w:left="2268" w:header="56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380F1" w14:textId="77777777" w:rsidR="001D6833" w:rsidRDefault="001D6833" w:rsidP="00CD5B3B">
      <w:r>
        <w:separator/>
      </w:r>
    </w:p>
  </w:endnote>
  <w:endnote w:type="continuationSeparator" w:id="0">
    <w:p w14:paraId="7AD94501" w14:textId="77777777" w:rsidR="001D6833" w:rsidRDefault="001D6833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52655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E854D" w14:textId="77777777" w:rsidR="00296ED0" w:rsidRDefault="00296E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9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4CA334" w14:textId="77777777" w:rsidR="0053713A" w:rsidRPr="007E7D11" w:rsidRDefault="0053713A" w:rsidP="00E80D5E">
    <w:pPr>
      <w:pStyle w:val="Footer"/>
      <w:ind w:left="0"/>
      <w:rPr>
        <w:sz w:val="2"/>
        <w:szCs w:val="2"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89435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A3758A" w14:textId="77777777" w:rsidR="00614922" w:rsidRDefault="006149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9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E108C0" w14:textId="77777777" w:rsidR="0053713A" w:rsidRPr="007E7D11" w:rsidRDefault="0053713A" w:rsidP="00036CF6">
    <w:pPr>
      <w:pStyle w:val="Footer"/>
      <w:ind w:left="0"/>
      <w:rPr>
        <w:sz w:val="2"/>
        <w:szCs w:val="2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3FEEC" w14:textId="77777777" w:rsidR="001D6833" w:rsidRDefault="001D6833" w:rsidP="00871565">
      <w:pPr>
        <w:spacing w:after="0"/>
        <w:ind w:left="0"/>
      </w:pPr>
      <w:r>
        <w:separator/>
      </w:r>
    </w:p>
  </w:footnote>
  <w:footnote w:type="continuationSeparator" w:id="0">
    <w:p w14:paraId="1D5AED20" w14:textId="77777777" w:rsidR="001D6833" w:rsidRDefault="001D6833" w:rsidP="00871565">
      <w:pPr>
        <w:ind w:left="0"/>
      </w:pPr>
      <w:r>
        <w:continuationSeparator/>
      </w:r>
    </w:p>
  </w:footnote>
  <w:footnote w:type="continuationNotice" w:id="1">
    <w:p w14:paraId="0D014853" w14:textId="77777777" w:rsidR="001D6833" w:rsidRDefault="001D6833" w:rsidP="00871565">
      <w:pPr>
        <w:spacing w:after="0" w:line="240" w:lineRule="auto"/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0B292" w14:textId="77777777" w:rsidR="0053713A" w:rsidRDefault="0053713A" w:rsidP="008A4458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111"/>
    </w:tblGrid>
    <w:tr w:rsidR="0053713A" w14:paraId="070DE8CD" w14:textId="77777777" w:rsidTr="008A4458">
      <w:tc>
        <w:tcPr>
          <w:tcW w:w="6804" w:type="dxa"/>
          <w:shd w:val="clear" w:color="auto" w:fill="auto"/>
        </w:tcPr>
        <w:p w14:paraId="5718DFE1" w14:textId="77777777" w:rsidR="0053713A" w:rsidRPr="00CD5B3B" w:rsidRDefault="0053713A" w:rsidP="00C20EF1">
          <w:pPr>
            <w:pStyle w:val="MediumGrid21"/>
          </w:pPr>
        </w:p>
      </w:tc>
      <w:tc>
        <w:tcPr>
          <w:tcW w:w="4111" w:type="dxa"/>
          <w:shd w:val="clear" w:color="auto" w:fill="auto"/>
          <w:vAlign w:val="center"/>
        </w:tcPr>
        <w:p w14:paraId="7051A403" w14:textId="77777777" w:rsidR="0053713A" w:rsidRDefault="0053713A" w:rsidP="00E562FC">
          <w:pPr>
            <w:pStyle w:val="MediumGrid21"/>
            <w:jc w:val="right"/>
          </w:pPr>
        </w:p>
      </w:tc>
    </w:tr>
  </w:tbl>
  <w:p w14:paraId="3BA8AE8E" w14:textId="77777777" w:rsidR="0053713A" w:rsidRPr="007E7D11" w:rsidRDefault="0053713A" w:rsidP="002B2D08">
    <w:pPr>
      <w:pStyle w:val="Header"/>
      <w:spacing w:after="0"/>
      <w:ind w:left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0ECC"/>
    <w:multiLevelType w:val="hybridMultilevel"/>
    <w:tmpl w:val="55E22440"/>
    <w:lvl w:ilvl="0" w:tplc="36329630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078E8"/>
    <w:multiLevelType w:val="hybridMultilevel"/>
    <w:tmpl w:val="89B2076C"/>
    <w:lvl w:ilvl="0" w:tplc="34B8F9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82F21"/>
    <w:multiLevelType w:val="hybridMultilevel"/>
    <w:tmpl w:val="004829D4"/>
    <w:lvl w:ilvl="0" w:tplc="EFAC4B9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156B"/>
    <w:multiLevelType w:val="hybridMultilevel"/>
    <w:tmpl w:val="FD508400"/>
    <w:lvl w:ilvl="0" w:tplc="93DCF6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01613"/>
    <w:multiLevelType w:val="hybridMultilevel"/>
    <w:tmpl w:val="6152011A"/>
    <w:lvl w:ilvl="0" w:tplc="9104C258">
      <w:numFmt w:val="bullet"/>
      <w:lvlText w:val="-"/>
      <w:lvlJc w:val="left"/>
      <w:pPr>
        <w:ind w:left="108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F6597D"/>
    <w:multiLevelType w:val="hybridMultilevel"/>
    <w:tmpl w:val="627ED5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23BF5"/>
    <w:multiLevelType w:val="hybridMultilevel"/>
    <w:tmpl w:val="F07674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F5966"/>
    <w:multiLevelType w:val="hybridMultilevel"/>
    <w:tmpl w:val="B470A9F4"/>
    <w:lvl w:ilvl="0" w:tplc="A9D850C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728C5"/>
    <w:multiLevelType w:val="hybridMultilevel"/>
    <w:tmpl w:val="FE9686D4"/>
    <w:lvl w:ilvl="0" w:tplc="A9D850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92BA9"/>
    <w:multiLevelType w:val="hybridMultilevel"/>
    <w:tmpl w:val="532E633A"/>
    <w:lvl w:ilvl="0" w:tplc="A9D850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440AC"/>
    <w:multiLevelType w:val="hybridMultilevel"/>
    <w:tmpl w:val="5CF2366E"/>
    <w:lvl w:ilvl="0" w:tplc="63CE323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C324C"/>
    <w:multiLevelType w:val="hybridMultilevel"/>
    <w:tmpl w:val="D3FAD4AC"/>
    <w:lvl w:ilvl="0" w:tplc="D208381E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74F8EB22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3556D"/>
    <w:multiLevelType w:val="hybridMultilevel"/>
    <w:tmpl w:val="E97238DE"/>
    <w:lvl w:ilvl="0" w:tplc="E3C0FE64">
      <w:start w:val="3"/>
      <w:numFmt w:val="bullet"/>
      <w:lvlText w:val="-"/>
      <w:lvlJc w:val="left"/>
      <w:pPr>
        <w:ind w:left="429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3" w15:restartNumberingAfterBreak="0">
    <w:nsid w:val="52FB1DF5"/>
    <w:multiLevelType w:val="hybridMultilevel"/>
    <w:tmpl w:val="3FF2757C"/>
    <w:lvl w:ilvl="0" w:tplc="9E12B1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0173D"/>
    <w:multiLevelType w:val="hybridMultilevel"/>
    <w:tmpl w:val="0AC8F4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05C78"/>
    <w:multiLevelType w:val="hybridMultilevel"/>
    <w:tmpl w:val="0636C794"/>
    <w:lvl w:ilvl="0" w:tplc="2A181E58">
      <w:start w:val="1"/>
      <w:numFmt w:val="upperRoman"/>
      <w:lvlText w:val="%1."/>
      <w:lvlJc w:val="left"/>
      <w:pPr>
        <w:ind w:left="360" w:hanging="360"/>
      </w:pPr>
      <w:rPr>
        <w:rFonts w:ascii="Trebuchet MS" w:eastAsia="MS Mincho" w:hAnsi="Trebuchet MS" w:cs="Times New Roman"/>
        <w:b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7202B8"/>
    <w:multiLevelType w:val="hybridMultilevel"/>
    <w:tmpl w:val="E4AE670E"/>
    <w:lvl w:ilvl="0" w:tplc="A9D850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35AA0"/>
    <w:multiLevelType w:val="hybridMultilevel"/>
    <w:tmpl w:val="142E862C"/>
    <w:lvl w:ilvl="0" w:tplc="D6F63B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2A3F37"/>
    <w:multiLevelType w:val="hybridMultilevel"/>
    <w:tmpl w:val="508EE938"/>
    <w:lvl w:ilvl="0" w:tplc="66880586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5"/>
  </w:num>
  <w:num w:numId="5">
    <w:abstractNumId w:val="2"/>
  </w:num>
  <w:num w:numId="6">
    <w:abstractNumId w:val="14"/>
  </w:num>
  <w:num w:numId="7">
    <w:abstractNumId w:val="0"/>
  </w:num>
  <w:num w:numId="8">
    <w:abstractNumId w:val="17"/>
  </w:num>
  <w:num w:numId="9">
    <w:abstractNumId w:val="11"/>
  </w:num>
  <w:num w:numId="10">
    <w:abstractNumId w:val="3"/>
  </w:num>
  <w:num w:numId="11">
    <w:abstractNumId w:val="1"/>
  </w:num>
  <w:num w:numId="12">
    <w:abstractNumId w:val="13"/>
  </w:num>
  <w:num w:numId="13">
    <w:abstractNumId w:val="4"/>
  </w:num>
  <w:num w:numId="14">
    <w:abstractNumId w:val="9"/>
  </w:num>
  <w:num w:numId="15">
    <w:abstractNumId w:val="16"/>
  </w:num>
  <w:num w:numId="16">
    <w:abstractNumId w:val="7"/>
  </w:num>
  <w:num w:numId="17">
    <w:abstractNumId w:val="18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2C"/>
    <w:rsid w:val="00000F3A"/>
    <w:rsid w:val="00001360"/>
    <w:rsid w:val="000024D7"/>
    <w:rsid w:val="00002BB0"/>
    <w:rsid w:val="000105DA"/>
    <w:rsid w:val="00015DBD"/>
    <w:rsid w:val="00021B19"/>
    <w:rsid w:val="0002256C"/>
    <w:rsid w:val="00023330"/>
    <w:rsid w:val="00027713"/>
    <w:rsid w:val="0003110F"/>
    <w:rsid w:val="00034EE3"/>
    <w:rsid w:val="00035BFB"/>
    <w:rsid w:val="000369B5"/>
    <w:rsid w:val="00036CF6"/>
    <w:rsid w:val="000378B6"/>
    <w:rsid w:val="00041F59"/>
    <w:rsid w:val="00053A95"/>
    <w:rsid w:val="0005443B"/>
    <w:rsid w:val="00071067"/>
    <w:rsid w:val="00071536"/>
    <w:rsid w:val="0007317F"/>
    <w:rsid w:val="00075136"/>
    <w:rsid w:val="0007556F"/>
    <w:rsid w:val="00094F9F"/>
    <w:rsid w:val="00096E7B"/>
    <w:rsid w:val="000B4C0D"/>
    <w:rsid w:val="000B52A7"/>
    <w:rsid w:val="000C1F52"/>
    <w:rsid w:val="000D1F05"/>
    <w:rsid w:val="000D2455"/>
    <w:rsid w:val="000D7DE4"/>
    <w:rsid w:val="000E07D8"/>
    <w:rsid w:val="000E6859"/>
    <w:rsid w:val="000F17C6"/>
    <w:rsid w:val="000F52D3"/>
    <w:rsid w:val="000F7504"/>
    <w:rsid w:val="00100F36"/>
    <w:rsid w:val="0010565C"/>
    <w:rsid w:val="00105E38"/>
    <w:rsid w:val="001120C5"/>
    <w:rsid w:val="0011673C"/>
    <w:rsid w:val="00124CB6"/>
    <w:rsid w:val="00133C15"/>
    <w:rsid w:val="001447E0"/>
    <w:rsid w:val="00150CB5"/>
    <w:rsid w:val="00155315"/>
    <w:rsid w:val="001611CA"/>
    <w:rsid w:val="001631D2"/>
    <w:rsid w:val="001827D0"/>
    <w:rsid w:val="001946CE"/>
    <w:rsid w:val="00195F78"/>
    <w:rsid w:val="001A0DAC"/>
    <w:rsid w:val="001A332B"/>
    <w:rsid w:val="001A6313"/>
    <w:rsid w:val="001A7746"/>
    <w:rsid w:val="001D1BE5"/>
    <w:rsid w:val="001D6833"/>
    <w:rsid w:val="001E192C"/>
    <w:rsid w:val="001E420D"/>
    <w:rsid w:val="001F126A"/>
    <w:rsid w:val="001F4376"/>
    <w:rsid w:val="001F455B"/>
    <w:rsid w:val="001F5DA9"/>
    <w:rsid w:val="00200A7D"/>
    <w:rsid w:val="00203472"/>
    <w:rsid w:val="002037DC"/>
    <w:rsid w:val="00205F4E"/>
    <w:rsid w:val="002062E1"/>
    <w:rsid w:val="002103E8"/>
    <w:rsid w:val="00210900"/>
    <w:rsid w:val="00211609"/>
    <w:rsid w:val="00211D64"/>
    <w:rsid w:val="00212A34"/>
    <w:rsid w:val="0021481F"/>
    <w:rsid w:val="00221F7C"/>
    <w:rsid w:val="002326F8"/>
    <w:rsid w:val="00237758"/>
    <w:rsid w:val="00250734"/>
    <w:rsid w:val="00253FC8"/>
    <w:rsid w:val="00265063"/>
    <w:rsid w:val="002662A0"/>
    <w:rsid w:val="00284333"/>
    <w:rsid w:val="0028613E"/>
    <w:rsid w:val="002902EE"/>
    <w:rsid w:val="00294427"/>
    <w:rsid w:val="00296ED0"/>
    <w:rsid w:val="002A5742"/>
    <w:rsid w:val="002A5EBB"/>
    <w:rsid w:val="002A7ABE"/>
    <w:rsid w:val="002B2D08"/>
    <w:rsid w:val="002B58DB"/>
    <w:rsid w:val="002D0C68"/>
    <w:rsid w:val="002D22E7"/>
    <w:rsid w:val="002D31A9"/>
    <w:rsid w:val="002D70AF"/>
    <w:rsid w:val="002E08A2"/>
    <w:rsid w:val="002E1753"/>
    <w:rsid w:val="002E2A8D"/>
    <w:rsid w:val="002E580F"/>
    <w:rsid w:val="002F0279"/>
    <w:rsid w:val="003033E6"/>
    <w:rsid w:val="00304E25"/>
    <w:rsid w:val="00321733"/>
    <w:rsid w:val="0032395C"/>
    <w:rsid w:val="0032422C"/>
    <w:rsid w:val="003535D6"/>
    <w:rsid w:val="0035535B"/>
    <w:rsid w:val="003560DB"/>
    <w:rsid w:val="00357417"/>
    <w:rsid w:val="00362C9F"/>
    <w:rsid w:val="00362F67"/>
    <w:rsid w:val="0036368B"/>
    <w:rsid w:val="003677C6"/>
    <w:rsid w:val="00372EF0"/>
    <w:rsid w:val="0037476C"/>
    <w:rsid w:val="0038175C"/>
    <w:rsid w:val="00390C4C"/>
    <w:rsid w:val="003A3AA0"/>
    <w:rsid w:val="003A7FB0"/>
    <w:rsid w:val="003B431B"/>
    <w:rsid w:val="003C65B0"/>
    <w:rsid w:val="003E750E"/>
    <w:rsid w:val="003F051E"/>
    <w:rsid w:val="00403A18"/>
    <w:rsid w:val="00403AB2"/>
    <w:rsid w:val="0040498B"/>
    <w:rsid w:val="0041442B"/>
    <w:rsid w:val="0041602B"/>
    <w:rsid w:val="004175F0"/>
    <w:rsid w:val="00421CFB"/>
    <w:rsid w:val="00442460"/>
    <w:rsid w:val="00442F4A"/>
    <w:rsid w:val="00447E8A"/>
    <w:rsid w:val="0045275D"/>
    <w:rsid w:val="00462299"/>
    <w:rsid w:val="004630DD"/>
    <w:rsid w:val="0046633E"/>
    <w:rsid w:val="00470D3B"/>
    <w:rsid w:val="00493AD5"/>
    <w:rsid w:val="004A5494"/>
    <w:rsid w:val="004A736E"/>
    <w:rsid w:val="004B356F"/>
    <w:rsid w:val="004B53DD"/>
    <w:rsid w:val="004B6D69"/>
    <w:rsid w:val="004C37AB"/>
    <w:rsid w:val="004C51D7"/>
    <w:rsid w:val="004C68CA"/>
    <w:rsid w:val="004C76F9"/>
    <w:rsid w:val="004D2C46"/>
    <w:rsid w:val="004D6AE6"/>
    <w:rsid w:val="004F094D"/>
    <w:rsid w:val="004F2C37"/>
    <w:rsid w:val="00500927"/>
    <w:rsid w:val="00504D17"/>
    <w:rsid w:val="0051411D"/>
    <w:rsid w:val="00523135"/>
    <w:rsid w:val="00534972"/>
    <w:rsid w:val="0053713A"/>
    <w:rsid w:val="0054086A"/>
    <w:rsid w:val="00543045"/>
    <w:rsid w:val="0055090F"/>
    <w:rsid w:val="0056657D"/>
    <w:rsid w:val="005712C8"/>
    <w:rsid w:val="005725E2"/>
    <w:rsid w:val="00586795"/>
    <w:rsid w:val="00591A82"/>
    <w:rsid w:val="00592AA7"/>
    <w:rsid w:val="0059449D"/>
    <w:rsid w:val="005961BB"/>
    <w:rsid w:val="00597619"/>
    <w:rsid w:val="005B2AF8"/>
    <w:rsid w:val="005B7A7A"/>
    <w:rsid w:val="005D36B6"/>
    <w:rsid w:val="005D457E"/>
    <w:rsid w:val="005D4BD9"/>
    <w:rsid w:val="005D6E0D"/>
    <w:rsid w:val="005D7F08"/>
    <w:rsid w:val="005E2F22"/>
    <w:rsid w:val="005E6FFA"/>
    <w:rsid w:val="005E71F1"/>
    <w:rsid w:val="005F1A9B"/>
    <w:rsid w:val="005F35BC"/>
    <w:rsid w:val="005F4E4C"/>
    <w:rsid w:val="005F66A5"/>
    <w:rsid w:val="00601237"/>
    <w:rsid w:val="00604DD4"/>
    <w:rsid w:val="006143B5"/>
    <w:rsid w:val="00614922"/>
    <w:rsid w:val="00620E77"/>
    <w:rsid w:val="00626C53"/>
    <w:rsid w:val="00626E59"/>
    <w:rsid w:val="006319D0"/>
    <w:rsid w:val="00632D1A"/>
    <w:rsid w:val="006356EE"/>
    <w:rsid w:val="006367D2"/>
    <w:rsid w:val="00636B3B"/>
    <w:rsid w:val="006542D6"/>
    <w:rsid w:val="00662BB7"/>
    <w:rsid w:val="006631A0"/>
    <w:rsid w:val="006729E0"/>
    <w:rsid w:val="006745A2"/>
    <w:rsid w:val="00674B7C"/>
    <w:rsid w:val="00677E9B"/>
    <w:rsid w:val="00677FEB"/>
    <w:rsid w:val="006818C1"/>
    <w:rsid w:val="006834CE"/>
    <w:rsid w:val="00690B43"/>
    <w:rsid w:val="006A018E"/>
    <w:rsid w:val="006A263E"/>
    <w:rsid w:val="006A26B5"/>
    <w:rsid w:val="006A4488"/>
    <w:rsid w:val="006B226E"/>
    <w:rsid w:val="006B3C27"/>
    <w:rsid w:val="006B528B"/>
    <w:rsid w:val="006C37A1"/>
    <w:rsid w:val="006C7396"/>
    <w:rsid w:val="006D655C"/>
    <w:rsid w:val="006D7378"/>
    <w:rsid w:val="006E236B"/>
    <w:rsid w:val="006E27F8"/>
    <w:rsid w:val="006F0C3E"/>
    <w:rsid w:val="006F2A10"/>
    <w:rsid w:val="006F44CF"/>
    <w:rsid w:val="00700AF3"/>
    <w:rsid w:val="007112D5"/>
    <w:rsid w:val="00711514"/>
    <w:rsid w:val="00715AF9"/>
    <w:rsid w:val="00722BEC"/>
    <w:rsid w:val="00725EF8"/>
    <w:rsid w:val="00725F2C"/>
    <w:rsid w:val="007342B8"/>
    <w:rsid w:val="00740335"/>
    <w:rsid w:val="00740EEB"/>
    <w:rsid w:val="0074348C"/>
    <w:rsid w:val="00743D2D"/>
    <w:rsid w:val="00751C15"/>
    <w:rsid w:val="00756015"/>
    <w:rsid w:val="00763E11"/>
    <w:rsid w:val="007646B7"/>
    <w:rsid w:val="00764B30"/>
    <w:rsid w:val="00766E0E"/>
    <w:rsid w:val="00774E36"/>
    <w:rsid w:val="00781422"/>
    <w:rsid w:val="00783590"/>
    <w:rsid w:val="00785579"/>
    <w:rsid w:val="007A1A6A"/>
    <w:rsid w:val="007A3B5E"/>
    <w:rsid w:val="007A6BEE"/>
    <w:rsid w:val="007B09F5"/>
    <w:rsid w:val="007B125B"/>
    <w:rsid w:val="007B5F53"/>
    <w:rsid w:val="007B776F"/>
    <w:rsid w:val="007C419B"/>
    <w:rsid w:val="007C569A"/>
    <w:rsid w:val="007E22E0"/>
    <w:rsid w:val="007E7D11"/>
    <w:rsid w:val="00810CE9"/>
    <w:rsid w:val="00810DA2"/>
    <w:rsid w:val="00815EB5"/>
    <w:rsid w:val="008231E2"/>
    <w:rsid w:val="00823E58"/>
    <w:rsid w:val="008377D7"/>
    <w:rsid w:val="00840F14"/>
    <w:rsid w:val="0084631E"/>
    <w:rsid w:val="0085062E"/>
    <w:rsid w:val="00852C2E"/>
    <w:rsid w:val="00866B83"/>
    <w:rsid w:val="00870D7F"/>
    <w:rsid w:val="00871565"/>
    <w:rsid w:val="00871DA8"/>
    <w:rsid w:val="00873D3B"/>
    <w:rsid w:val="0087743D"/>
    <w:rsid w:val="0088750D"/>
    <w:rsid w:val="00891AFB"/>
    <w:rsid w:val="008A2AC0"/>
    <w:rsid w:val="008A440F"/>
    <w:rsid w:val="008A4458"/>
    <w:rsid w:val="008B0C23"/>
    <w:rsid w:val="008B3D63"/>
    <w:rsid w:val="008B62F4"/>
    <w:rsid w:val="008B63B2"/>
    <w:rsid w:val="008C45AE"/>
    <w:rsid w:val="008C5D92"/>
    <w:rsid w:val="008D0F55"/>
    <w:rsid w:val="008E08A3"/>
    <w:rsid w:val="008E7F6B"/>
    <w:rsid w:val="008F0E75"/>
    <w:rsid w:val="0090024A"/>
    <w:rsid w:val="00903AE5"/>
    <w:rsid w:val="00904AD9"/>
    <w:rsid w:val="00905A36"/>
    <w:rsid w:val="00915096"/>
    <w:rsid w:val="009159E1"/>
    <w:rsid w:val="00921837"/>
    <w:rsid w:val="00923368"/>
    <w:rsid w:val="009306C9"/>
    <w:rsid w:val="0094530E"/>
    <w:rsid w:val="009524AA"/>
    <w:rsid w:val="009618FE"/>
    <w:rsid w:val="00974016"/>
    <w:rsid w:val="0099168D"/>
    <w:rsid w:val="009920A0"/>
    <w:rsid w:val="00996208"/>
    <w:rsid w:val="00996938"/>
    <w:rsid w:val="009A1C94"/>
    <w:rsid w:val="009A6FD2"/>
    <w:rsid w:val="009A7B23"/>
    <w:rsid w:val="009B0756"/>
    <w:rsid w:val="009B7E66"/>
    <w:rsid w:val="009C32CB"/>
    <w:rsid w:val="009C6A50"/>
    <w:rsid w:val="009E6B74"/>
    <w:rsid w:val="009E7609"/>
    <w:rsid w:val="009F02B6"/>
    <w:rsid w:val="009F574F"/>
    <w:rsid w:val="00A026EE"/>
    <w:rsid w:val="00A13890"/>
    <w:rsid w:val="00A143BE"/>
    <w:rsid w:val="00A26F61"/>
    <w:rsid w:val="00A26F81"/>
    <w:rsid w:val="00A323AB"/>
    <w:rsid w:val="00A32A9A"/>
    <w:rsid w:val="00A33E37"/>
    <w:rsid w:val="00A341A4"/>
    <w:rsid w:val="00A358C4"/>
    <w:rsid w:val="00A36732"/>
    <w:rsid w:val="00A52B73"/>
    <w:rsid w:val="00A62CD5"/>
    <w:rsid w:val="00A64B98"/>
    <w:rsid w:val="00A65CE5"/>
    <w:rsid w:val="00A728B1"/>
    <w:rsid w:val="00A74FAE"/>
    <w:rsid w:val="00A75794"/>
    <w:rsid w:val="00A76176"/>
    <w:rsid w:val="00A7669D"/>
    <w:rsid w:val="00A81397"/>
    <w:rsid w:val="00A851E9"/>
    <w:rsid w:val="00A91BB9"/>
    <w:rsid w:val="00A946DE"/>
    <w:rsid w:val="00AA0F30"/>
    <w:rsid w:val="00AA1C92"/>
    <w:rsid w:val="00AB0993"/>
    <w:rsid w:val="00AB61D7"/>
    <w:rsid w:val="00AC460A"/>
    <w:rsid w:val="00AC6390"/>
    <w:rsid w:val="00AE0064"/>
    <w:rsid w:val="00AE26B4"/>
    <w:rsid w:val="00AE7B9D"/>
    <w:rsid w:val="00AF126D"/>
    <w:rsid w:val="00AF5E63"/>
    <w:rsid w:val="00B04035"/>
    <w:rsid w:val="00B077DC"/>
    <w:rsid w:val="00B10A59"/>
    <w:rsid w:val="00B13162"/>
    <w:rsid w:val="00B13BB4"/>
    <w:rsid w:val="00B1425B"/>
    <w:rsid w:val="00B14306"/>
    <w:rsid w:val="00B15CB3"/>
    <w:rsid w:val="00B162C3"/>
    <w:rsid w:val="00B22811"/>
    <w:rsid w:val="00B40F1C"/>
    <w:rsid w:val="00B47C66"/>
    <w:rsid w:val="00B50FB3"/>
    <w:rsid w:val="00B51B61"/>
    <w:rsid w:val="00B55776"/>
    <w:rsid w:val="00B6285F"/>
    <w:rsid w:val="00B62951"/>
    <w:rsid w:val="00B65AEC"/>
    <w:rsid w:val="00B66E1D"/>
    <w:rsid w:val="00B8501C"/>
    <w:rsid w:val="00B920DC"/>
    <w:rsid w:val="00B92102"/>
    <w:rsid w:val="00B930E4"/>
    <w:rsid w:val="00B939C6"/>
    <w:rsid w:val="00B9527A"/>
    <w:rsid w:val="00B95545"/>
    <w:rsid w:val="00BB10F5"/>
    <w:rsid w:val="00BB2D31"/>
    <w:rsid w:val="00BC2ED1"/>
    <w:rsid w:val="00BC6E93"/>
    <w:rsid w:val="00BD3ACB"/>
    <w:rsid w:val="00BF375A"/>
    <w:rsid w:val="00BF61AA"/>
    <w:rsid w:val="00C00956"/>
    <w:rsid w:val="00C01BBF"/>
    <w:rsid w:val="00C0209A"/>
    <w:rsid w:val="00C05271"/>
    <w:rsid w:val="00C05F49"/>
    <w:rsid w:val="00C144DE"/>
    <w:rsid w:val="00C20EF1"/>
    <w:rsid w:val="00C26B72"/>
    <w:rsid w:val="00C40D83"/>
    <w:rsid w:val="00C40E7F"/>
    <w:rsid w:val="00C51B63"/>
    <w:rsid w:val="00C52F60"/>
    <w:rsid w:val="00C542FE"/>
    <w:rsid w:val="00C54591"/>
    <w:rsid w:val="00C56446"/>
    <w:rsid w:val="00C60C2D"/>
    <w:rsid w:val="00C62469"/>
    <w:rsid w:val="00C652A3"/>
    <w:rsid w:val="00C65B9C"/>
    <w:rsid w:val="00C72AA3"/>
    <w:rsid w:val="00C76060"/>
    <w:rsid w:val="00C800E8"/>
    <w:rsid w:val="00C94EEA"/>
    <w:rsid w:val="00C9569D"/>
    <w:rsid w:val="00CA057D"/>
    <w:rsid w:val="00CB7E13"/>
    <w:rsid w:val="00CC0323"/>
    <w:rsid w:val="00CC1486"/>
    <w:rsid w:val="00CC3511"/>
    <w:rsid w:val="00CD0C6C"/>
    <w:rsid w:val="00CD0F06"/>
    <w:rsid w:val="00CD5B3B"/>
    <w:rsid w:val="00CE1717"/>
    <w:rsid w:val="00CF306A"/>
    <w:rsid w:val="00D06E9C"/>
    <w:rsid w:val="00D07245"/>
    <w:rsid w:val="00D25CF7"/>
    <w:rsid w:val="00D327AD"/>
    <w:rsid w:val="00D476B7"/>
    <w:rsid w:val="00D5041D"/>
    <w:rsid w:val="00D5160C"/>
    <w:rsid w:val="00D60542"/>
    <w:rsid w:val="00D6243B"/>
    <w:rsid w:val="00D6402E"/>
    <w:rsid w:val="00D71F41"/>
    <w:rsid w:val="00D72DDA"/>
    <w:rsid w:val="00D755EF"/>
    <w:rsid w:val="00D77532"/>
    <w:rsid w:val="00D81306"/>
    <w:rsid w:val="00D86F1D"/>
    <w:rsid w:val="00D90387"/>
    <w:rsid w:val="00D9190B"/>
    <w:rsid w:val="00D92947"/>
    <w:rsid w:val="00D93F53"/>
    <w:rsid w:val="00D95A9C"/>
    <w:rsid w:val="00DA169A"/>
    <w:rsid w:val="00DA5F8B"/>
    <w:rsid w:val="00DA7F32"/>
    <w:rsid w:val="00DB2103"/>
    <w:rsid w:val="00DB2C4A"/>
    <w:rsid w:val="00DB3D92"/>
    <w:rsid w:val="00DB4421"/>
    <w:rsid w:val="00DE7755"/>
    <w:rsid w:val="00DF0575"/>
    <w:rsid w:val="00DF3E11"/>
    <w:rsid w:val="00DF7B2B"/>
    <w:rsid w:val="00E04E0D"/>
    <w:rsid w:val="00E07965"/>
    <w:rsid w:val="00E14D10"/>
    <w:rsid w:val="00E15075"/>
    <w:rsid w:val="00E15104"/>
    <w:rsid w:val="00E2099A"/>
    <w:rsid w:val="00E219D2"/>
    <w:rsid w:val="00E23DC8"/>
    <w:rsid w:val="00E269E6"/>
    <w:rsid w:val="00E311FA"/>
    <w:rsid w:val="00E45D02"/>
    <w:rsid w:val="00E532F8"/>
    <w:rsid w:val="00E538C8"/>
    <w:rsid w:val="00E562FC"/>
    <w:rsid w:val="00E61444"/>
    <w:rsid w:val="00E67401"/>
    <w:rsid w:val="00E70EE2"/>
    <w:rsid w:val="00E7458A"/>
    <w:rsid w:val="00E758D7"/>
    <w:rsid w:val="00E80D5E"/>
    <w:rsid w:val="00E926A9"/>
    <w:rsid w:val="00EA0F6C"/>
    <w:rsid w:val="00EA1D55"/>
    <w:rsid w:val="00EA3EBF"/>
    <w:rsid w:val="00EB247A"/>
    <w:rsid w:val="00EB5296"/>
    <w:rsid w:val="00EB6ABD"/>
    <w:rsid w:val="00EC7E47"/>
    <w:rsid w:val="00EE32F2"/>
    <w:rsid w:val="00F067D8"/>
    <w:rsid w:val="00F23EC1"/>
    <w:rsid w:val="00F30363"/>
    <w:rsid w:val="00F42ECB"/>
    <w:rsid w:val="00F4554D"/>
    <w:rsid w:val="00F51808"/>
    <w:rsid w:val="00F5219A"/>
    <w:rsid w:val="00F549E7"/>
    <w:rsid w:val="00F56471"/>
    <w:rsid w:val="00F570FB"/>
    <w:rsid w:val="00F57D51"/>
    <w:rsid w:val="00F67D20"/>
    <w:rsid w:val="00F72651"/>
    <w:rsid w:val="00F77F30"/>
    <w:rsid w:val="00F80CB8"/>
    <w:rsid w:val="00F87327"/>
    <w:rsid w:val="00F8749C"/>
    <w:rsid w:val="00F97D67"/>
    <w:rsid w:val="00FA7222"/>
    <w:rsid w:val="00FB6D27"/>
    <w:rsid w:val="00FC0C7A"/>
    <w:rsid w:val="00FC4284"/>
    <w:rsid w:val="00FC459F"/>
    <w:rsid w:val="00FD3CB7"/>
    <w:rsid w:val="00FD4578"/>
    <w:rsid w:val="00FD48C3"/>
    <w:rsid w:val="00FD7204"/>
    <w:rsid w:val="00FE05E4"/>
    <w:rsid w:val="00FE1207"/>
    <w:rsid w:val="00FE2F2C"/>
    <w:rsid w:val="00FE3B1B"/>
    <w:rsid w:val="00FE5D25"/>
    <w:rsid w:val="00FF2921"/>
    <w:rsid w:val="00FF554B"/>
    <w:rsid w:val="00FF7BDA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664AE1"/>
  <w14:defaultImageDpi w14:val="300"/>
  <w15:docId w15:val="{ECB01041-F183-43E6-83F4-C6E3F4BD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50E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33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E750E"/>
    <w:pPr>
      <w:spacing w:after="0"/>
      <w:ind w:left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E750E"/>
    <w:rPr>
      <w:rFonts w:ascii="Trebuchet MS" w:hAnsi="Trebuchet MS"/>
      <w:sz w:val="16"/>
    </w:rPr>
  </w:style>
  <w:style w:type="character" w:styleId="FootnoteReference">
    <w:name w:val="footnote reference"/>
    <w:basedOn w:val="DefaultParagraphFont"/>
    <w:uiPriority w:val="99"/>
    <w:unhideWhenUsed/>
    <w:rsid w:val="00A65CE5"/>
    <w:rPr>
      <w:vertAlign w:val="superscript"/>
    </w:rPr>
  </w:style>
  <w:style w:type="paragraph" w:styleId="ListParagraph">
    <w:name w:val="List Paragraph"/>
    <w:basedOn w:val="Normal"/>
    <w:uiPriority w:val="72"/>
    <w:qFormat/>
    <w:rsid w:val="007B5F53"/>
    <w:pPr>
      <w:ind w:left="720"/>
      <w:contextualSpacing/>
    </w:pPr>
  </w:style>
  <w:style w:type="character" w:customStyle="1" w:styleId="l5def1">
    <w:name w:val="l5def1"/>
    <w:basedOn w:val="DefaultParagraphFont"/>
    <w:rsid w:val="005F66A5"/>
    <w:rPr>
      <w:rFonts w:ascii="Arial" w:hAnsi="Arial" w:cs="Arial" w:hint="default"/>
      <w:color w:val="000000"/>
      <w:sz w:val="26"/>
      <w:szCs w:val="26"/>
    </w:rPr>
  </w:style>
  <w:style w:type="character" w:customStyle="1" w:styleId="Other">
    <w:name w:val="Other_"/>
    <w:link w:val="Other0"/>
    <w:rsid w:val="00A62CD5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Other0">
    <w:name w:val="Other"/>
    <w:basedOn w:val="Normal"/>
    <w:link w:val="Other"/>
    <w:rsid w:val="00A62CD5"/>
    <w:pPr>
      <w:widowControl w:val="0"/>
      <w:shd w:val="clear" w:color="auto" w:fill="FFFFFF"/>
      <w:spacing w:after="60" w:line="254" w:lineRule="auto"/>
      <w:ind w:left="0"/>
      <w:jc w:val="left"/>
    </w:pPr>
    <w:rPr>
      <w:rFonts w:ascii="Arial" w:eastAsia="Arial" w:hAnsi="Arial" w:cs="Arial"/>
      <w:lang w:val="en-US"/>
    </w:rPr>
  </w:style>
  <w:style w:type="paragraph" w:customStyle="1" w:styleId="Style6">
    <w:name w:val="Style6"/>
    <w:basedOn w:val="Normal"/>
    <w:uiPriority w:val="99"/>
    <w:rsid w:val="00751C15"/>
    <w:pPr>
      <w:widowControl w:val="0"/>
      <w:autoSpaceDE w:val="0"/>
      <w:autoSpaceDN w:val="0"/>
      <w:adjustRightInd w:val="0"/>
      <w:spacing w:after="0" w:line="271" w:lineRule="exact"/>
      <w:ind w:left="0" w:firstLine="302"/>
      <w:jc w:val="left"/>
    </w:pPr>
    <w:rPr>
      <w:rFonts w:eastAsiaTheme="minorEastAsia" w:cstheme="minorBidi"/>
      <w:sz w:val="24"/>
      <w:szCs w:val="24"/>
      <w:lang w:eastAsia="ro-RO"/>
    </w:rPr>
  </w:style>
  <w:style w:type="character" w:customStyle="1" w:styleId="FontStyle15">
    <w:name w:val="Font Style15"/>
    <w:basedOn w:val="DefaultParagraphFont"/>
    <w:uiPriority w:val="99"/>
    <w:rsid w:val="00751C15"/>
    <w:rPr>
      <w:rFonts w:ascii="Trebuchet MS" w:hAnsi="Trebuchet MS" w:cs="Trebuchet MS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751C15"/>
    <w:rPr>
      <w:rFonts w:ascii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Viorel.Streza\Desktop\template%20min%204%20radu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4930C-3F30-4223-B0D6-58E3CD47C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7</Pages>
  <Words>1706</Words>
  <Characters>9729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11413</CharactersWithSpaces>
  <SharedDoc>false</SharedDoc>
  <HLinks>
    <vt:vector size="12" baseType="variant">
      <vt:variant>
        <vt:i4>458786</vt:i4>
      </vt:variant>
      <vt:variant>
        <vt:i4>5514</vt:i4>
      </vt:variant>
      <vt:variant>
        <vt:i4>1026</vt:i4>
      </vt:variant>
      <vt:variant>
        <vt:i4>1</vt:i4>
      </vt:variant>
      <vt:variant>
        <vt:lpwstr>logo_antet_dep_energie_p2</vt:lpwstr>
      </vt:variant>
      <vt:variant>
        <vt:lpwstr/>
      </vt:variant>
      <vt:variant>
        <vt:i4>7798863</vt:i4>
      </vt:variant>
      <vt:variant>
        <vt:i4>7856</vt:i4>
      </vt:variant>
      <vt:variant>
        <vt:i4>1025</vt:i4>
      </vt:variant>
      <vt:variant>
        <vt:i4>1</vt:i4>
      </vt:variant>
      <vt:variant>
        <vt:lpwstr>logo_antet_dep_energie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Melinda Stoica</cp:lastModifiedBy>
  <cp:revision>3</cp:revision>
  <cp:lastPrinted>2021-05-19T04:47:00Z</cp:lastPrinted>
  <dcterms:created xsi:type="dcterms:W3CDTF">2021-06-03T12:36:00Z</dcterms:created>
  <dcterms:modified xsi:type="dcterms:W3CDTF">2021-06-03T12:39:00Z</dcterms:modified>
</cp:coreProperties>
</file>