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278EA" w14:textId="77777777" w:rsidR="009920A0" w:rsidRPr="006A33BB" w:rsidRDefault="009920A0" w:rsidP="006A33BB">
      <w:pPr>
        <w:ind w:left="-851"/>
        <w:jc w:val="center"/>
        <w:rPr>
          <w:rFonts w:cs="Arial"/>
          <w:b/>
          <w:snapToGrid w:val="0"/>
        </w:rPr>
      </w:pPr>
    </w:p>
    <w:p w14:paraId="0C45A58B" w14:textId="77777777" w:rsidR="009920A0" w:rsidRPr="006A33BB" w:rsidRDefault="009920A0" w:rsidP="006A33BB">
      <w:pPr>
        <w:ind w:left="-851"/>
        <w:jc w:val="center"/>
        <w:rPr>
          <w:rFonts w:cs="Arial"/>
          <w:b/>
          <w:snapToGrid w:val="0"/>
        </w:rPr>
      </w:pPr>
    </w:p>
    <w:p w14:paraId="3A2F3380" w14:textId="52AC8F50" w:rsidR="002902EE" w:rsidRPr="006A33BB" w:rsidRDefault="00002BB0" w:rsidP="006A33BB">
      <w:pPr>
        <w:ind w:left="-851"/>
        <w:jc w:val="center"/>
        <w:rPr>
          <w:rFonts w:cs="Arial"/>
          <w:b/>
          <w:snapToGrid w:val="0"/>
        </w:rPr>
      </w:pPr>
      <w:r w:rsidRPr="006A33BB">
        <w:rPr>
          <w:rFonts w:cs="Arial"/>
          <w:b/>
          <w:snapToGrid w:val="0"/>
        </w:rPr>
        <w:t>NOTĂ DE FUNDAMENTARE</w:t>
      </w:r>
    </w:p>
    <w:p w14:paraId="3FD7951C" w14:textId="77777777" w:rsidR="004175F0" w:rsidRPr="006A33BB" w:rsidRDefault="004175F0" w:rsidP="006A33BB">
      <w:pPr>
        <w:ind w:left="-851"/>
        <w:rPr>
          <w:rFonts w:cs="Arial"/>
          <w:b/>
          <w:snapToGrid w:val="0"/>
        </w:rPr>
      </w:pPr>
    </w:p>
    <w:tbl>
      <w:tblPr>
        <w:tblW w:w="10027"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0"/>
        <w:gridCol w:w="1547"/>
        <w:gridCol w:w="1126"/>
        <w:gridCol w:w="1126"/>
        <w:gridCol w:w="1126"/>
        <w:gridCol w:w="1125"/>
        <w:gridCol w:w="1267"/>
      </w:tblGrid>
      <w:tr w:rsidR="00EC7E47" w:rsidRPr="006A33BB" w14:paraId="10168C38" w14:textId="77777777" w:rsidTr="0099168D">
        <w:trPr>
          <w:cantSplit/>
          <w:trHeight w:val="662"/>
        </w:trPr>
        <w:tc>
          <w:tcPr>
            <w:tcW w:w="10027" w:type="dxa"/>
            <w:gridSpan w:val="7"/>
          </w:tcPr>
          <w:p w14:paraId="4A2272AC" w14:textId="77777777" w:rsidR="007C5F6D" w:rsidRPr="006A33BB" w:rsidRDefault="007C5F6D" w:rsidP="006A33BB">
            <w:pPr>
              <w:spacing w:after="0"/>
              <w:ind w:left="69" w:right="-391"/>
              <w:jc w:val="center"/>
              <w:rPr>
                <w:rFonts w:cs="Arial"/>
                <w:b/>
                <w:snapToGrid w:val="0"/>
              </w:rPr>
            </w:pPr>
          </w:p>
          <w:p w14:paraId="365854AC" w14:textId="20A29CFC" w:rsidR="00A728B1" w:rsidRPr="006A33BB" w:rsidRDefault="00DB3D92" w:rsidP="006A33BB">
            <w:pPr>
              <w:spacing w:after="0"/>
              <w:ind w:left="69" w:right="-391"/>
              <w:jc w:val="center"/>
              <w:rPr>
                <w:rFonts w:cs="Arial"/>
                <w:b/>
                <w:snapToGrid w:val="0"/>
              </w:rPr>
            </w:pPr>
            <w:r w:rsidRPr="006A33BB">
              <w:rPr>
                <w:rFonts w:cs="Arial"/>
                <w:b/>
                <w:snapToGrid w:val="0"/>
              </w:rPr>
              <w:t>Secțiunea</w:t>
            </w:r>
            <w:r w:rsidR="004175F0" w:rsidRPr="006A33BB">
              <w:rPr>
                <w:rFonts w:cs="Arial"/>
                <w:b/>
                <w:snapToGrid w:val="0"/>
              </w:rPr>
              <w:t xml:space="preserve"> 1 – Titlul proiectului de act normativ</w:t>
            </w:r>
          </w:p>
          <w:p w14:paraId="04A4974B" w14:textId="77777777" w:rsidR="00F014A9" w:rsidRPr="006A33BB" w:rsidRDefault="000F17C6" w:rsidP="006A33BB">
            <w:pPr>
              <w:spacing w:after="0"/>
              <w:ind w:left="69" w:right="-391"/>
              <w:jc w:val="center"/>
              <w:rPr>
                <w:rFonts w:cs="Arial"/>
                <w:b/>
                <w:snapToGrid w:val="0"/>
              </w:rPr>
            </w:pPr>
            <w:r w:rsidRPr="006A33BB">
              <w:rPr>
                <w:rFonts w:cs="Arial"/>
                <w:b/>
              </w:rPr>
              <w:t>Hotărâre</w:t>
            </w:r>
          </w:p>
          <w:p w14:paraId="36BD1D37" w14:textId="394CC97A" w:rsidR="00B939C6" w:rsidRPr="006A33BB" w:rsidRDefault="00F014A9" w:rsidP="006A33BB">
            <w:pPr>
              <w:spacing w:after="0"/>
              <w:ind w:left="69" w:right="-391"/>
              <w:jc w:val="center"/>
              <w:rPr>
                <w:rFonts w:cs="Arial"/>
                <w:b/>
                <w:snapToGrid w:val="0"/>
              </w:rPr>
            </w:pPr>
            <w:r w:rsidRPr="006A33BB">
              <w:rPr>
                <w:rFonts w:cs="Arial"/>
                <w:b/>
                <w:color w:val="000000"/>
              </w:rPr>
              <w:t>privind condițiile de acordare a despăgubirilor de viață, sănătate și bunuri pentru polițiștii de penitenciare</w:t>
            </w:r>
          </w:p>
        </w:tc>
      </w:tr>
      <w:tr w:rsidR="00EC7E47" w:rsidRPr="006A33BB" w14:paraId="4D5E1BD3" w14:textId="77777777" w:rsidTr="0099168D">
        <w:trPr>
          <w:cantSplit/>
          <w:trHeight w:val="326"/>
        </w:trPr>
        <w:tc>
          <w:tcPr>
            <w:tcW w:w="10027" w:type="dxa"/>
            <w:gridSpan w:val="7"/>
          </w:tcPr>
          <w:p w14:paraId="19643FC7" w14:textId="77777777" w:rsidR="00A728B1" w:rsidRPr="006A33BB" w:rsidRDefault="00A728B1" w:rsidP="006A33BB">
            <w:pPr>
              <w:spacing w:after="0"/>
              <w:ind w:left="69" w:right="-391"/>
              <w:jc w:val="center"/>
              <w:rPr>
                <w:rFonts w:cs="Arial"/>
                <w:b/>
                <w:snapToGrid w:val="0"/>
              </w:rPr>
            </w:pPr>
          </w:p>
          <w:p w14:paraId="3CAFDDF2" w14:textId="77777777" w:rsidR="00B939C6" w:rsidRPr="006A33BB" w:rsidRDefault="00B939C6" w:rsidP="006A33BB">
            <w:pPr>
              <w:spacing w:after="0"/>
              <w:ind w:left="69" w:right="-391"/>
              <w:jc w:val="center"/>
              <w:rPr>
                <w:rFonts w:cs="Arial"/>
                <w:b/>
                <w:snapToGrid w:val="0"/>
              </w:rPr>
            </w:pPr>
            <w:r w:rsidRPr="006A33BB">
              <w:rPr>
                <w:rFonts w:cs="Arial"/>
                <w:b/>
                <w:snapToGrid w:val="0"/>
              </w:rPr>
              <w:t>Secțiunea</w:t>
            </w:r>
            <w:r w:rsidR="004175F0" w:rsidRPr="006A33BB">
              <w:rPr>
                <w:rFonts w:cs="Arial"/>
                <w:b/>
                <w:snapToGrid w:val="0"/>
              </w:rPr>
              <w:t xml:space="preserve"> a 2-a – Motivul emiterii actului normativ</w:t>
            </w:r>
          </w:p>
          <w:p w14:paraId="4C0DED86" w14:textId="35EF6985" w:rsidR="00A728B1" w:rsidRPr="006A33BB" w:rsidRDefault="00A728B1" w:rsidP="006A33BB">
            <w:pPr>
              <w:spacing w:after="0"/>
              <w:ind w:left="69" w:right="-391"/>
              <w:jc w:val="center"/>
              <w:rPr>
                <w:rFonts w:cs="Arial"/>
                <w:b/>
                <w:snapToGrid w:val="0"/>
              </w:rPr>
            </w:pPr>
          </w:p>
        </w:tc>
      </w:tr>
      <w:tr w:rsidR="00EC7E47" w:rsidRPr="006A33BB" w14:paraId="6EE23E26" w14:textId="77777777" w:rsidTr="0099168D">
        <w:trPr>
          <w:trHeight w:val="100"/>
        </w:trPr>
        <w:tc>
          <w:tcPr>
            <w:tcW w:w="2710" w:type="dxa"/>
            <w:tcBorders>
              <w:right w:val="single" w:sz="4" w:space="0" w:color="auto"/>
            </w:tcBorders>
          </w:tcPr>
          <w:p w14:paraId="2E5E47F1" w14:textId="797CAF4A" w:rsidR="00614922" w:rsidRPr="006A33BB" w:rsidRDefault="004175F0" w:rsidP="006A33BB">
            <w:pPr>
              <w:spacing w:after="0"/>
              <w:ind w:left="69" w:right="182"/>
              <w:rPr>
                <w:rFonts w:cs="Arial"/>
                <w:snapToGrid w:val="0"/>
              </w:rPr>
            </w:pPr>
            <w:r w:rsidRPr="006A33BB">
              <w:rPr>
                <w:rFonts w:cs="Arial"/>
                <w:snapToGrid w:val="0"/>
              </w:rPr>
              <w:t xml:space="preserve">1. Descrierea </w:t>
            </w:r>
            <w:r w:rsidR="00B939C6" w:rsidRPr="006A33BB">
              <w:rPr>
                <w:rFonts w:cs="Arial"/>
                <w:snapToGrid w:val="0"/>
              </w:rPr>
              <w:t>situației</w:t>
            </w:r>
            <w:r w:rsidRPr="006A33BB">
              <w:rPr>
                <w:rFonts w:cs="Arial"/>
                <w:snapToGrid w:val="0"/>
              </w:rPr>
              <w:t xml:space="preserve"> actuale </w:t>
            </w:r>
          </w:p>
          <w:p w14:paraId="71FABDAB" w14:textId="77777777" w:rsidR="00614922" w:rsidRPr="006A33BB" w:rsidRDefault="00614922" w:rsidP="006A33BB">
            <w:pPr>
              <w:spacing w:after="0"/>
              <w:ind w:left="69" w:right="-391"/>
              <w:rPr>
                <w:rFonts w:cs="Arial"/>
              </w:rPr>
            </w:pPr>
          </w:p>
          <w:p w14:paraId="3B4B3026" w14:textId="77777777" w:rsidR="00614922" w:rsidRPr="006A33BB" w:rsidRDefault="00614922" w:rsidP="006A33BB">
            <w:pPr>
              <w:spacing w:after="0"/>
              <w:ind w:left="69" w:right="-391"/>
              <w:rPr>
                <w:rFonts w:cs="Arial"/>
              </w:rPr>
            </w:pPr>
          </w:p>
          <w:p w14:paraId="4E82F25A" w14:textId="77777777" w:rsidR="00614922" w:rsidRPr="006A33BB" w:rsidRDefault="00614922" w:rsidP="006A33BB">
            <w:pPr>
              <w:spacing w:after="0"/>
              <w:ind w:left="69" w:right="-391"/>
              <w:rPr>
                <w:rFonts w:cs="Arial"/>
              </w:rPr>
            </w:pPr>
          </w:p>
          <w:p w14:paraId="10984AA7" w14:textId="77777777" w:rsidR="00614922" w:rsidRPr="006A33BB" w:rsidRDefault="00614922" w:rsidP="006A33BB">
            <w:pPr>
              <w:spacing w:after="0"/>
              <w:ind w:left="69" w:right="-391"/>
              <w:rPr>
                <w:rFonts w:cs="Arial"/>
              </w:rPr>
            </w:pPr>
          </w:p>
          <w:p w14:paraId="3D74A7FC" w14:textId="77777777" w:rsidR="00614922" w:rsidRPr="006A33BB" w:rsidRDefault="00614922" w:rsidP="006A33BB">
            <w:pPr>
              <w:spacing w:after="0"/>
              <w:ind w:left="69" w:right="-391"/>
              <w:rPr>
                <w:rFonts w:cs="Arial"/>
              </w:rPr>
            </w:pPr>
          </w:p>
          <w:p w14:paraId="3F5D34AE" w14:textId="77777777" w:rsidR="00614922" w:rsidRPr="006A33BB" w:rsidRDefault="00614922" w:rsidP="006A33BB">
            <w:pPr>
              <w:spacing w:after="0"/>
              <w:ind w:left="69" w:right="-391"/>
              <w:rPr>
                <w:rFonts w:cs="Arial"/>
              </w:rPr>
            </w:pPr>
          </w:p>
          <w:p w14:paraId="75BAD1A5" w14:textId="77777777" w:rsidR="00614922" w:rsidRPr="006A33BB" w:rsidRDefault="00614922" w:rsidP="006A33BB">
            <w:pPr>
              <w:spacing w:after="0"/>
              <w:ind w:left="69" w:right="-391"/>
              <w:rPr>
                <w:rFonts w:cs="Arial"/>
              </w:rPr>
            </w:pPr>
          </w:p>
          <w:p w14:paraId="1B09B05D" w14:textId="77777777" w:rsidR="00614922" w:rsidRPr="006A33BB" w:rsidRDefault="00614922" w:rsidP="006A33BB">
            <w:pPr>
              <w:spacing w:after="0"/>
              <w:ind w:left="69" w:right="-391"/>
              <w:rPr>
                <w:rFonts w:cs="Arial"/>
              </w:rPr>
            </w:pPr>
          </w:p>
          <w:p w14:paraId="5DBF985B" w14:textId="77777777" w:rsidR="00614922" w:rsidRPr="006A33BB" w:rsidRDefault="00614922" w:rsidP="006A33BB">
            <w:pPr>
              <w:spacing w:after="0"/>
              <w:ind w:left="69" w:right="-391"/>
              <w:rPr>
                <w:rFonts w:cs="Arial"/>
              </w:rPr>
            </w:pPr>
          </w:p>
          <w:p w14:paraId="1A44BA38" w14:textId="77777777" w:rsidR="00614922" w:rsidRPr="006A33BB" w:rsidRDefault="00614922" w:rsidP="006A33BB">
            <w:pPr>
              <w:spacing w:after="0"/>
              <w:ind w:left="69" w:right="-391"/>
              <w:rPr>
                <w:rFonts w:cs="Arial"/>
              </w:rPr>
            </w:pPr>
          </w:p>
          <w:p w14:paraId="59A8C40B" w14:textId="77777777" w:rsidR="004175F0" w:rsidRPr="006A33BB" w:rsidRDefault="004175F0" w:rsidP="006A33BB">
            <w:pPr>
              <w:spacing w:after="0"/>
              <w:ind w:left="69" w:right="-391"/>
              <w:rPr>
                <w:rFonts w:cs="Arial"/>
              </w:rPr>
            </w:pPr>
          </w:p>
        </w:tc>
        <w:tc>
          <w:tcPr>
            <w:tcW w:w="7317" w:type="dxa"/>
            <w:gridSpan w:val="6"/>
            <w:tcBorders>
              <w:top w:val="single" w:sz="4" w:space="0" w:color="auto"/>
              <w:left w:val="single" w:sz="4" w:space="0" w:color="auto"/>
              <w:bottom w:val="single" w:sz="4" w:space="0" w:color="auto"/>
              <w:right w:val="single" w:sz="4" w:space="0" w:color="auto"/>
            </w:tcBorders>
          </w:tcPr>
          <w:p w14:paraId="42E2FB3D" w14:textId="77777777" w:rsidR="007C5F6D" w:rsidRPr="006A33BB" w:rsidRDefault="00F014A9" w:rsidP="006A33BB">
            <w:pPr>
              <w:spacing w:after="0"/>
              <w:ind w:left="0"/>
              <w:rPr>
                <w:rFonts w:cs="Arial"/>
                <w:lang w:eastAsia="ro-RO"/>
              </w:rPr>
            </w:pPr>
            <w:r w:rsidRPr="006A33BB">
              <w:rPr>
                <w:rFonts w:cs="Arial"/>
                <w:lang w:eastAsia="ro-RO"/>
              </w:rPr>
              <w:t>În conformitate cu prevederile art. 104 lit. m) și art. 114 alin. (1) din Legea nr. 145/2019 privind statutul polițiștilor de penitenciare, polițistul de penitenciare are dreptul la despăgubiri</w:t>
            </w:r>
            <w:r w:rsidRPr="006A33BB">
              <w:rPr>
                <w:lang w:eastAsia="ro-RO"/>
              </w:rPr>
              <w:t xml:space="preserve"> </w:t>
            </w:r>
            <w:r w:rsidRPr="006A33BB">
              <w:rPr>
                <w:rFonts w:cs="Arial"/>
                <w:lang w:eastAsia="ro-RO"/>
              </w:rPr>
              <w:t>acordate din fondurile bugetare ale instituției, în condițiile stabilite prin hotărâre a Guvernului.</w:t>
            </w:r>
          </w:p>
          <w:p w14:paraId="04C55693" w14:textId="18CD2728" w:rsidR="00F014A9" w:rsidRPr="006A33BB" w:rsidRDefault="00F014A9" w:rsidP="006A33BB">
            <w:pPr>
              <w:spacing w:after="0"/>
              <w:ind w:left="0"/>
              <w:rPr>
                <w:rFonts w:cs="Arial"/>
                <w:color w:val="000000"/>
              </w:rPr>
            </w:pPr>
            <w:r w:rsidRPr="006A33BB">
              <w:rPr>
                <w:rFonts w:cs="Arial"/>
                <w:color w:val="000000"/>
              </w:rPr>
              <w:t>Legiuitorul a statuat în mod expres că modalitatea de acordare a despăgubirilor urmează a fi stabilită prin hotărâre de guvern.</w:t>
            </w:r>
          </w:p>
          <w:p w14:paraId="24A54388" w14:textId="77777777" w:rsidR="007C5F6D" w:rsidRPr="006A33BB" w:rsidRDefault="007C5F6D" w:rsidP="006A33BB">
            <w:pPr>
              <w:autoSpaceDE w:val="0"/>
              <w:autoSpaceDN w:val="0"/>
              <w:adjustRightInd w:val="0"/>
              <w:spacing w:after="0"/>
              <w:ind w:left="0"/>
              <w:rPr>
                <w:rFonts w:cs="Arial"/>
                <w:color w:val="000000"/>
              </w:rPr>
            </w:pPr>
            <w:r w:rsidRPr="006A33BB">
              <w:rPr>
                <w:rFonts w:cs="Arial"/>
                <w:color w:val="000000"/>
              </w:rPr>
              <w:t>Pe de altă parte, în art. 198 din legea sus menționată, s-a prevăzut că polițiștii de penitenciare beneficiază în continuare de drepturile dobândite anterior, precum și de cele care vor fi stabilite pentru personalul din sistemul național de apărare, ordine publică și securitate națională.</w:t>
            </w:r>
          </w:p>
          <w:p w14:paraId="731C8FB2" w14:textId="79DC7371" w:rsidR="007C5F6D" w:rsidRPr="006A33BB" w:rsidRDefault="007C5F6D" w:rsidP="006A33BB">
            <w:pPr>
              <w:autoSpaceDE w:val="0"/>
              <w:autoSpaceDN w:val="0"/>
              <w:adjustRightInd w:val="0"/>
              <w:spacing w:after="0"/>
              <w:ind w:left="0"/>
              <w:rPr>
                <w:rFonts w:cs="Arial"/>
                <w:color w:val="000000"/>
              </w:rPr>
            </w:pPr>
            <w:r w:rsidRPr="006A33BB">
              <w:rPr>
                <w:rFonts w:cs="Arial"/>
                <w:color w:val="000000"/>
              </w:rPr>
              <w:t>Trebuie menționat că în luna septembrie 2008, Guvernul României a adoptat Hotărârea nr. 1083 privind asigurarea despăgubirilor de viață, sănătate și bunuri ale polițiștilor, publicată în Monitorul Oficial al României nr. 657 din 18.09.2008, prin care s-au stabilit condițiile de acordare a despăgubirilor în situația producerii riscurilor specifice activității de poliție, pentru ca ulterior Ministrul Administrației și Internelor să emită Ordinul 24/2009 privind normele metodologice de aplicare a Hotărârii Guvernului nr. 1.083/2008, astfel că prin aprobarea celor două acte normative s-a creat temeiul legal pentru acordarea de despăgubiri pentru polițiștii din Ministrul Administrației și Internelor.</w:t>
            </w:r>
          </w:p>
          <w:p w14:paraId="2196E7B9" w14:textId="77777777" w:rsidR="00F014A9" w:rsidRPr="006A33BB" w:rsidRDefault="00F014A9" w:rsidP="006A33BB">
            <w:pPr>
              <w:autoSpaceDE w:val="0"/>
              <w:autoSpaceDN w:val="0"/>
              <w:adjustRightInd w:val="0"/>
              <w:spacing w:after="0"/>
              <w:ind w:left="0"/>
              <w:rPr>
                <w:rFonts w:cs="Arial"/>
                <w:lang w:eastAsia="ro-RO"/>
              </w:rPr>
            </w:pPr>
            <w:r w:rsidRPr="006A33BB">
              <w:rPr>
                <w:rFonts w:cs="Arial"/>
                <w:color w:val="000000"/>
              </w:rPr>
              <w:t>Ca și prezentare generală, pe o situație statistică elaborată la nivelul anului 2020, arătăm că cele mai frecvente situații întâlnite în cazul polițiștilor de penitenciare sunt agresiunile fizice.</w:t>
            </w:r>
            <w:r w:rsidRPr="006A33BB">
              <w:rPr>
                <w:rFonts w:cs="Arial"/>
                <w:lang w:eastAsia="ro-RO"/>
              </w:rPr>
              <w:t xml:space="preserve"> </w:t>
            </w:r>
          </w:p>
          <w:p w14:paraId="35445F07" w14:textId="7289510A" w:rsidR="00F014A9" w:rsidRPr="006A33BB" w:rsidRDefault="00F014A9" w:rsidP="006A33BB">
            <w:pPr>
              <w:spacing w:after="0"/>
              <w:ind w:left="0"/>
              <w:outlineLvl w:val="0"/>
              <w:rPr>
                <w:rFonts w:eastAsia="Times New Roman" w:cs="Arial"/>
                <w:lang w:eastAsia="ro-RO"/>
              </w:rPr>
            </w:pPr>
            <w:r w:rsidRPr="006A33BB">
              <w:rPr>
                <w:rFonts w:eastAsia="Times New Roman" w:cs="Arial"/>
                <w:lang w:eastAsia="ro-RO"/>
              </w:rPr>
              <w:t>Pe parcursul anului 2020 au fost semnalate 109 de incidente care vizau problematica agresivităţii la adresa personalului. Dintre acestea, 12 de evenimente au presupus agresivitate fizică la adresa poliţiştilor de penitenciare (prin loviri cu membrele superioare/inferioare sau cu obiecte confecționate din metal sau lemn), 10 au fost tentative de lovire, iar 8 agresiuni au fost materializate prin dispersare de lichide asupra personalulu</w:t>
            </w:r>
            <w:r w:rsidR="008A3E66" w:rsidRPr="006A33BB">
              <w:rPr>
                <w:rFonts w:eastAsia="Times New Roman" w:cs="Arial"/>
                <w:lang w:eastAsia="ro-RO"/>
              </w:rPr>
              <w:t>i</w:t>
            </w:r>
            <w:r w:rsidRPr="006A33BB">
              <w:rPr>
                <w:rFonts w:eastAsia="Times New Roman" w:cs="Arial"/>
                <w:lang w:eastAsia="ro-RO"/>
              </w:rPr>
              <w:t xml:space="preserve">. </w:t>
            </w:r>
          </w:p>
          <w:p w14:paraId="1AFE5993" w14:textId="5E5C0974" w:rsidR="00F014A9" w:rsidRPr="006A33BB" w:rsidRDefault="00F014A9" w:rsidP="006A33BB">
            <w:pPr>
              <w:spacing w:after="0"/>
              <w:ind w:left="0"/>
              <w:outlineLvl w:val="0"/>
              <w:rPr>
                <w:rFonts w:eastAsia="Times New Roman" w:cs="Arial"/>
                <w:lang w:eastAsia="ro-RO"/>
              </w:rPr>
            </w:pPr>
            <w:r w:rsidRPr="006A33BB">
              <w:rPr>
                <w:rFonts w:eastAsia="Times New Roman" w:cs="Arial"/>
                <w:lang w:eastAsia="ro-RO"/>
              </w:rPr>
              <w:t xml:space="preserve">Comparativ cu anul 2019, în 2020 numărul agresiunilor asupra personalului a scăzut cu 31%, fiind dispersate în 33 de unităţi penitenciare (spre deosebire de cele 40 notate  pentru anul </w:t>
            </w:r>
            <w:r w:rsidRPr="006A33BB">
              <w:rPr>
                <w:rFonts w:eastAsia="Times New Roman" w:cs="Arial"/>
                <w:lang w:eastAsia="ro-RO"/>
              </w:rPr>
              <w:lastRenderedPageBreak/>
              <w:t xml:space="preserve">precedent). </w:t>
            </w:r>
          </w:p>
          <w:p w14:paraId="2ABF2190" w14:textId="77777777" w:rsidR="00F014A9" w:rsidRPr="006A33BB" w:rsidRDefault="00F014A9" w:rsidP="006A33BB">
            <w:pPr>
              <w:autoSpaceDE w:val="0"/>
              <w:autoSpaceDN w:val="0"/>
              <w:adjustRightInd w:val="0"/>
              <w:spacing w:after="0"/>
              <w:ind w:left="0"/>
              <w:rPr>
                <w:rFonts w:eastAsia="Times New Roman" w:cs="Arial"/>
                <w:lang w:eastAsia="ro-RO"/>
              </w:rPr>
            </w:pPr>
            <w:r w:rsidRPr="006A33BB">
              <w:rPr>
                <w:rFonts w:eastAsia="Times New Roman" w:cs="Arial"/>
                <w:lang w:eastAsia="ro-RO"/>
              </w:rPr>
              <w:t>Conform datelor înregistrate pentru perioada 2016-2020, se constată faptul că agresiunile exercitate de către persoanele private de libertate la adresa personalului manifestă un curs fluctuant, fiind dependente de anumite schimbări suvernite în plan judiciar și de evenimente negative ce prezintă repercusiuni asupra bunăstării psihice a deținuților.</w:t>
            </w:r>
          </w:p>
          <w:p w14:paraId="1D1D42DA" w14:textId="77777777" w:rsidR="00F014A9" w:rsidRPr="006A33BB" w:rsidRDefault="00F014A9" w:rsidP="006A33BB">
            <w:pPr>
              <w:spacing w:after="0"/>
              <w:ind w:left="0"/>
              <w:outlineLvl w:val="0"/>
              <w:rPr>
                <w:rFonts w:eastAsia="Times New Roman" w:cs="Arial"/>
                <w:lang w:eastAsia="ro-RO"/>
              </w:rPr>
            </w:pPr>
            <w:r w:rsidRPr="006A33BB">
              <w:rPr>
                <w:rFonts w:eastAsia="Times New Roman" w:cs="Arial"/>
                <w:lang w:eastAsia="ro-RO"/>
              </w:rPr>
              <w:t>Similar cu situația incidentelor semnalate în anii precedenţi, zona de risc predilectă în producerea de agresiuni împotriva personalului se menţine, în anul 2020, pentru spațiile aferente locului de deținere</w:t>
            </w:r>
            <w:r w:rsidRPr="006A33BB">
              <w:rPr>
                <w:rFonts w:eastAsia="Times New Roman" w:cs="Arial"/>
                <w:bCs/>
                <w:lang w:eastAsia="ro-RO"/>
              </w:rPr>
              <w:t xml:space="preserve">. </w:t>
            </w:r>
          </w:p>
          <w:p w14:paraId="069A62F1" w14:textId="77777777" w:rsidR="00F014A9" w:rsidRPr="006A33BB" w:rsidRDefault="00F014A9" w:rsidP="006A33BB">
            <w:pPr>
              <w:spacing w:after="0"/>
              <w:ind w:left="0"/>
              <w:outlineLvl w:val="0"/>
              <w:rPr>
                <w:rFonts w:eastAsia="Times New Roman" w:cs="Arial"/>
                <w:lang w:eastAsia="ro-RO"/>
              </w:rPr>
            </w:pPr>
            <w:r w:rsidRPr="006A33BB">
              <w:rPr>
                <w:rFonts w:eastAsia="Times New Roman" w:cs="Arial"/>
                <w:lang w:eastAsia="ro-RO"/>
              </w:rPr>
              <w:t xml:space="preserve">Se constată că în perioada 2017-2020 locul cel mai vulnerabil din perspectiva producerii incidentelor pe linia agresiunilor la adresa personalului este holul secției de deținere de deţinere (63 de situaţii semnalate în anul 2020), precedat de camera de deţinere (15 de evenimente în anul 2020) şi de cabinetul medical (6 evenimente în anul 2020). </w:t>
            </w:r>
          </w:p>
          <w:p w14:paraId="6BD25E70" w14:textId="77777777" w:rsidR="00F014A9" w:rsidRPr="006A33BB" w:rsidRDefault="00F014A9" w:rsidP="006A33BB">
            <w:pPr>
              <w:spacing w:after="0"/>
              <w:ind w:left="0"/>
              <w:rPr>
                <w:rFonts w:eastAsia="Times New Roman" w:cs="Arial"/>
                <w:lang w:eastAsia="ro-RO"/>
              </w:rPr>
            </w:pPr>
            <w:r w:rsidRPr="006A33BB">
              <w:rPr>
                <w:rFonts w:eastAsia="Times New Roman" w:cs="Arial"/>
                <w:lang w:eastAsia="ro-RO"/>
              </w:rPr>
              <w:t>Conform datelor existente, pentru evenimentele din 2020, 45 din cele 109 de incidente au fost motivate de stări de agitație cauzate de diferite motive (</w:t>
            </w:r>
            <w:proofErr w:type="spellStart"/>
            <w:r w:rsidRPr="006A33BB">
              <w:rPr>
                <w:rFonts w:eastAsia="Times New Roman" w:cs="Arial"/>
                <w:lang w:val="en-US" w:eastAsia="ro-RO"/>
              </w:rPr>
              <w:t>probleme</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personale</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neaprobare</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cereri</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lipsa</w:t>
            </w:r>
            <w:proofErr w:type="spellEnd"/>
            <w:r w:rsidRPr="006A33BB">
              <w:rPr>
                <w:rFonts w:eastAsia="Times New Roman" w:cs="Arial"/>
                <w:lang w:val="en-US" w:eastAsia="ro-RO"/>
              </w:rPr>
              <w:t xml:space="preserve"> de </w:t>
            </w:r>
            <w:proofErr w:type="spellStart"/>
            <w:r w:rsidRPr="006A33BB">
              <w:rPr>
                <w:rFonts w:eastAsia="Times New Roman" w:cs="Arial"/>
                <w:lang w:val="en-US" w:eastAsia="ro-RO"/>
              </w:rPr>
              <w:t>țigări</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efectuare</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percheziție</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refuz</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semnare</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declarație</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modul</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în</w:t>
            </w:r>
            <w:proofErr w:type="spellEnd"/>
            <w:r w:rsidRPr="006A33BB">
              <w:rPr>
                <w:rFonts w:eastAsia="Times New Roman" w:cs="Arial"/>
                <w:lang w:val="en-US" w:eastAsia="ro-RO"/>
              </w:rPr>
              <w:t xml:space="preserve"> care I s-a </w:t>
            </w:r>
            <w:proofErr w:type="spellStart"/>
            <w:r w:rsidRPr="006A33BB">
              <w:rPr>
                <w:rFonts w:eastAsia="Times New Roman" w:cs="Arial"/>
                <w:lang w:val="en-US" w:eastAsia="ro-RO"/>
              </w:rPr>
              <w:t>acordat</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asistența</w:t>
            </w:r>
            <w:proofErr w:type="spellEnd"/>
            <w:r w:rsidRPr="006A33BB">
              <w:rPr>
                <w:rFonts w:eastAsia="Times New Roman" w:cs="Arial"/>
                <w:lang w:val="en-US" w:eastAsia="ro-RO"/>
              </w:rPr>
              <w:t xml:space="preserve"> </w:t>
            </w:r>
            <w:proofErr w:type="spellStart"/>
            <w:r w:rsidRPr="006A33BB">
              <w:rPr>
                <w:rFonts w:eastAsia="Times New Roman" w:cs="Arial"/>
                <w:lang w:val="en-US" w:eastAsia="ro-RO"/>
              </w:rPr>
              <w:t>medicală</w:t>
            </w:r>
            <w:proofErr w:type="spellEnd"/>
            <w:r w:rsidRPr="006A33BB">
              <w:rPr>
                <w:rFonts w:eastAsia="Times New Roman" w:cs="Arial"/>
                <w:lang w:val="en-US" w:eastAsia="ro-RO"/>
              </w:rPr>
              <w:t xml:space="preserve">), 3 </w:t>
            </w:r>
            <w:r w:rsidRPr="006A33BB">
              <w:rPr>
                <w:rFonts w:eastAsia="Times New Roman" w:cs="Arial"/>
                <w:lang w:eastAsia="ro-RO"/>
              </w:rPr>
              <w:t xml:space="preserve">interzicerea stabilirii de legături nepermise cu alţi deţinuţi, 5 au avut drept fundament întocmirea anterioară a unor rapoarte de incident şi, subsecvent, manifestarea agresiunii la adresa personalului, în scop vindicativ, iar 25 de raportări pentru 2020 nu au cuprins şi motivaţia deţinuţilor agresori.  </w:t>
            </w:r>
          </w:p>
          <w:p w14:paraId="007DD2F2" w14:textId="77777777" w:rsidR="00F014A9" w:rsidRPr="006A33BB" w:rsidRDefault="00F014A9" w:rsidP="006A33BB">
            <w:pPr>
              <w:spacing w:after="0"/>
              <w:ind w:left="0"/>
              <w:rPr>
                <w:rFonts w:eastAsia="Times New Roman" w:cs="Arial"/>
                <w:lang w:eastAsia="ro-RO"/>
              </w:rPr>
            </w:pPr>
            <w:r w:rsidRPr="006A33BB">
              <w:rPr>
                <w:rFonts w:eastAsia="Times New Roman" w:cs="Arial"/>
                <w:lang w:eastAsia="ro-RO"/>
              </w:rPr>
              <w:t>Cu privire la motivaţia care a stat la baza celorlalte 31 de  acte de agresiune orientate împotriva personalului, similar anilor precedenţi, situaţia statistică relevă următoarele aspecte:</w:t>
            </w:r>
          </w:p>
          <w:p w14:paraId="761242BC" w14:textId="77777777" w:rsidR="00F014A9" w:rsidRPr="006A33BB" w:rsidRDefault="00F014A9" w:rsidP="006A33BB">
            <w:pPr>
              <w:spacing w:after="0"/>
              <w:ind w:firstLine="720"/>
              <w:rPr>
                <w:rFonts w:eastAsia="Times New Roman" w:cs="Arial"/>
                <w:lang w:eastAsia="ro-RO"/>
              </w:rPr>
            </w:pPr>
          </w:p>
          <w:p w14:paraId="359728AD" w14:textId="77777777" w:rsidR="00F014A9" w:rsidRPr="006A33BB" w:rsidRDefault="00F014A9" w:rsidP="006A33BB">
            <w:pPr>
              <w:pStyle w:val="ListParagraph"/>
              <w:numPr>
                <w:ilvl w:val="0"/>
                <w:numId w:val="21"/>
              </w:numPr>
              <w:spacing w:after="0"/>
              <w:rPr>
                <w:rFonts w:eastAsia="Times New Roman" w:cs="Arial"/>
                <w:lang w:eastAsia="ro-RO"/>
              </w:rPr>
            </w:pPr>
            <w:r w:rsidRPr="006A33BB">
              <w:rPr>
                <w:rFonts w:eastAsia="Times New Roman" w:cs="Arial"/>
                <w:lang w:eastAsia="ro-RO"/>
              </w:rPr>
              <w:t>Pentru  nemulțumiri legate de întocmirea unui raport de incident: 5 cazuri;</w:t>
            </w:r>
          </w:p>
          <w:p w14:paraId="030035F7" w14:textId="77777777" w:rsidR="00F014A9" w:rsidRPr="006A33BB" w:rsidRDefault="00F014A9" w:rsidP="006A33BB">
            <w:pPr>
              <w:pStyle w:val="ListParagraph"/>
              <w:numPr>
                <w:ilvl w:val="0"/>
                <w:numId w:val="21"/>
              </w:numPr>
              <w:spacing w:after="0"/>
              <w:rPr>
                <w:rFonts w:eastAsia="Times New Roman" w:cs="Arial"/>
                <w:lang w:eastAsia="ro-RO"/>
              </w:rPr>
            </w:pPr>
            <w:r w:rsidRPr="006A33BB">
              <w:rPr>
                <w:rFonts w:eastAsia="Times New Roman" w:cs="Arial"/>
                <w:lang w:eastAsia="ro-RO"/>
              </w:rPr>
              <w:t>Pentru pregătirea în vederea transferării la un alt penitenciar: 4 cazuri;</w:t>
            </w:r>
          </w:p>
          <w:p w14:paraId="3A22F24A" w14:textId="77777777" w:rsidR="00F014A9" w:rsidRPr="006A33BB" w:rsidRDefault="00F014A9" w:rsidP="006A33BB">
            <w:pPr>
              <w:pStyle w:val="ListParagraph"/>
              <w:numPr>
                <w:ilvl w:val="0"/>
                <w:numId w:val="21"/>
              </w:numPr>
              <w:spacing w:after="0"/>
              <w:rPr>
                <w:rFonts w:eastAsia="Times New Roman" w:cs="Arial"/>
                <w:lang w:eastAsia="ro-RO"/>
              </w:rPr>
            </w:pPr>
            <w:r w:rsidRPr="006A33BB">
              <w:rPr>
                <w:rFonts w:eastAsia="Times New Roman" w:cs="Arial"/>
                <w:lang w:eastAsia="ro-RO"/>
              </w:rPr>
              <w:t>Pentru refuzul de a se muta sau mutarea la o altă cameră de deţinere: 7 cazuri;</w:t>
            </w:r>
          </w:p>
          <w:p w14:paraId="69B5C525" w14:textId="77777777" w:rsidR="00F014A9" w:rsidRPr="006A33BB" w:rsidRDefault="00F014A9" w:rsidP="006A33BB">
            <w:pPr>
              <w:pStyle w:val="ListParagraph"/>
              <w:numPr>
                <w:ilvl w:val="0"/>
                <w:numId w:val="21"/>
              </w:numPr>
              <w:spacing w:after="0"/>
              <w:rPr>
                <w:rFonts w:eastAsia="Times New Roman" w:cs="Arial"/>
                <w:lang w:eastAsia="ro-RO"/>
              </w:rPr>
            </w:pPr>
            <w:r w:rsidRPr="006A33BB">
              <w:rPr>
                <w:rFonts w:eastAsia="Times New Roman" w:cs="Arial"/>
                <w:lang w:eastAsia="ro-RO"/>
              </w:rPr>
              <w:t>Pentru resimţirea unor nemulţumiri referitoare la rezoluţiile Comisiei de liberare condiţionată: 3 cazuri;</w:t>
            </w:r>
          </w:p>
          <w:p w14:paraId="7D58F920" w14:textId="77777777" w:rsidR="00F014A9" w:rsidRPr="006A33BB" w:rsidRDefault="00F014A9" w:rsidP="006A33BB">
            <w:pPr>
              <w:pStyle w:val="ListParagraph"/>
              <w:numPr>
                <w:ilvl w:val="0"/>
                <w:numId w:val="21"/>
              </w:numPr>
              <w:spacing w:after="0"/>
              <w:rPr>
                <w:rFonts w:eastAsia="Times New Roman" w:cs="Arial"/>
                <w:lang w:eastAsia="ro-RO"/>
              </w:rPr>
            </w:pPr>
            <w:r w:rsidRPr="006A33BB">
              <w:rPr>
                <w:rFonts w:eastAsia="Times New Roman" w:cs="Arial"/>
                <w:lang w:eastAsia="ro-RO"/>
              </w:rPr>
              <w:t>Pentru primirea unor dispoziţii la care nu au dorit să se supună: 8 cazuri;</w:t>
            </w:r>
          </w:p>
          <w:p w14:paraId="595A34EA" w14:textId="77777777" w:rsidR="00F014A9" w:rsidRPr="006A33BB" w:rsidRDefault="00F014A9" w:rsidP="006A33BB">
            <w:pPr>
              <w:pStyle w:val="ListParagraph"/>
              <w:numPr>
                <w:ilvl w:val="0"/>
                <w:numId w:val="21"/>
              </w:numPr>
              <w:spacing w:after="0"/>
              <w:rPr>
                <w:rFonts w:eastAsia="Times New Roman" w:cs="Arial"/>
                <w:lang w:eastAsia="ro-RO"/>
              </w:rPr>
            </w:pPr>
            <w:r w:rsidRPr="006A33BB">
              <w:rPr>
                <w:rFonts w:eastAsia="Times New Roman" w:cs="Arial"/>
                <w:lang w:eastAsia="ro-RO"/>
              </w:rPr>
              <w:t>Aflat sub influenţa băuturilor alcoolice: un incident;</w:t>
            </w:r>
          </w:p>
          <w:p w14:paraId="74ACCB3F" w14:textId="77777777" w:rsidR="00F014A9" w:rsidRPr="006A33BB" w:rsidRDefault="00F014A9" w:rsidP="006A33BB">
            <w:pPr>
              <w:pStyle w:val="ListParagraph"/>
              <w:numPr>
                <w:ilvl w:val="0"/>
                <w:numId w:val="21"/>
              </w:numPr>
              <w:spacing w:after="0"/>
              <w:rPr>
                <w:rFonts w:eastAsia="Times New Roman" w:cs="Arial"/>
                <w:lang w:eastAsia="ro-RO"/>
              </w:rPr>
            </w:pPr>
            <w:r w:rsidRPr="006A33BB">
              <w:rPr>
                <w:rFonts w:eastAsia="Times New Roman" w:cs="Arial"/>
                <w:lang w:eastAsia="ro-RO"/>
              </w:rPr>
              <w:t>Cu ocazia depunerii în penitenciar: un caz;</w:t>
            </w:r>
          </w:p>
          <w:p w14:paraId="23FE32B7" w14:textId="77777777" w:rsidR="00F014A9" w:rsidRPr="006A33BB" w:rsidRDefault="00F014A9" w:rsidP="006A33BB">
            <w:pPr>
              <w:pStyle w:val="ListParagraph"/>
              <w:numPr>
                <w:ilvl w:val="0"/>
                <w:numId w:val="21"/>
              </w:numPr>
              <w:spacing w:after="0"/>
              <w:rPr>
                <w:rFonts w:eastAsia="Times New Roman" w:cs="Arial"/>
                <w:lang w:eastAsia="ro-RO"/>
              </w:rPr>
            </w:pPr>
            <w:r w:rsidRPr="006A33BB">
              <w:rPr>
                <w:rFonts w:eastAsia="Times New Roman" w:cs="Arial"/>
                <w:lang w:eastAsia="ro-RO"/>
              </w:rPr>
              <w:t>Nemultumiri legate de tratamentul medical primit: un caz.</w:t>
            </w:r>
          </w:p>
          <w:p w14:paraId="19B7629C" w14:textId="77777777" w:rsidR="006A33BB" w:rsidRPr="006A33BB" w:rsidRDefault="006A33BB" w:rsidP="006A33BB">
            <w:pPr>
              <w:autoSpaceDE w:val="0"/>
              <w:autoSpaceDN w:val="0"/>
              <w:adjustRightInd w:val="0"/>
              <w:spacing w:after="0"/>
              <w:ind w:left="0"/>
              <w:rPr>
                <w:rFonts w:cs="Arial"/>
                <w:color w:val="000000"/>
              </w:rPr>
            </w:pPr>
            <w:r w:rsidRPr="006A33BB">
              <w:rPr>
                <w:rFonts w:cs="Arial"/>
                <w:color w:val="000000"/>
              </w:rPr>
              <w:t xml:space="preserve">Pe parcursul anului 2019 au fost semnalate 158 de incidente care vizau problematica agresivității la adresa personalului. Dintre acestea, 25 de evenimente au presupus agresivitate fizică la adresa polițiștilor de penitenciare (prin loviri cu membrele superioare sau cu obiecte), 23 au fost tentative de lovire, iar 7 agresiuni au fost materializate prin împrăștiere de lichide/împingere a personalului. </w:t>
            </w:r>
          </w:p>
          <w:p w14:paraId="2B4EBA5D" w14:textId="77777777" w:rsidR="006A33BB" w:rsidRPr="006A33BB" w:rsidRDefault="006A33BB" w:rsidP="006A33BB">
            <w:pPr>
              <w:autoSpaceDE w:val="0"/>
              <w:autoSpaceDN w:val="0"/>
              <w:adjustRightInd w:val="0"/>
              <w:spacing w:after="0"/>
              <w:ind w:left="0"/>
              <w:rPr>
                <w:rFonts w:cs="Arial"/>
                <w:color w:val="000000"/>
              </w:rPr>
            </w:pPr>
            <w:r w:rsidRPr="006A33BB">
              <w:rPr>
                <w:rFonts w:cs="Arial"/>
                <w:color w:val="000000"/>
              </w:rPr>
              <w:t xml:space="preserve">Comparativ cu anul 2018, în anul 2019 numărul agresiunilor asupra personalului a crescut cu 35%, fiind dispersate în 40 de unități </w:t>
            </w:r>
            <w:r w:rsidRPr="006A33BB">
              <w:rPr>
                <w:rFonts w:cs="Arial"/>
                <w:color w:val="000000"/>
              </w:rPr>
              <w:lastRenderedPageBreak/>
              <w:t xml:space="preserve">penitenciare (spre deosebire de cele 36 notate  pentru anul precedent). </w:t>
            </w:r>
          </w:p>
          <w:p w14:paraId="2C342B60" w14:textId="29AC9EFD" w:rsidR="006A33BB" w:rsidRPr="006A33BB" w:rsidRDefault="006A33BB" w:rsidP="006A33BB">
            <w:pPr>
              <w:autoSpaceDE w:val="0"/>
              <w:autoSpaceDN w:val="0"/>
              <w:adjustRightInd w:val="0"/>
              <w:spacing w:after="0"/>
              <w:ind w:left="0"/>
              <w:rPr>
                <w:rFonts w:cs="Arial"/>
                <w:lang w:eastAsia="ro-RO"/>
              </w:rPr>
            </w:pPr>
            <w:r w:rsidRPr="006A33BB">
              <w:rPr>
                <w:rFonts w:cs="Arial"/>
                <w:lang w:eastAsia="ro-RO"/>
              </w:rPr>
              <w:t>Dacă în perioada 2014-2018 locul cel mai vulnerabil, din perspectiva producerii incidentelor în ceea ce privește agresiunile la adresa personalului, a fost camera de deținere, în anul 2019, locul cel mai vulnerabil a fost holul secției de deținere (54 de situații semnalate), urmat de camera de deținere (32 de evenimente) și de cabinetul medical (14 evenimente).</w:t>
            </w:r>
          </w:p>
          <w:p w14:paraId="06504466" w14:textId="77777777" w:rsidR="006A33BB" w:rsidRPr="006A33BB" w:rsidRDefault="006A33BB" w:rsidP="006A33BB">
            <w:pPr>
              <w:autoSpaceDE w:val="0"/>
              <w:autoSpaceDN w:val="0"/>
              <w:adjustRightInd w:val="0"/>
              <w:spacing w:after="0"/>
              <w:ind w:left="0"/>
              <w:rPr>
                <w:rFonts w:cs="Arial"/>
                <w:color w:val="000000"/>
              </w:rPr>
            </w:pPr>
            <w:r w:rsidRPr="006A33BB">
              <w:rPr>
                <w:rFonts w:cs="Arial"/>
                <w:color w:val="000000"/>
              </w:rPr>
              <w:t>Complinitor, conform datelor înregistrate pentru perioada 2015-2019, se constată faptul că agresiunile exercitate de către persoanele private de libertate la adresa personalului manifestă un curs fluctuant, fiind dependente de anumite schimbări survenite în plan judiciar și de evenimente negative ce prezintă repercusiuni asupra bunăstării psihice a deținuților.</w:t>
            </w:r>
          </w:p>
          <w:p w14:paraId="505CC2E3" w14:textId="77777777" w:rsidR="006A33BB" w:rsidRPr="006A33BB" w:rsidRDefault="006A33BB" w:rsidP="006A33BB">
            <w:pPr>
              <w:autoSpaceDE w:val="0"/>
              <w:autoSpaceDN w:val="0"/>
              <w:adjustRightInd w:val="0"/>
              <w:spacing w:after="0"/>
              <w:ind w:left="0"/>
              <w:rPr>
                <w:rFonts w:cs="Arial"/>
                <w:color w:val="000000"/>
              </w:rPr>
            </w:pPr>
            <w:r w:rsidRPr="006A33BB">
              <w:rPr>
                <w:rFonts w:cs="Arial"/>
                <w:color w:val="000000"/>
              </w:rPr>
              <w:t>În decursul anului 2019, fenomenul agresivității asupra personalului a fost regăsit la nivel sistemic, doar în 5 unități nu a fost semnalat niciun caz de ultraj/agresiune la adresa personalului.</w:t>
            </w:r>
          </w:p>
          <w:p w14:paraId="11AD6365" w14:textId="77777777" w:rsidR="006A33BB" w:rsidRPr="006A33BB" w:rsidRDefault="006A33BB" w:rsidP="006A33BB">
            <w:pPr>
              <w:autoSpaceDE w:val="0"/>
              <w:autoSpaceDN w:val="0"/>
              <w:adjustRightInd w:val="0"/>
              <w:spacing w:after="0"/>
              <w:ind w:left="0"/>
              <w:rPr>
                <w:rFonts w:cs="Arial"/>
                <w:color w:val="000000"/>
              </w:rPr>
            </w:pPr>
            <w:r w:rsidRPr="006A33BB">
              <w:rPr>
                <w:rFonts w:cs="Arial"/>
                <w:color w:val="000000"/>
              </w:rPr>
              <w:t>Similar cu situația incidentelor semnalate în anii precedenți, zona de risc predilectă în producerea de agresiuni împotriva personalului se menține, în anul 2019, pentru spațiile aferente locului de deținere.</w:t>
            </w:r>
          </w:p>
          <w:p w14:paraId="43CAE6DE" w14:textId="77777777" w:rsidR="006A33BB" w:rsidRPr="006A33BB" w:rsidRDefault="006A33BB" w:rsidP="006A33BB">
            <w:pPr>
              <w:autoSpaceDE w:val="0"/>
              <w:autoSpaceDN w:val="0"/>
              <w:adjustRightInd w:val="0"/>
              <w:spacing w:after="0"/>
              <w:ind w:left="0"/>
              <w:rPr>
                <w:rFonts w:cs="Arial"/>
                <w:color w:val="000000"/>
              </w:rPr>
            </w:pPr>
            <w:r w:rsidRPr="006A33BB">
              <w:rPr>
                <w:rFonts w:cs="Arial"/>
                <w:color w:val="000000"/>
              </w:rPr>
              <w:t xml:space="preserve">Conform datelor existente, pentru evenimentele din 2019, 14 din cele 158 de incidente au fost motivate de interzicerea stabilirii de legături nepermise cu alți deținuți, 7 au avut drept fundament întocmirea anterioară a unor rapoarte de incident și, subsecvent, manifestarea agresiunii la adresa personalului, în scop vindicativ, iar 55 de raportări pentru 2019 nu au cuprins și motivația deținuților agresori.  </w:t>
            </w:r>
          </w:p>
          <w:p w14:paraId="5A07AFEF" w14:textId="77777777" w:rsidR="006A33BB" w:rsidRPr="006A33BB" w:rsidRDefault="006A33BB" w:rsidP="006A33BB">
            <w:pPr>
              <w:autoSpaceDE w:val="0"/>
              <w:autoSpaceDN w:val="0"/>
              <w:adjustRightInd w:val="0"/>
              <w:spacing w:after="0"/>
              <w:ind w:left="0"/>
              <w:rPr>
                <w:rFonts w:cs="Arial"/>
                <w:color w:val="000000"/>
              </w:rPr>
            </w:pPr>
            <w:r w:rsidRPr="006A33BB">
              <w:rPr>
                <w:rFonts w:cs="Arial"/>
                <w:color w:val="000000"/>
              </w:rPr>
              <w:t xml:space="preserve"> Cu privire la motivația care a stat la baza celorlalte 80 de acte de agresiune orientate împotriva personalului, similar anilor precedenți, situația statistică relevă următoarele aspecte:</w:t>
            </w:r>
          </w:p>
          <w:p w14:paraId="73F54321" w14:textId="32BC769D"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neselecționare la activități sportive: un caz;</w:t>
            </w:r>
          </w:p>
          <w:p w14:paraId="231D4AFE" w14:textId="2FED34AC"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refuzarea internării la infirmeria unității penitenciare: 2 situații;</w:t>
            </w:r>
          </w:p>
          <w:p w14:paraId="35D2AB72" w14:textId="3A9C2A03"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pregătirea în vederea transferării la un alt penitenciar: 3 cazuri;</w:t>
            </w:r>
          </w:p>
          <w:p w14:paraId="6E07FE97" w14:textId="30B2B39D"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neacordarea unei vizite: un caz;</w:t>
            </w:r>
          </w:p>
          <w:p w14:paraId="43BEE050" w14:textId="758C3E13"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mutarea la o altă cameră de deținere: 6 evenimente;</w:t>
            </w:r>
          </w:p>
          <w:p w14:paraId="0CB047D7" w14:textId="0621B689"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stoparea intrării neautorizate în incinta punctului comercial al penitenciarului: 2 situații;</w:t>
            </w:r>
          </w:p>
          <w:p w14:paraId="61C0B05C" w14:textId="0F9C3E47"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întârzierea prezentării la cabinetul medical: 4 incidente;</w:t>
            </w:r>
          </w:p>
          <w:p w14:paraId="383AAE89" w14:textId="033D6FC7"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resimțirea unor nemulțumiri referitoare la rezoluțiile Comisiei de liberare condiționată: un caz;</w:t>
            </w:r>
          </w:p>
          <w:p w14:paraId="3E4693F0" w14:textId="2C972388"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negăsirea unor obiecte personale: o situație;</w:t>
            </w:r>
          </w:p>
          <w:p w14:paraId="34A633AF" w14:textId="1F8C5F55"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primirea unor dispoziții la care nu au dorit să se supună: 6 cazuri;</w:t>
            </w:r>
          </w:p>
          <w:p w14:paraId="67197DB7" w14:textId="16639548"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calitatea de martor împotriva deținutului: 2 evenimente;</w:t>
            </w:r>
          </w:p>
          <w:p w14:paraId="57F8B7B6" w14:textId="288379CE"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neprimirea în audiență într-o altă zi decât cea stabilită: un incident;</w:t>
            </w:r>
          </w:p>
          <w:p w14:paraId="7BAC9FF9" w14:textId="3613423D"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Aflat sub influența băuturilor alcoolice: un incident;</w:t>
            </w:r>
          </w:p>
          <w:p w14:paraId="28821203" w14:textId="1A3D658D"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t>Pentru surprinderea în încercarea de a se droga: o situație;</w:t>
            </w:r>
          </w:p>
          <w:p w14:paraId="20F9CEFD" w14:textId="3E2853CF" w:rsidR="006A33BB" w:rsidRPr="006A33BB" w:rsidRDefault="006A33BB" w:rsidP="006A33BB">
            <w:pPr>
              <w:pStyle w:val="ListParagraph"/>
              <w:numPr>
                <w:ilvl w:val="0"/>
                <w:numId w:val="23"/>
              </w:numPr>
              <w:autoSpaceDE w:val="0"/>
              <w:autoSpaceDN w:val="0"/>
              <w:adjustRightInd w:val="0"/>
              <w:spacing w:after="0"/>
              <w:rPr>
                <w:rFonts w:cs="Arial"/>
                <w:color w:val="000000"/>
              </w:rPr>
            </w:pPr>
            <w:r w:rsidRPr="006A33BB">
              <w:rPr>
                <w:rFonts w:cs="Arial"/>
                <w:color w:val="000000"/>
              </w:rPr>
              <w:lastRenderedPageBreak/>
              <w:t>Pentru primirea interdicției, în calitate de persoană civilă vizitatoare: 7 cazuri.</w:t>
            </w:r>
          </w:p>
          <w:p w14:paraId="5592181C" w14:textId="77777777" w:rsidR="006A33BB" w:rsidRPr="006A33BB" w:rsidRDefault="006A33BB" w:rsidP="006A33BB">
            <w:pPr>
              <w:autoSpaceDE w:val="0"/>
              <w:autoSpaceDN w:val="0"/>
              <w:adjustRightInd w:val="0"/>
              <w:spacing w:after="0"/>
              <w:ind w:left="0"/>
              <w:rPr>
                <w:rFonts w:cs="Arial"/>
                <w:color w:val="000000"/>
              </w:rPr>
            </w:pPr>
          </w:p>
          <w:p w14:paraId="2A8687D8" w14:textId="77777777" w:rsidR="006A33BB" w:rsidRPr="006A33BB" w:rsidRDefault="006A33BB" w:rsidP="006A33BB">
            <w:pPr>
              <w:autoSpaceDE w:val="0"/>
              <w:autoSpaceDN w:val="0"/>
              <w:adjustRightInd w:val="0"/>
              <w:spacing w:after="0"/>
              <w:ind w:left="0"/>
              <w:rPr>
                <w:rFonts w:cs="Arial"/>
                <w:color w:val="000000"/>
              </w:rPr>
            </w:pPr>
            <w:r w:rsidRPr="006A33BB">
              <w:rPr>
                <w:rFonts w:cs="Arial"/>
                <w:color w:val="000000"/>
              </w:rPr>
              <w:t>După cum bine se poate observa, situațiile de agresiune la adresa personalului sunt evenimente care pot apărea din diverse cauze legate de îndeplinirea atribuțiilor de serviciu care sunt însă incerte și imprevizibile și care nu pot fi prevăzute.</w:t>
            </w:r>
          </w:p>
          <w:p w14:paraId="29B2C41B" w14:textId="06162B56" w:rsidR="006A33BB" w:rsidRPr="006A33BB" w:rsidRDefault="006A33BB" w:rsidP="006A33BB">
            <w:pPr>
              <w:autoSpaceDE w:val="0"/>
              <w:autoSpaceDN w:val="0"/>
              <w:adjustRightInd w:val="0"/>
              <w:spacing w:after="0"/>
              <w:ind w:left="0"/>
              <w:rPr>
                <w:iCs/>
                <w:lang w:val="it-IT"/>
              </w:rPr>
            </w:pPr>
            <w:r w:rsidRPr="006A33BB">
              <w:rPr>
                <w:rFonts w:cs="Arial"/>
                <w:color w:val="000000"/>
              </w:rPr>
              <w:t xml:space="preserve">Pe considerentele prezentate și raportându-ne la dispozițiile art. 198 din Legea nr. 145/2019 privind statutul polițiștilor de penitenciare, cât și la cele ale </w:t>
            </w:r>
            <w:r w:rsidRPr="006A33BB">
              <w:rPr>
                <w:rFonts w:cs="Arial"/>
                <w:lang w:eastAsia="ro-RO"/>
              </w:rPr>
              <w:t xml:space="preserve">art. 104 lit. m) și art. 114 alin. (1) din aceeași lege, </w:t>
            </w:r>
            <w:r w:rsidRPr="006A33BB">
              <w:rPr>
                <w:rFonts w:cs="Arial"/>
                <w:color w:val="000000"/>
              </w:rPr>
              <w:t>este necesară stabilirea cadrului legal pentru compensarea riscurilor specifice implicate de îndeplinirea atribuțiilor și a îndatoririlor de serviciu  ale polițiștilor de penitenciare, având în vedere și politica adoptată de Guvernul României pe tema despăgubirilor în sistemul de ordine publică și securitate națională prin adoptarea Hotărârii Guvernului cu nr. 1083/2008 privind asigurarea despăgubirilor de viață, sănătate și bunuri ale polițiștilor, publicată în Monitorul Oficial al României nr. 657 din 18.09.2008, modificată și completată prin Hotărârea Guvernului nr. 769/2018.</w:t>
            </w:r>
          </w:p>
          <w:p w14:paraId="5EF16CA7" w14:textId="39BD57B5" w:rsidR="006C7396" w:rsidRPr="006A33BB" w:rsidRDefault="006C7396" w:rsidP="006A33BB">
            <w:pPr>
              <w:pStyle w:val="ListParagraph"/>
              <w:tabs>
                <w:tab w:val="left" w:pos="540"/>
              </w:tabs>
              <w:ind w:left="0"/>
              <w:rPr>
                <w:iCs/>
                <w:lang w:val="it-IT"/>
              </w:rPr>
            </w:pPr>
          </w:p>
        </w:tc>
      </w:tr>
      <w:tr w:rsidR="00EC7E47" w:rsidRPr="006A33BB" w14:paraId="06DEE521" w14:textId="77777777" w:rsidTr="0099168D">
        <w:trPr>
          <w:trHeight w:val="100"/>
        </w:trPr>
        <w:tc>
          <w:tcPr>
            <w:tcW w:w="2710" w:type="dxa"/>
            <w:tcBorders>
              <w:right w:val="single" w:sz="4" w:space="0" w:color="auto"/>
            </w:tcBorders>
          </w:tcPr>
          <w:p w14:paraId="78771ED4" w14:textId="77777777" w:rsidR="00614922" w:rsidRPr="006A33BB" w:rsidRDefault="00614922" w:rsidP="006A33BB">
            <w:pPr>
              <w:spacing w:after="0"/>
              <w:ind w:left="69" w:right="34"/>
              <w:rPr>
                <w:rFonts w:cs="Arial"/>
                <w:snapToGrid w:val="0"/>
              </w:rPr>
            </w:pPr>
            <w:r w:rsidRPr="006A33BB">
              <w:rPr>
                <w:rFonts w:cs="Arial"/>
                <w:snapToGrid w:val="0"/>
              </w:rPr>
              <w:lastRenderedPageBreak/>
              <w:t>1</w:t>
            </w:r>
            <w:r w:rsidRPr="006A33BB">
              <w:rPr>
                <w:rFonts w:cs="Arial"/>
                <w:snapToGrid w:val="0"/>
                <w:vertAlign w:val="superscript"/>
              </w:rPr>
              <w:t>1</w:t>
            </w:r>
            <w:r w:rsidRPr="006A33BB">
              <w:rPr>
                <w:rFonts w:cs="Arial"/>
                <w:snapToGrid w:val="0"/>
              </w:rPr>
              <w:t>. În cazul proiectelor de acte normative care transpun legislație comunitară sau creează cadrul pentru aplicarea directă a acesteia, se vor specifica doar actele comunitare în cauză, însoțite de elementele de identificare ale acestora</w:t>
            </w:r>
          </w:p>
        </w:tc>
        <w:tc>
          <w:tcPr>
            <w:tcW w:w="7317" w:type="dxa"/>
            <w:gridSpan w:val="6"/>
            <w:tcBorders>
              <w:top w:val="single" w:sz="4" w:space="0" w:color="auto"/>
              <w:left w:val="single" w:sz="4" w:space="0" w:color="auto"/>
              <w:bottom w:val="single" w:sz="4" w:space="0" w:color="auto"/>
              <w:right w:val="single" w:sz="4" w:space="0" w:color="auto"/>
            </w:tcBorders>
          </w:tcPr>
          <w:p w14:paraId="0CE6A1EE" w14:textId="1CF660FE" w:rsidR="00614922" w:rsidRPr="006A33BB" w:rsidRDefault="00F014A9" w:rsidP="006A33BB">
            <w:pPr>
              <w:spacing w:after="0"/>
              <w:ind w:left="69" w:right="51"/>
            </w:pPr>
            <w:r w:rsidRPr="006A33BB">
              <w:t>Nu este cazul.</w:t>
            </w:r>
          </w:p>
        </w:tc>
      </w:tr>
      <w:tr w:rsidR="00EC7E47" w:rsidRPr="006A33BB" w14:paraId="41CE06D2" w14:textId="77777777" w:rsidTr="0099168D">
        <w:trPr>
          <w:trHeight w:val="100"/>
        </w:trPr>
        <w:tc>
          <w:tcPr>
            <w:tcW w:w="2710" w:type="dxa"/>
            <w:tcBorders>
              <w:right w:val="single" w:sz="4" w:space="0" w:color="auto"/>
            </w:tcBorders>
          </w:tcPr>
          <w:p w14:paraId="3008E946" w14:textId="77777777" w:rsidR="004175F0" w:rsidRPr="006A33BB" w:rsidRDefault="004175F0" w:rsidP="006A33BB">
            <w:pPr>
              <w:spacing w:after="0"/>
              <w:ind w:left="69" w:right="-391"/>
              <w:rPr>
                <w:rFonts w:cs="Arial"/>
                <w:snapToGrid w:val="0"/>
              </w:rPr>
            </w:pPr>
            <w:r w:rsidRPr="006A33BB">
              <w:rPr>
                <w:rFonts w:cs="Arial"/>
                <w:snapToGrid w:val="0"/>
              </w:rPr>
              <w:t>2. Schimbări preconizate</w:t>
            </w:r>
          </w:p>
        </w:tc>
        <w:tc>
          <w:tcPr>
            <w:tcW w:w="7317" w:type="dxa"/>
            <w:gridSpan w:val="6"/>
            <w:tcBorders>
              <w:top w:val="single" w:sz="4" w:space="0" w:color="auto"/>
              <w:left w:val="single" w:sz="4" w:space="0" w:color="auto"/>
              <w:bottom w:val="single" w:sz="4" w:space="0" w:color="auto"/>
              <w:right w:val="single" w:sz="4" w:space="0" w:color="auto"/>
            </w:tcBorders>
          </w:tcPr>
          <w:p w14:paraId="6BDFDF99" w14:textId="0107BEBA" w:rsidR="00F014A9" w:rsidRPr="006A33BB" w:rsidRDefault="007C5F6D" w:rsidP="006A33BB">
            <w:pPr>
              <w:autoSpaceDE w:val="0"/>
              <w:autoSpaceDN w:val="0"/>
              <w:adjustRightInd w:val="0"/>
              <w:spacing w:after="0"/>
              <w:ind w:left="0"/>
              <w:rPr>
                <w:rFonts w:cs="Arial"/>
                <w:color w:val="000000"/>
              </w:rPr>
            </w:pPr>
            <w:r w:rsidRPr="006A33BB">
              <w:rPr>
                <w:rFonts w:cs="Arial"/>
                <w:color w:val="000000"/>
              </w:rPr>
              <w:t>Prin adoptarea prezentului proiect de act normativ s</w:t>
            </w:r>
            <w:r w:rsidR="00F014A9" w:rsidRPr="006A33BB">
              <w:rPr>
                <w:rFonts w:cs="Arial"/>
                <w:color w:val="000000"/>
              </w:rPr>
              <w:t>e urmărește clarificarea aspectelor legislative privind dreptul la despăgubiri de care beneficiază polițiștii de penitenciare pentru riscurile ce implică îndeplinirea atribuțiilor și îndatoririlor de serviciu.</w:t>
            </w:r>
          </w:p>
          <w:p w14:paraId="0691E074" w14:textId="77777777" w:rsidR="00F014A9" w:rsidRPr="006A33BB" w:rsidRDefault="00F014A9" w:rsidP="006A33BB">
            <w:pPr>
              <w:autoSpaceDE w:val="0"/>
              <w:autoSpaceDN w:val="0"/>
              <w:adjustRightInd w:val="0"/>
              <w:spacing w:after="0"/>
              <w:ind w:left="0"/>
              <w:rPr>
                <w:rFonts w:cs="Arial"/>
                <w:color w:val="000000"/>
              </w:rPr>
            </w:pPr>
            <w:r w:rsidRPr="006A33BB">
              <w:rPr>
                <w:rFonts w:cs="Arial"/>
                <w:color w:val="000000"/>
              </w:rPr>
              <w:t>Despăgubirile constau în acordarea unei sume de bani pentru polițiștii de penitenciare, sau, în cazul decesului, pentru familiile acestora, în situația în care viața, sănătatea ori bunurile polițistului, ale soțului/soției și ale copiilor aflați în întreținerea sa sunt afectate în exercitarea atribuțiilor de serviciu sau în legătură cu acestea.</w:t>
            </w:r>
          </w:p>
          <w:p w14:paraId="255C7CF6" w14:textId="77777777" w:rsidR="00F014A9" w:rsidRPr="006A33BB" w:rsidRDefault="00F014A9" w:rsidP="006A33BB">
            <w:pPr>
              <w:autoSpaceDE w:val="0"/>
              <w:autoSpaceDN w:val="0"/>
              <w:adjustRightInd w:val="0"/>
              <w:spacing w:after="0"/>
              <w:ind w:left="0"/>
              <w:rPr>
                <w:rFonts w:cs="Arial"/>
                <w:color w:val="000000"/>
              </w:rPr>
            </w:pPr>
            <w:r w:rsidRPr="006A33BB">
              <w:rPr>
                <w:rFonts w:cs="Arial"/>
                <w:color w:val="000000"/>
              </w:rPr>
              <w:t xml:space="preserve">Polițiștii au dreptul la despăgubiri și în situația în care au suferit, din culpa instituției, un prejudiciu material în timpul îndeplinirii atribuțiilor de serviciu, fiind stabilite condițiile în care beneficiază de despăgubiri. Despăgubirile se acordă dacă faptul prejudiciabil s-a produs din motive independente de voința polițistului și în condițiile în care acesta a acționat cu respectarea normelor legale, a regulilor de conduită ori de protecție a muncii de la locul de desfășurare a activității. Unitățile din sistemul administrației penitenciare acordă </w:t>
            </w:r>
            <w:r w:rsidRPr="006A33BB">
              <w:rPr>
                <w:rFonts w:cs="Arial"/>
                <w:color w:val="000000"/>
              </w:rPr>
              <w:lastRenderedPageBreak/>
              <w:t>despăgubiri în cazuri individuale, polițiștilor sau, după caz, membrilor de familie ai acestora, în caz de vătămare,  invaliditate, deces sau pentru prejudicii aduse bunurilor acestora sau ale soțului/soției și ale copiilor aflați în întreținere.</w:t>
            </w:r>
          </w:p>
          <w:p w14:paraId="6832B365" w14:textId="77777777" w:rsidR="00F014A9" w:rsidRPr="006A33BB" w:rsidRDefault="00F014A9" w:rsidP="006A33BB">
            <w:pPr>
              <w:autoSpaceDE w:val="0"/>
              <w:autoSpaceDN w:val="0"/>
              <w:adjustRightInd w:val="0"/>
              <w:spacing w:after="0"/>
              <w:ind w:left="0"/>
              <w:rPr>
                <w:rFonts w:cs="Arial"/>
                <w:color w:val="000000"/>
              </w:rPr>
            </w:pPr>
            <w:r w:rsidRPr="006A33BB">
              <w:rPr>
                <w:rFonts w:cs="Arial"/>
                <w:color w:val="000000"/>
              </w:rPr>
              <w:t>Proiectul stabilește modalitatea, condițiile și procedura de acordare a despăgubirilor.</w:t>
            </w:r>
          </w:p>
          <w:p w14:paraId="7C191536" w14:textId="77777777" w:rsidR="00F014A9" w:rsidRPr="006A33BB" w:rsidRDefault="00F014A9" w:rsidP="006A33BB">
            <w:pPr>
              <w:autoSpaceDE w:val="0"/>
              <w:autoSpaceDN w:val="0"/>
              <w:adjustRightInd w:val="0"/>
              <w:spacing w:after="0"/>
              <w:ind w:left="0"/>
              <w:rPr>
                <w:rFonts w:cs="Arial"/>
                <w:color w:val="000000"/>
              </w:rPr>
            </w:pPr>
            <w:r w:rsidRPr="006A33BB">
              <w:rPr>
                <w:rFonts w:cs="Arial"/>
                <w:color w:val="000000"/>
              </w:rPr>
              <w:t>Pentru invaliditatea survenită în exercitarea atribuțiilor de serviciu sau în legătură cu acestea, respectiv pentru decesul polițistului de penitenciare se acordă despăgubiri al căror cuantum a fost stabilit, pentru identitate de rațiune, conform plafoanelor stabilite în Hotărârea Guvernului nr. 1083/2008 pentru asigurarea despăgubirilor de viață, sănătate și bunuri ale polițiștilor.</w:t>
            </w:r>
          </w:p>
          <w:p w14:paraId="694FAB8E" w14:textId="77777777" w:rsidR="00F014A9" w:rsidRPr="006A33BB" w:rsidRDefault="00F014A9" w:rsidP="006A33BB">
            <w:pPr>
              <w:autoSpaceDE w:val="0"/>
              <w:autoSpaceDN w:val="0"/>
              <w:adjustRightInd w:val="0"/>
              <w:spacing w:after="0"/>
              <w:ind w:left="0"/>
              <w:rPr>
                <w:rFonts w:cs="Arial"/>
                <w:color w:val="000000"/>
              </w:rPr>
            </w:pPr>
            <w:r w:rsidRPr="006A33BB">
              <w:rPr>
                <w:rFonts w:cs="Arial"/>
                <w:color w:val="000000"/>
              </w:rPr>
              <w:t>Despăgubirile acordate în baza prezentei hotărâri constituie forme de sprijin cu destinație specială.</w:t>
            </w:r>
          </w:p>
          <w:p w14:paraId="71B7236B" w14:textId="19D6AB19" w:rsidR="00AD3A26" w:rsidRPr="005B7F4F" w:rsidRDefault="00AD3A26" w:rsidP="00AD3A26">
            <w:pPr>
              <w:autoSpaceDE w:val="0"/>
              <w:autoSpaceDN w:val="0"/>
              <w:adjustRightInd w:val="0"/>
              <w:ind w:left="0"/>
              <w:rPr>
                <w:rFonts w:ascii="Arial" w:hAnsi="Arial" w:cs="Arial"/>
              </w:rPr>
            </w:pPr>
            <w:r w:rsidRPr="005B7F4F">
              <w:rPr>
                <w:rFonts w:ascii="Arial" w:hAnsi="Arial" w:cs="Arial"/>
              </w:rPr>
              <w:t xml:space="preserve">Sumele reprezentând despăgubirile </w:t>
            </w:r>
            <w:r>
              <w:rPr>
                <w:rFonts w:ascii="Arial" w:hAnsi="Arial" w:cs="Arial"/>
              </w:rPr>
              <w:t>acordate, stabilite în moneda euro</w:t>
            </w:r>
            <w:bookmarkStart w:id="0" w:name="_GoBack"/>
            <w:bookmarkEnd w:id="0"/>
            <w:r>
              <w:rPr>
                <w:rFonts w:ascii="Arial" w:hAnsi="Arial" w:cs="Arial"/>
              </w:rPr>
              <w:t xml:space="preserve">, se convertesc în </w:t>
            </w:r>
            <w:proofErr w:type="spellStart"/>
            <w:r>
              <w:rPr>
                <w:rFonts w:ascii="Arial" w:hAnsi="Arial" w:cs="Arial"/>
              </w:rPr>
              <w:t>moneda</w:t>
            </w:r>
            <w:r w:rsidRPr="005B7F4F">
              <w:rPr>
                <w:rFonts w:ascii="Arial" w:hAnsi="Arial" w:cs="Arial"/>
              </w:rPr>
              <w:t>lei</w:t>
            </w:r>
            <w:proofErr w:type="spellEnd"/>
            <w:r>
              <w:rPr>
                <w:rFonts w:ascii="Arial" w:hAnsi="Arial" w:cs="Arial"/>
              </w:rPr>
              <w:t>,</w:t>
            </w:r>
            <w:r w:rsidRPr="005B7F4F">
              <w:rPr>
                <w:rFonts w:ascii="Arial" w:hAnsi="Arial" w:cs="Arial"/>
              </w:rPr>
              <w:t xml:space="preserve"> la cursul</w:t>
            </w:r>
            <w:r>
              <w:rPr>
                <w:rFonts w:ascii="Arial" w:hAnsi="Arial" w:cs="Arial"/>
              </w:rPr>
              <w:t xml:space="preserve"> comunicat de </w:t>
            </w:r>
            <w:r w:rsidRPr="005B7F4F">
              <w:rPr>
                <w:rFonts w:ascii="Arial" w:hAnsi="Arial" w:cs="Arial"/>
              </w:rPr>
              <w:t xml:space="preserve"> </w:t>
            </w:r>
            <w:proofErr w:type="spellStart"/>
            <w:r w:rsidRPr="005B7F4F">
              <w:rPr>
                <w:rFonts w:ascii="Arial" w:hAnsi="Arial" w:cs="Arial"/>
              </w:rPr>
              <w:t>Bănc</w:t>
            </w:r>
            <w:r>
              <w:rPr>
                <w:rFonts w:ascii="Arial" w:hAnsi="Arial" w:cs="Arial"/>
              </w:rPr>
              <w:t>a</w:t>
            </w:r>
            <w:proofErr w:type="spellEnd"/>
            <w:r w:rsidRPr="005B7F4F">
              <w:rPr>
                <w:rFonts w:ascii="Arial" w:hAnsi="Arial" w:cs="Arial"/>
              </w:rPr>
              <w:t xml:space="preserve"> Național</w:t>
            </w:r>
            <w:r>
              <w:rPr>
                <w:rFonts w:ascii="Arial" w:hAnsi="Arial" w:cs="Arial"/>
              </w:rPr>
              <w:t>ă</w:t>
            </w:r>
            <w:r w:rsidRPr="005B7F4F">
              <w:rPr>
                <w:rFonts w:ascii="Arial" w:hAnsi="Arial" w:cs="Arial"/>
              </w:rPr>
              <w:t xml:space="preserve"> a României, valabil la data efectuării </w:t>
            </w:r>
            <w:proofErr w:type="spellStart"/>
            <w:r w:rsidRPr="005B7F4F">
              <w:rPr>
                <w:rFonts w:ascii="Arial" w:hAnsi="Arial" w:cs="Arial"/>
              </w:rPr>
              <w:t>plăţii</w:t>
            </w:r>
            <w:proofErr w:type="spellEnd"/>
            <w:r w:rsidRPr="005B7F4F">
              <w:rPr>
                <w:rFonts w:ascii="Arial" w:hAnsi="Arial" w:cs="Arial"/>
              </w:rPr>
              <w:t>.</w:t>
            </w:r>
          </w:p>
          <w:p w14:paraId="20DE7D1D" w14:textId="77777777" w:rsidR="00F014A9" w:rsidRPr="006A33BB" w:rsidRDefault="00F014A9" w:rsidP="006A33BB">
            <w:pPr>
              <w:autoSpaceDE w:val="0"/>
              <w:autoSpaceDN w:val="0"/>
              <w:adjustRightInd w:val="0"/>
              <w:spacing w:after="0"/>
              <w:ind w:left="0"/>
              <w:rPr>
                <w:rFonts w:cs="Arial"/>
                <w:color w:val="000000"/>
              </w:rPr>
            </w:pPr>
            <w:r w:rsidRPr="006A33BB">
              <w:rPr>
                <w:rFonts w:cs="Arial"/>
                <w:color w:val="000000"/>
              </w:rPr>
              <w:t>Despăgubirile se achită de către unitatea unde polițistul de penitenciare își desfășoară activitatea din creditele bugetare alocate cu această destinație.</w:t>
            </w:r>
          </w:p>
          <w:p w14:paraId="127273D1" w14:textId="77777777" w:rsidR="00F014A9" w:rsidRPr="006A33BB" w:rsidRDefault="00F014A9" w:rsidP="006A33BB">
            <w:pPr>
              <w:autoSpaceDE w:val="0"/>
              <w:autoSpaceDN w:val="0"/>
              <w:adjustRightInd w:val="0"/>
              <w:spacing w:after="0"/>
              <w:ind w:left="0"/>
              <w:rPr>
                <w:rFonts w:cs="Arial"/>
                <w:color w:val="000000"/>
              </w:rPr>
            </w:pPr>
            <w:r w:rsidRPr="006A33BB">
              <w:rPr>
                <w:rFonts w:cs="Arial"/>
                <w:color w:val="000000"/>
              </w:rPr>
              <w:t>În cazul în care, după efectuarea plății despăgubirilor se constată de către organele competente că producerea prejudiciilor nu are legătură cu exercitarea atribuțiilor de serviciu ale polițistului, acesta ori, după caz, membrii de familie care au beneficiat de despăgubire, vor fi obligați să restituie sumele încasate, în condițiile legii.</w:t>
            </w:r>
          </w:p>
          <w:p w14:paraId="4BD1C7D5" w14:textId="77777777" w:rsidR="00F014A9" w:rsidRPr="006A33BB" w:rsidRDefault="00F014A9" w:rsidP="006A33BB">
            <w:pPr>
              <w:autoSpaceDE w:val="0"/>
              <w:autoSpaceDN w:val="0"/>
              <w:adjustRightInd w:val="0"/>
              <w:spacing w:after="0"/>
              <w:ind w:left="0"/>
              <w:rPr>
                <w:rFonts w:cs="Arial"/>
                <w:color w:val="000000"/>
              </w:rPr>
            </w:pPr>
            <w:r w:rsidRPr="006A33BB">
              <w:rPr>
                <w:rFonts w:cs="Arial"/>
                <w:color w:val="000000"/>
              </w:rPr>
              <w:t>Prevederile prezentei hotărâri se aplică și polițiștilor de penitenciare din Ministerul Justiției.</w:t>
            </w:r>
          </w:p>
          <w:p w14:paraId="07ED9DDE" w14:textId="7E87D969" w:rsidR="00DB4421" w:rsidRPr="006A33BB" w:rsidRDefault="00F014A9" w:rsidP="006A33BB">
            <w:pPr>
              <w:spacing w:after="0"/>
              <w:ind w:left="0"/>
              <w:rPr>
                <w:bCs/>
              </w:rPr>
            </w:pPr>
            <w:r w:rsidRPr="006A33BB">
              <w:rPr>
                <w:rFonts w:cs="Arial"/>
                <w:color w:val="000000"/>
              </w:rPr>
              <w:t>Pentru toate sumele de bani plătite ca despăgubiri în temeiul prezentei hotărâri, instituțiile angajatoare inițiază demersuri pentru recuperarea sumelor plătite de la persoanele care se fac vinovate de producerea prejudiciilor.</w:t>
            </w:r>
          </w:p>
        </w:tc>
      </w:tr>
      <w:tr w:rsidR="00EC7E47" w:rsidRPr="006A33BB" w14:paraId="781C10A2" w14:textId="77777777" w:rsidTr="0099168D">
        <w:trPr>
          <w:trHeight w:val="100"/>
        </w:trPr>
        <w:tc>
          <w:tcPr>
            <w:tcW w:w="2710" w:type="dxa"/>
          </w:tcPr>
          <w:p w14:paraId="411D8056" w14:textId="77777777" w:rsidR="004175F0" w:rsidRPr="006A33BB" w:rsidRDefault="004175F0" w:rsidP="006A33BB">
            <w:pPr>
              <w:spacing w:after="0"/>
              <w:ind w:left="69" w:right="-391"/>
              <w:rPr>
                <w:rFonts w:cs="Arial"/>
                <w:snapToGrid w:val="0"/>
              </w:rPr>
            </w:pPr>
            <w:r w:rsidRPr="006A33BB">
              <w:rPr>
                <w:rFonts w:cs="Arial"/>
                <w:snapToGrid w:val="0"/>
              </w:rPr>
              <w:lastRenderedPageBreak/>
              <w:t xml:space="preserve">3. Alte </w:t>
            </w:r>
            <w:r w:rsidR="00B939C6" w:rsidRPr="006A33BB">
              <w:rPr>
                <w:rFonts w:cs="Arial"/>
                <w:snapToGrid w:val="0"/>
              </w:rPr>
              <w:t>informați</w:t>
            </w:r>
            <w:r w:rsidR="00A728B1" w:rsidRPr="006A33BB">
              <w:rPr>
                <w:rFonts w:cs="Arial"/>
                <w:snapToGrid w:val="0"/>
              </w:rPr>
              <w:t>i</w:t>
            </w:r>
          </w:p>
          <w:p w14:paraId="17E87079" w14:textId="66B4CCB1" w:rsidR="00DB4421" w:rsidRPr="006A33BB" w:rsidRDefault="00DB4421" w:rsidP="006A33BB">
            <w:pPr>
              <w:spacing w:after="0"/>
              <w:ind w:left="69" w:right="-391"/>
              <w:rPr>
                <w:rFonts w:cs="Arial"/>
                <w:snapToGrid w:val="0"/>
              </w:rPr>
            </w:pPr>
          </w:p>
        </w:tc>
        <w:tc>
          <w:tcPr>
            <w:tcW w:w="7317" w:type="dxa"/>
            <w:gridSpan w:val="6"/>
          </w:tcPr>
          <w:p w14:paraId="4B2F7EB0" w14:textId="69224CD3" w:rsidR="00B939C6" w:rsidRPr="006A33BB" w:rsidRDefault="00B939C6" w:rsidP="006A33BB">
            <w:pPr>
              <w:spacing w:after="0"/>
              <w:ind w:left="0"/>
              <w:rPr>
                <w:rFonts w:cs="Arial"/>
              </w:rPr>
            </w:pPr>
          </w:p>
        </w:tc>
      </w:tr>
      <w:tr w:rsidR="00EC7E47" w:rsidRPr="006A33BB" w14:paraId="74025C97" w14:textId="77777777" w:rsidTr="0099168D">
        <w:trPr>
          <w:trHeight w:val="100"/>
        </w:trPr>
        <w:tc>
          <w:tcPr>
            <w:tcW w:w="10027" w:type="dxa"/>
            <w:gridSpan w:val="7"/>
          </w:tcPr>
          <w:p w14:paraId="0CE7F7B5" w14:textId="77777777" w:rsidR="00A728B1" w:rsidRPr="006A33BB" w:rsidRDefault="00A728B1" w:rsidP="006A33BB">
            <w:pPr>
              <w:spacing w:after="0"/>
              <w:ind w:left="69"/>
              <w:jc w:val="center"/>
              <w:rPr>
                <w:rFonts w:cs="Arial"/>
                <w:b/>
                <w:snapToGrid w:val="0"/>
              </w:rPr>
            </w:pPr>
          </w:p>
          <w:p w14:paraId="0CF9AF04" w14:textId="77777777" w:rsidR="004175F0" w:rsidRPr="006A33BB" w:rsidRDefault="00DB3D92" w:rsidP="006A33BB">
            <w:pPr>
              <w:spacing w:after="0"/>
              <w:ind w:left="69"/>
              <w:jc w:val="center"/>
              <w:rPr>
                <w:rFonts w:cs="Arial"/>
                <w:b/>
                <w:snapToGrid w:val="0"/>
              </w:rPr>
            </w:pPr>
            <w:r w:rsidRPr="006A33BB">
              <w:rPr>
                <w:rFonts w:cs="Arial"/>
                <w:b/>
                <w:snapToGrid w:val="0"/>
              </w:rPr>
              <w:t>Secțiunea</w:t>
            </w:r>
            <w:r w:rsidR="004175F0" w:rsidRPr="006A33BB">
              <w:rPr>
                <w:rFonts w:cs="Arial"/>
                <w:b/>
                <w:snapToGrid w:val="0"/>
              </w:rPr>
              <w:t xml:space="preserve"> a 3-a – Impactul socioeconomic al proiectului de act normativ</w:t>
            </w:r>
          </w:p>
          <w:p w14:paraId="67B709DD" w14:textId="3A168504" w:rsidR="00A728B1" w:rsidRPr="006A33BB" w:rsidRDefault="00A728B1" w:rsidP="006A33BB">
            <w:pPr>
              <w:spacing w:after="0"/>
              <w:ind w:left="69"/>
              <w:jc w:val="center"/>
              <w:rPr>
                <w:rFonts w:cs="Arial"/>
                <w:b/>
                <w:snapToGrid w:val="0"/>
              </w:rPr>
            </w:pPr>
          </w:p>
        </w:tc>
      </w:tr>
      <w:tr w:rsidR="00EC7E47" w:rsidRPr="006A33BB" w14:paraId="2492C221" w14:textId="77777777" w:rsidTr="0099168D">
        <w:trPr>
          <w:trHeight w:val="100"/>
        </w:trPr>
        <w:tc>
          <w:tcPr>
            <w:tcW w:w="2710" w:type="dxa"/>
          </w:tcPr>
          <w:p w14:paraId="19A70FFC" w14:textId="77777777" w:rsidR="004175F0" w:rsidRPr="006A33BB" w:rsidRDefault="004175F0" w:rsidP="006A33BB">
            <w:pPr>
              <w:spacing w:after="0"/>
              <w:ind w:left="69"/>
              <w:rPr>
                <w:rFonts w:cs="Arial"/>
                <w:snapToGrid w:val="0"/>
              </w:rPr>
            </w:pPr>
            <w:r w:rsidRPr="006A33BB">
              <w:rPr>
                <w:rFonts w:cs="Arial"/>
                <w:snapToGrid w:val="0"/>
              </w:rPr>
              <w:t>1. Impactul macroeconomic</w:t>
            </w:r>
          </w:p>
        </w:tc>
        <w:tc>
          <w:tcPr>
            <w:tcW w:w="7317" w:type="dxa"/>
            <w:gridSpan w:val="6"/>
          </w:tcPr>
          <w:p w14:paraId="391CE53A" w14:textId="77777777" w:rsidR="004175F0" w:rsidRPr="006A33BB" w:rsidRDefault="004175F0" w:rsidP="006A33BB">
            <w:pPr>
              <w:spacing w:after="0"/>
              <w:ind w:left="69"/>
              <w:rPr>
                <w:rFonts w:cs="Arial"/>
              </w:rPr>
            </w:pPr>
            <w:r w:rsidRPr="006A33BB">
              <w:rPr>
                <w:rFonts w:cs="Arial"/>
              </w:rPr>
              <w:t xml:space="preserve">Nu este cazul. </w:t>
            </w:r>
          </w:p>
        </w:tc>
      </w:tr>
      <w:tr w:rsidR="00EC7E47" w:rsidRPr="006A33BB" w14:paraId="0EA1EFFC" w14:textId="77777777" w:rsidTr="0099168D">
        <w:trPr>
          <w:trHeight w:val="100"/>
        </w:trPr>
        <w:tc>
          <w:tcPr>
            <w:tcW w:w="2710" w:type="dxa"/>
          </w:tcPr>
          <w:p w14:paraId="2D2E4095" w14:textId="77777777" w:rsidR="004175F0" w:rsidRPr="006A33BB" w:rsidRDefault="004175F0" w:rsidP="006A33BB">
            <w:pPr>
              <w:spacing w:after="0"/>
              <w:ind w:left="69" w:right="34"/>
              <w:rPr>
                <w:rFonts w:cs="Arial"/>
                <w:snapToGrid w:val="0"/>
              </w:rPr>
            </w:pPr>
            <w:r w:rsidRPr="006A33BB">
              <w:rPr>
                <w:rFonts w:cs="Arial"/>
                <w:snapToGrid w:val="0"/>
              </w:rPr>
              <w:t>1</w:t>
            </w:r>
            <w:r w:rsidRPr="006A33BB">
              <w:rPr>
                <w:rFonts w:cs="Arial"/>
                <w:snapToGrid w:val="0"/>
                <w:vertAlign w:val="superscript"/>
              </w:rPr>
              <w:t>1</w:t>
            </w:r>
            <w:r w:rsidRPr="006A33BB">
              <w:rPr>
                <w:rFonts w:cs="Arial"/>
                <w:snapToGrid w:val="0"/>
              </w:rPr>
              <w:t>. Impactul asupra mediului concurențial și domeniului ajutoarelor de stat</w:t>
            </w:r>
          </w:p>
        </w:tc>
        <w:tc>
          <w:tcPr>
            <w:tcW w:w="7317" w:type="dxa"/>
            <w:gridSpan w:val="6"/>
          </w:tcPr>
          <w:p w14:paraId="627070BD" w14:textId="5811DEF3" w:rsidR="004175F0" w:rsidRPr="006A33BB" w:rsidRDefault="004175F0" w:rsidP="006A33BB">
            <w:pPr>
              <w:spacing w:after="0"/>
              <w:ind w:left="69"/>
              <w:rPr>
                <w:rFonts w:cs="Arial"/>
              </w:rPr>
            </w:pPr>
            <w:r w:rsidRPr="006A33BB">
              <w:rPr>
                <w:rFonts w:cs="Arial"/>
              </w:rPr>
              <w:t>Nu este cazul</w:t>
            </w:r>
            <w:r w:rsidR="00053A95" w:rsidRPr="006A33BB">
              <w:rPr>
                <w:rFonts w:cs="Arial"/>
              </w:rPr>
              <w:t>.</w:t>
            </w:r>
          </w:p>
        </w:tc>
      </w:tr>
      <w:tr w:rsidR="00EC7E47" w:rsidRPr="006A33BB" w14:paraId="2A9BFEE5" w14:textId="77777777" w:rsidTr="0099168D">
        <w:trPr>
          <w:trHeight w:val="100"/>
        </w:trPr>
        <w:tc>
          <w:tcPr>
            <w:tcW w:w="2710" w:type="dxa"/>
          </w:tcPr>
          <w:p w14:paraId="75804A8B" w14:textId="77777777" w:rsidR="004175F0" w:rsidRPr="006A33BB" w:rsidRDefault="004175F0" w:rsidP="006A33BB">
            <w:pPr>
              <w:spacing w:after="0"/>
              <w:ind w:left="69"/>
              <w:rPr>
                <w:rFonts w:cs="Arial"/>
                <w:snapToGrid w:val="0"/>
              </w:rPr>
            </w:pPr>
            <w:r w:rsidRPr="006A33BB">
              <w:rPr>
                <w:rFonts w:cs="Arial"/>
                <w:snapToGrid w:val="0"/>
              </w:rPr>
              <w:t>2. Impactul asupra mediului afaceri</w:t>
            </w:r>
          </w:p>
        </w:tc>
        <w:tc>
          <w:tcPr>
            <w:tcW w:w="7317" w:type="dxa"/>
            <w:gridSpan w:val="6"/>
          </w:tcPr>
          <w:p w14:paraId="55B8B8F2" w14:textId="6CE9781A" w:rsidR="004175F0" w:rsidRPr="006A33BB" w:rsidRDefault="004175F0" w:rsidP="006A33BB">
            <w:pPr>
              <w:spacing w:after="0"/>
              <w:ind w:left="69"/>
              <w:rPr>
                <w:rFonts w:cs="Arial"/>
              </w:rPr>
            </w:pPr>
            <w:r w:rsidRPr="006A33BB">
              <w:rPr>
                <w:rFonts w:cs="Arial"/>
              </w:rPr>
              <w:t>Nu este cazul</w:t>
            </w:r>
            <w:r w:rsidR="00053A95" w:rsidRPr="006A33BB">
              <w:rPr>
                <w:rFonts w:cs="Arial"/>
              </w:rPr>
              <w:t>.</w:t>
            </w:r>
          </w:p>
        </w:tc>
      </w:tr>
      <w:tr w:rsidR="00EC7E47" w:rsidRPr="006A33BB" w14:paraId="2FA9091C" w14:textId="77777777" w:rsidTr="0099168D">
        <w:trPr>
          <w:trHeight w:val="100"/>
        </w:trPr>
        <w:tc>
          <w:tcPr>
            <w:tcW w:w="2710" w:type="dxa"/>
          </w:tcPr>
          <w:p w14:paraId="3D8E6F02" w14:textId="77777777" w:rsidR="004175F0" w:rsidRPr="006A33BB" w:rsidRDefault="004175F0" w:rsidP="006A33BB">
            <w:pPr>
              <w:spacing w:after="0"/>
              <w:ind w:left="69" w:right="-391"/>
              <w:rPr>
                <w:rFonts w:cs="Arial"/>
                <w:snapToGrid w:val="0"/>
              </w:rPr>
            </w:pPr>
            <w:r w:rsidRPr="006A33BB">
              <w:rPr>
                <w:rFonts w:cs="Arial"/>
                <w:snapToGrid w:val="0"/>
              </w:rPr>
              <w:t>3. Impactul social</w:t>
            </w:r>
          </w:p>
        </w:tc>
        <w:tc>
          <w:tcPr>
            <w:tcW w:w="7317" w:type="dxa"/>
            <w:gridSpan w:val="6"/>
          </w:tcPr>
          <w:p w14:paraId="1C457513" w14:textId="7558C2EF" w:rsidR="00FE3B1B" w:rsidRPr="006A33BB" w:rsidRDefault="00F014A9" w:rsidP="006A33BB">
            <w:pPr>
              <w:spacing w:after="0"/>
              <w:ind w:left="69"/>
              <w:rPr>
                <w:rFonts w:cs="Arial"/>
              </w:rPr>
            </w:pPr>
            <w:r w:rsidRPr="006A33BB">
              <w:rPr>
                <w:rFonts w:cs="Arial"/>
              </w:rPr>
              <w:t>Eliminarea obstacolelor de natură psihică în îndeplinirea atribuțiilor de serviciu, prin acordarea despăgubirilor polițiștilor de</w:t>
            </w:r>
            <w:r w:rsidRPr="006A33BB">
              <w:rPr>
                <w:rFonts w:cs="Arial"/>
                <w:color w:val="000000"/>
              </w:rPr>
              <w:t xml:space="preserve"> penitenciare </w:t>
            </w:r>
            <w:r w:rsidRPr="006A33BB">
              <w:rPr>
                <w:rFonts w:cs="Arial"/>
              </w:rPr>
              <w:t>în cazul producerii riscurilor specifice activității desfășurate în cadrul sistemului administrației penitenciare.</w:t>
            </w:r>
          </w:p>
        </w:tc>
      </w:tr>
      <w:tr w:rsidR="00EC7E47" w:rsidRPr="006A33BB" w14:paraId="2DE36AF1" w14:textId="77777777" w:rsidTr="0099168D">
        <w:trPr>
          <w:trHeight w:val="100"/>
        </w:trPr>
        <w:tc>
          <w:tcPr>
            <w:tcW w:w="2710" w:type="dxa"/>
          </w:tcPr>
          <w:p w14:paraId="2CE4C305" w14:textId="77777777" w:rsidR="004175F0" w:rsidRPr="006A33BB" w:rsidRDefault="004175F0" w:rsidP="006A33BB">
            <w:pPr>
              <w:spacing w:after="0"/>
              <w:ind w:left="69"/>
              <w:rPr>
                <w:rFonts w:cs="Arial"/>
                <w:snapToGrid w:val="0"/>
              </w:rPr>
            </w:pPr>
            <w:r w:rsidRPr="006A33BB">
              <w:rPr>
                <w:rFonts w:cs="Arial"/>
                <w:snapToGrid w:val="0"/>
              </w:rPr>
              <w:t xml:space="preserve">4. Impactul asupra </w:t>
            </w:r>
            <w:r w:rsidRPr="006A33BB">
              <w:rPr>
                <w:rFonts w:cs="Arial"/>
                <w:snapToGrid w:val="0"/>
              </w:rPr>
              <w:lastRenderedPageBreak/>
              <w:t>mediului</w:t>
            </w:r>
          </w:p>
          <w:p w14:paraId="02CF3B49" w14:textId="23D13B82" w:rsidR="00DB4421" w:rsidRPr="006A33BB" w:rsidRDefault="00DB4421" w:rsidP="006A33BB">
            <w:pPr>
              <w:spacing w:after="0"/>
              <w:ind w:left="69"/>
              <w:rPr>
                <w:rFonts w:cs="Arial"/>
                <w:snapToGrid w:val="0"/>
              </w:rPr>
            </w:pPr>
          </w:p>
        </w:tc>
        <w:tc>
          <w:tcPr>
            <w:tcW w:w="7317" w:type="dxa"/>
            <w:gridSpan w:val="6"/>
          </w:tcPr>
          <w:p w14:paraId="63221744" w14:textId="68FCAE1B" w:rsidR="004175F0" w:rsidRPr="006A33BB" w:rsidRDefault="004175F0" w:rsidP="006A33BB">
            <w:pPr>
              <w:spacing w:after="0"/>
              <w:ind w:left="69"/>
              <w:rPr>
                <w:rFonts w:cs="Arial"/>
              </w:rPr>
            </w:pPr>
            <w:r w:rsidRPr="006A33BB">
              <w:rPr>
                <w:rFonts w:cs="Arial"/>
              </w:rPr>
              <w:lastRenderedPageBreak/>
              <w:t>Nu este cazul</w:t>
            </w:r>
            <w:r w:rsidR="00053A95" w:rsidRPr="006A33BB">
              <w:rPr>
                <w:rFonts w:cs="Arial"/>
              </w:rPr>
              <w:t>.</w:t>
            </w:r>
          </w:p>
        </w:tc>
      </w:tr>
      <w:tr w:rsidR="00EC7E47" w:rsidRPr="006A33BB" w14:paraId="446B5A59" w14:textId="77777777" w:rsidTr="0099168D">
        <w:trPr>
          <w:trHeight w:val="100"/>
        </w:trPr>
        <w:tc>
          <w:tcPr>
            <w:tcW w:w="2710" w:type="dxa"/>
          </w:tcPr>
          <w:p w14:paraId="250E517A" w14:textId="77777777" w:rsidR="004175F0" w:rsidRPr="006A33BB" w:rsidRDefault="004175F0" w:rsidP="006A33BB">
            <w:pPr>
              <w:spacing w:after="0"/>
              <w:ind w:left="69" w:right="-391"/>
              <w:rPr>
                <w:rFonts w:cs="Arial"/>
                <w:snapToGrid w:val="0"/>
              </w:rPr>
            </w:pPr>
            <w:r w:rsidRPr="006A33BB">
              <w:rPr>
                <w:rFonts w:cs="Arial"/>
                <w:snapToGrid w:val="0"/>
              </w:rPr>
              <w:t xml:space="preserve">5. Alte </w:t>
            </w:r>
            <w:r w:rsidR="00B939C6" w:rsidRPr="006A33BB">
              <w:rPr>
                <w:rFonts w:cs="Arial"/>
                <w:snapToGrid w:val="0"/>
              </w:rPr>
              <w:t>informații</w:t>
            </w:r>
          </w:p>
          <w:p w14:paraId="088A64DD" w14:textId="41E26375" w:rsidR="00A728B1" w:rsidRPr="006A33BB" w:rsidRDefault="00A728B1" w:rsidP="006A33BB">
            <w:pPr>
              <w:spacing w:after="0"/>
              <w:ind w:left="69" w:right="-391"/>
              <w:rPr>
                <w:rFonts w:cs="Arial"/>
                <w:snapToGrid w:val="0"/>
              </w:rPr>
            </w:pPr>
          </w:p>
        </w:tc>
        <w:tc>
          <w:tcPr>
            <w:tcW w:w="7317" w:type="dxa"/>
            <w:gridSpan w:val="6"/>
          </w:tcPr>
          <w:p w14:paraId="404C2670" w14:textId="32762F32" w:rsidR="004175F0" w:rsidRPr="006A33BB" w:rsidRDefault="0007556F" w:rsidP="006A33BB">
            <w:pPr>
              <w:spacing w:after="0"/>
              <w:ind w:left="69"/>
              <w:rPr>
                <w:rFonts w:cs="Arial"/>
              </w:rPr>
            </w:pPr>
            <w:r w:rsidRPr="006A33BB">
              <w:rPr>
                <w:rFonts w:cs="Arial"/>
              </w:rPr>
              <w:t>Nu este cazul.</w:t>
            </w:r>
          </w:p>
        </w:tc>
      </w:tr>
      <w:tr w:rsidR="00EC7E47" w:rsidRPr="006A33BB" w14:paraId="7692223B" w14:textId="77777777" w:rsidTr="0099168D">
        <w:trPr>
          <w:trHeight w:val="100"/>
        </w:trPr>
        <w:tc>
          <w:tcPr>
            <w:tcW w:w="10027" w:type="dxa"/>
            <w:gridSpan w:val="7"/>
          </w:tcPr>
          <w:p w14:paraId="00B291D1" w14:textId="77777777" w:rsidR="00A728B1" w:rsidRPr="006A33BB" w:rsidRDefault="00A728B1" w:rsidP="006A33BB">
            <w:pPr>
              <w:autoSpaceDE w:val="0"/>
              <w:autoSpaceDN w:val="0"/>
              <w:adjustRightInd w:val="0"/>
              <w:spacing w:after="0"/>
              <w:ind w:left="69"/>
              <w:jc w:val="center"/>
              <w:rPr>
                <w:rFonts w:cs="Arial"/>
                <w:b/>
                <w:snapToGrid w:val="0"/>
              </w:rPr>
            </w:pPr>
          </w:p>
          <w:p w14:paraId="12A8D023" w14:textId="77777777" w:rsidR="004175F0" w:rsidRPr="006A33BB" w:rsidRDefault="00B40F1C" w:rsidP="006A33BB">
            <w:pPr>
              <w:autoSpaceDE w:val="0"/>
              <w:autoSpaceDN w:val="0"/>
              <w:adjustRightInd w:val="0"/>
              <w:spacing w:after="0"/>
              <w:ind w:left="69"/>
              <w:jc w:val="center"/>
              <w:rPr>
                <w:rFonts w:cs="Arial"/>
                <w:b/>
                <w:snapToGrid w:val="0"/>
              </w:rPr>
            </w:pPr>
            <w:r w:rsidRPr="006A33BB">
              <w:rPr>
                <w:rFonts w:cs="Arial"/>
                <w:b/>
                <w:snapToGrid w:val="0"/>
              </w:rPr>
              <w:t>Secțiunea</w:t>
            </w:r>
            <w:r w:rsidR="004175F0" w:rsidRPr="006A33BB">
              <w:rPr>
                <w:rFonts w:cs="Arial"/>
                <w:b/>
                <w:snapToGrid w:val="0"/>
              </w:rPr>
              <w:t xml:space="preserve"> a 4-a – Impactul financiar asupra bugetului general consolidat, atât pe termen scurt, pentru anul curent, cât </w:t>
            </w:r>
            <w:r w:rsidRPr="006A33BB">
              <w:rPr>
                <w:rFonts w:cs="Arial"/>
                <w:b/>
                <w:snapToGrid w:val="0"/>
              </w:rPr>
              <w:t>și</w:t>
            </w:r>
            <w:r w:rsidR="004175F0" w:rsidRPr="006A33BB">
              <w:rPr>
                <w:rFonts w:cs="Arial"/>
                <w:b/>
                <w:snapToGrid w:val="0"/>
              </w:rPr>
              <w:t xml:space="preserve"> pe termen lung (5 ani)</w:t>
            </w:r>
          </w:p>
          <w:p w14:paraId="6575E2FE" w14:textId="5D90AF7A" w:rsidR="00A728B1" w:rsidRPr="006A33BB" w:rsidRDefault="00A728B1" w:rsidP="006A33BB">
            <w:pPr>
              <w:autoSpaceDE w:val="0"/>
              <w:autoSpaceDN w:val="0"/>
              <w:adjustRightInd w:val="0"/>
              <w:spacing w:after="0"/>
              <w:ind w:left="69"/>
              <w:jc w:val="center"/>
              <w:rPr>
                <w:rFonts w:cs="Arial"/>
                <w:b/>
                <w:snapToGrid w:val="0"/>
              </w:rPr>
            </w:pPr>
          </w:p>
        </w:tc>
      </w:tr>
      <w:tr w:rsidR="00EC7E47" w:rsidRPr="006A33BB" w14:paraId="08B878B2" w14:textId="77777777" w:rsidTr="0099168D">
        <w:trPr>
          <w:trHeight w:val="100"/>
        </w:trPr>
        <w:tc>
          <w:tcPr>
            <w:tcW w:w="10027" w:type="dxa"/>
            <w:gridSpan w:val="7"/>
          </w:tcPr>
          <w:p w14:paraId="5F382A37" w14:textId="77777777" w:rsidR="004175F0" w:rsidRPr="006A33BB" w:rsidRDefault="004175F0" w:rsidP="006A33BB">
            <w:pPr>
              <w:spacing w:after="0"/>
              <w:ind w:left="69"/>
              <w:jc w:val="right"/>
              <w:rPr>
                <w:rFonts w:cs="Arial"/>
                <w:snapToGrid w:val="0"/>
              </w:rPr>
            </w:pPr>
            <w:r w:rsidRPr="006A33BB">
              <w:rPr>
                <w:rFonts w:cs="Arial"/>
                <w:snapToGrid w:val="0"/>
              </w:rPr>
              <w:t>- mii lei -</w:t>
            </w:r>
          </w:p>
        </w:tc>
      </w:tr>
      <w:tr w:rsidR="00EC7E47" w:rsidRPr="006A33BB" w14:paraId="664DAD63" w14:textId="77777777" w:rsidTr="0099168D">
        <w:trPr>
          <w:trHeight w:val="391"/>
        </w:trPr>
        <w:tc>
          <w:tcPr>
            <w:tcW w:w="2710" w:type="dxa"/>
          </w:tcPr>
          <w:p w14:paraId="27FAE9AE" w14:textId="77777777" w:rsidR="004175F0" w:rsidRPr="006A33BB" w:rsidRDefault="004175F0" w:rsidP="006A33BB">
            <w:pPr>
              <w:spacing w:after="0"/>
              <w:ind w:left="69"/>
              <w:jc w:val="center"/>
              <w:rPr>
                <w:rFonts w:cs="Arial"/>
                <w:snapToGrid w:val="0"/>
              </w:rPr>
            </w:pPr>
            <w:r w:rsidRPr="006A33BB">
              <w:rPr>
                <w:rFonts w:cs="Arial"/>
                <w:snapToGrid w:val="0"/>
              </w:rPr>
              <w:t>Indicatori</w:t>
            </w:r>
          </w:p>
        </w:tc>
        <w:tc>
          <w:tcPr>
            <w:tcW w:w="1547" w:type="dxa"/>
            <w:shd w:val="clear" w:color="auto" w:fill="auto"/>
          </w:tcPr>
          <w:p w14:paraId="36DA203E" w14:textId="633B0D66" w:rsidR="004175F0" w:rsidRPr="006A33BB" w:rsidRDefault="004175F0" w:rsidP="006A33BB">
            <w:pPr>
              <w:spacing w:after="0"/>
              <w:ind w:left="69"/>
              <w:jc w:val="center"/>
              <w:rPr>
                <w:rFonts w:cs="Arial"/>
              </w:rPr>
            </w:pPr>
            <w:r w:rsidRPr="006A33BB">
              <w:rPr>
                <w:rFonts w:cs="Arial"/>
              </w:rPr>
              <w:t>Anul curent</w:t>
            </w:r>
          </w:p>
        </w:tc>
        <w:tc>
          <w:tcPr>
            <w:tcW w:w="4503" w:type="dxa"/>
            <w:gridSpan w:val="4"/>
            <w:shd w:val="clear" w:color="auto" w:fill="auto"/>
          </w:tcPr>
          <w:p w14:paraId="6913BD2B" w14:textId="77777777" w:rsidR="004175F0" w:rsidRPr="006A33BB" w:rsidRDefault="004175F0" w:rsidP="006A33BB">
            <w:pPr>
              <w:spacing w:after="0"/>
              <w:ind w:left="69"/>
              <w:jc w:val="center"/>
              <w:rPr>
                <w:rFonts w:cs="Arial"/>
              </w:rPr>
            </w:pPr>
            <w:r w:rsidRPr="006A33BB">
              <w:rPr>
                <w:rFonts w:cs="Arial"/>
              </w:rPr>
              <w:t>Următorii 4 ani</w:t>
            </w:r>
          </w:p>
        </w:tc>
        <w:tc>
          <w:tcPr>
            <w:tcW w:w="1267" w:type="dxa"/>
            <w:shd w:val="clear" w:color="auto" w:fill="auto"/>
          </w:tcPr>
          <w:p w14:paraId="354D01E0" w14:textId="77777777" w:rsidR="004175F0" w:rsidRPr="006A33BB" w:rsidRDefault="004175F0" w:rsidP="006A33BB">
            <w:pPr>
              <w:spacing w:after="0"/>
              <w:ind w:left="69"/>
              <w:jc w:val="center"/>
              <w:rPr>
                <w:rFonts w:cs="Arial"/>
              </w:rPr>
            </w:pPr>
            <w:r w:rsidRPr="006A33BB">
              <w:rPr>
                <w:rFonts w:cs="Arial"/>
              </w:rPr>
              <w:t>Media pe 5 ani</w:t>
            </w:r>
          </w:p>
        </w:tc>
      </w:tr>
      <w:tr w:rsidR="00EC7E47" w:rsidRPr="006A33BB" w14:paraId="74D00753" w14:textId="77777777" w:rsidTr="0099168D">
        <w:trPr>
          <w:trHeight w:val="507"/>
        </w:trPr>
        <w:tc>
          <w:tcPr>
            <w:tcW w:w="2710" w:type="dxa"/>
          </w:tcPr>
          <w:p w14:paraId="4D01A5F3" w14:textId="77777777" w:rsidR="004175F0" w:rsidRPr="006A33BB" w:rsidRDefault="004175F0" w:rsidP="006A33BB">
            <w:pPr>
              <w:spacing w:after="0"/>
              <w:ind w:left="69"/>
              <w:jc w:val="center"/>
              <w:rPr>
                <w:rFonts w:cs="Arial"/>
                <w:snapToGrid w:val="0"/>
              </w:rPr>
            </w:pPr>
            <w:r w:rsidRPr="006A33BB">
              <w:rPr>
                <w:rFonts w:cs="Arial"/>
                <w:snapToGrid w:val="0"/>
              </w:rPr>
              <w:t>1</w:t>
            </w:r>
          </w:p>
        </w:tc>
        <w:tc>
          <w:tcPr>
            <w:tcW w:w="1547" w:type="dxa"/>
            <w:shd w:val="clear" w:color="auto" w:fill="auto"/>
          </w:tcPr>
          <w:p w14:paraId="53484633" w14:textId="77777777" w:rsidR="004175F0" w:rsidRPr="006A33BB" w:rsidRDefault="004175F0" w:rsidP="006A33BB">
            <w:pPr>
              <w:spacing w:after="0"/>
              <w:ind w:left="69"/>
              <w:jc w:val="center"/>
              <w:rPr>
                <w:rFonts w:cs="Arial"/>
              </w:rPr>
            </w:pPr>
            <w:r w:rsidRPr="006A33BB">
              <w:rPr>
                <w:rFonts w:cs="Arial"/>
              </w:rPr>
              <w:t>2</w:t>
            </w:r>
          </w:p>
          <w:p w14:paraId="16B9F416" w14:textId="72053DAF" w:rsidR="004175F0" w:rsidRPr="006A33BB" w:rsidRDefault="00253FC8" w:rsidP="006A33BB">
            <w:pPr>
              <w:spacing w:after="0"/>
              <w:ind w:left="69"/>
              <w:jc w:val="center"/>
              <w:rPr>
                <w:rFonts w:cs="Arial"/>
              </w:rPr>
            </w:pPr>
            <w:r w:rsidRPr="006A33BB">
              <w:rPr>
                <w:rFonts w:cs="Arial"/>
              </w:rPr>
              <w:t>20</w:t>
            </w:r>
            <w:r w:rsidR="00B939C6" w:rsidRPr="006A33BB">
              <w:rPr>
                <w:rFonts w:cs="Arial"/>
              </w:rPr>
              <w:t>2</w:t>
            </w:r>
            <w:r w:rsidR="00A728B1" w:rsidRPr="006A33BB">
              <w:rPr>
                <w:rFonts w:cs="Arial"/>
              </w:rPr>
              <w:t>1</w:t>
            </w:r>
          </w:p>
        </w:tc>
        <w:tc>
          <w:tcPr>
            <w:tcW w:w="1126" w:type="dxa"/>
            <w:shd w:val="clear" w:color="auto" w:fill="auto"/>
          </w:tcPr>
          <w:p w14:paraId="76D5B67F" w14:textId="77777777" w:rsidR="004175F0" w:rsidRPr="006A33BB" w:rsidRDefault="004175F0" w:rsidP="006A33BB">
            <w:pPr>
              <w:spacing w:after="0"/>
              <w:ind w:left="69"/>
              <w:jc w:val="center"/>
              <w:rPr>
                <w:rFonts w:cs="Arial"/>
              </w:rPr>
            </w:pPr>
            <w:r w:rsidRPr="006A33BB">
              <w:rPr>
                <w:rFonts w:cs="Arial"/>
              </w:rPr>
              <w:t>3</w:t>
            </w:r>
          </w:p>
          <w:p w14:paraId="7FC7236A" w14:textId="2DE74D6E" w:rsidR="004175F0" w:rsidRPr="006A33BB" w:rsidRDefault="00253FC8" w:rsidP="006A33BB">
            <w:pPr>
              <w:spacing w:after="0"/>
              <w:ind w:left="69"/>
              <w:jc w:val="center"/>
              <w:rPr>
                <w:rFonts w:cs="Arial"/>
              </w:rPr>
            </w:pPr>
            <w:r w:rsidRPr="006A33BB">
              <w:rPr>
                <w:rFonts w:cs="Arial"/>
              </w:rPr>
              <w:t>202</w:t>
            </w:r>
            <w:r w:rsidR="00A728B1" w:rsidRPr="006A33BB">
              <w:rPr>
                <w:rFonts w:cs="Arial"/>
              </w:rPr>
              <w:t>2</w:t>
            </w:r>
          </w:p>
        </w:tc>
        <w:tc>
          <w:tcPr>
            <w:tcW w:w="1126" w:type="dxa"/>
            <w:shd w:val="clear" w:color="auto" w:fill="auto"/>
          </w:tcPr>
          <w:p w14:paraId="15A68E53" w14:textId="77777777" w:rsidR="004175F0" w:rsidRPr="006A33BB" w:rsidRDefault="004175F0" w:rsidP="006A33BB">
            <w:pPr>
              <w:spacing w:after="0"/>
              <w:ind w:left="69"/>
              <w:jc w:val="center"/>
              <w:rPr>
                <w:rFonts w:cs="Arial"/>
              </w:rPr>
            </w:pPr>
            <w:r w:rsidRPr="006A33BB">
              <w:rPr>
                <w:rFonts w:cs="Arial"/>
              </w:rPr>
              <w:t>4</w:t>
            </w:r>
          </w:p>
          <w:p w14:paraId="31AEC086" w14:textId="0D84A713" w:rsidR="004175F0" w:rsidRPr="006A33BB" w:rsidRDefault="00253FC8" w:rsidP="006A33BB">
            <w:pPr>
              <w:spacing w:after="0"/>
              <w:ind w:left="69"/>
              <w:jc w:val="center"/>
              <w:rPr>
                <w:rFonts w:cs="Arial"/>
              </w:rPr>
            </w:pPr>
            <w:r w:rsidRPr="006A33BB">
              <w:rPr>
                <w:rFonts w:cs="Arial"/>
              </w:rPr>
              <w:t>202</w:t>
            </w:r>
            <w:r w:rsidR="00A728B1" w:rsidRPr="006A33BB">
              <w:rPr>
                <w:rFonts w:cs="Arial"/>
              </w:rPr>
              <w:t>3</w:t>
            </w:r>
          </w:p>
        </w:tc>
        <w:tc>
          <w:tcPr>
            <w:tcW w:w="1126" w:type="dxa"/>
            <w:shd w:val="clear" w:color="auto" w:fill="auto"/>
          </w:tcPr>
          <w:p w14:paraId="181C9B44" w14:textId="77777777" w:rsidR="004175F0" w:rsidRPr="006A33BB" w:rsidRDefault="004175F0" w:rsidP="006A33BB">
            <w:pPr>
              <w:spacing w:after="0"/>
              <w:ind w:left="69"/>
              <w:jc w:val="center"/>
              <w:rPr>
                <w:rFonts w:cs="Arial"/>
              </w:rPr>
            </w:pPr>
            <w:r w:rsidRPr="006A33BB">
              <w:rPr>
                <w:rFonts w:cs="Arial"/>
              </w:rPr>
              <w:t>5</w:t>
            </w:r>
          </w:p>
          <w:p w14:paraId="1C7D373A" w14:textId="65D5A092" w:rsidR="004175F0" w:rsidRPr="006A33BB" w:rsidRDefault="00253FC8" w:rsidP="006A33BB">
            <w:pPr>
              <w:spacing w:after="0"/>
              <w:ind w:left="69"/>
              <w:jc w:val="center"/>
              <w:rPr>
                <w:rFonts w:cs="Arial"/>
              </w:rPr>
            </w:pPr>
            <w:r w:rsidRPr="006A33BB">
              <w:rPr>
                <w:rFonts w:cs="Arial"/>
              </w:rPr>
              <w:t>202</w:t>
            </w:r>
            <w:r w:rsidR="00A728B1" w:rsidRPr="006A33BB">
              <w:rPr>
                <w:rFonts w:cs="Arial"/>
              </w:rPr>
              <w:t>4</w:t>
            </w:r>
          </w:p>
        </w:tc>
        <w:tc>
          <w:tcPr>
            <w:tcW w:w="1125" w:type="dxa"/>
            <w:shd w:val="clear" w:color="auto" w:fill="auto"/>
          </w:tcPr>
          <w:p w14:paraId="0ABC7667" w14:textId="77777777" w:rsidR="004175F0" w:rsidRPr="006A33BB" w:rsidRDefault="004175F0" w:rsidP="006A33BB">
            <w:pPr>
              <w:spacing w:after="0"/>
              <w:ind w:left="69"/>
              <w:jc w:val="center"/>
              <w:rPr>
                <w:rFonts w:cs="Arial"/>
              </w:rPr>
            </w:pPr>
            <w:r w:rsidRPr="006A33BB">
              <w:rPr>
                <w:rFonts w:cs="Arial"/>
              </w:rPr>
              <w:t>6</w:t>
            </w:r>
          </w:p>
          <w:p w14:paraId="7B170815" w14:textId="2BC6C9F4" w:rsidR="004175F0" w:rsidRPr="006A33BB" w:rsidRDefault="0059449D" w:rsidP="006A33BB">
            <w:pPr>
              <w:spacing w:after="0"/>
              <w:ind w:left="69"/>
              <w:jc w:val="center"/>
              <w:rPr>
                <w:rFonts w:cs="Arial"/>
              </w:rPr>
            </w:pPr>
            <w:r w:rsidRPr="006A33BB">
              <w:rPr>
                <w:rFonts w:cs="Arial"/>
              </w:rPr>
              <w:t>202</w:t>
            </w:r>
            <w:r w:rsidR="00A728B1" w:rsidRPr="006A33BB">
              <w:rPr>
                <w:rFonts w:cs="Arial"/>
              </w:rPr>
              <w:t>5</w:t>
            </w:r>
          </w:p>
        </w:tc>
        <w:tc>
          <w:tcPr>
            <w:tcW w:w="1267" w:type="dxa"/>
            <w:shd w:val="clear" w:color="auto" w:fill="auto"/>
          </w:tcPr>
          <w:p w14:paraId="3D9E1673" w14:textId="77777777" w:rsidR="004175F0" w:rsidRPr="006A33BB" w:rsidRDefault="004175F0" w:rsidP="006A33BB">
            <w:pPr>
              <w:spacing w:after="0"/>
              <w:ind w:left="69"/>
              <w:jc w:val="center"/>
              <w:rPr>
                <w:rFonts w:cs="Arial"/>
              </w:rPr>
            </w:pPr>
            <w:r w:rsidRPr="006A33BB">
              <w:rPr>
                <w:rFonts w:cs="Arial"/>
              </w:rPr>
              <w:t>7</w:t>
            </w:r>
          </w:p>
        </w:tc>
      </w:tr>
      <w:tr w:rsidR="00EC7E47" w:rsidRPr="006A33BB" w14:paraId="23ED6C40" w14:textId="77777777" w:rsidTr="0099168D">
        <w:trPr>
          <w:trHeight w:val="100"/>
        </w:trPr>
        <w:tc>
          <w:tcPr>
            <w:tcW w:w="2710" w:type="dxa"/>
          </w:tcPr>
          <w:p w14:paraId="6BB5FB47" w14:textId="77777777" w:rsidR="004175F0" w:rsidRPr="006A33BB" w:rsidRDefault="004175F0" w:rsidP="006A33BB">
            <w:pPr>
              <w:spacing w:after="0"/>
              <w:ind w:left="69"/>
              <w:rPr>
                <w:rFonts w:cs="Arial"/>
                <w:snapToGrid w:val="0"/>
              </w:rPr>
            </w:pPr>
            <w:r w:rsidRPr="006A33BB">
              <w:rPr>
                <w:rFonts w:cs="Arial"/>
                <w:snapToGrid w:val="0"/>
              </w:rPr>
              <w:t>1. Modificări ale veniturilor bugetare, plus/minus, din care:</w:t>
            </w:r>
          </w:p>
        </w:tc>
        <w:tc>
          <w:tcPr>
            <w:tcW w:w="7317" w:type="dxa"/>
            <w:gridSpan w:val="6"/>
            <w:shd w:val="clear" w:color="auto" w:fill="auto"/>
          </w:tcPr>
          <w:p w14:paraId="3F75C403" w14:textId="77777777" w:rsidR="004175F0" w:rsidRPr="006A33BB" w:rsidRDefault="004175F0" w:rsidP="006A33BB">
            <w:pPr>
              <w:spacing w:after="0"/>
              <w:ind w:left="69"/>
              <w:jc w:val="center"/>
              <w:rPr>
                <w:rFonts w:cs="Arial"/>
              </w:rPr>
            </w:pPr>
          </w:p>
        </w:tc>
      </w:tr>
      <w:tr w:rsidR="00EC7E47" w:rsidRPr="006A33BB" w14:paraId="4F143A1B" w14:textId="77777777" w:rsidTr="0099168D">
        <w:trPr>
          <w:trHeight w:val="100"/>
        </w:trPr>
        <w:tc>
          <w:tcPr>
            <w:tcW w:w="2710" w:type="dxa"/>
          </w:tcPr>
          <w:p w14:paraId="665E9FD3" w14:textId="77777777" w:rsidR="004175F0" w:rsidRPr="006A33BB" w:rsidRDefault="004175F0" w:rsidP="006A33BB">
            <w:pPr>
              <w:spacing w:after="0"/>
              <w:ind w:left="69"/>
              <w:rPr>
                <w:rFonts w:cs="Arial"/>
                <w:snapToGrid w:val="0"/>
              </w:rPr>
            </w:pPr>
            <w:r w:rsidRPr="006A33BB">
              <w:rPr>
                <w:rFonts w:cs="Arial"/>
                <w:snapToGrid w:val="0"/>
              </w:rPr>
              <w:t>a) buget de stat, din acesta:</w:t>
            </w:r>
          </w:p>
        </w:tc>
        <w:tc>
          <w:tcPr>
            <w:tcW w:w="1547" w:type="dxa"/>
            <w:shd w:val="clear" w:color="auto" w:fill="auto"/>
          </w:tcPr>
          <w:p w14:paraId="572653EB" w14:textId="77777777" w:rsidR="004175F0" w:rsidRPr="006A33BB" w:rsidRDefault="004175F0" w:rsidP="006A33BB">
            <w:pPr>
              <w:spacing w:after="0"/>
              <w:ind w:left="69"/>
              <w:jc w:val="center"/>
              <w:rPr>
                <w:rFonts w:cs="Arial"/>
              </w:rPr>
            </w:pPr>
          </w:p>
        </w:tc>
        <w:tc>
          <w:tcPr>
            <w:tcW w:w="1126" w:type="dxa"/>
            <w:shd w:val="clear" w:color="auto" w:fill="auto"/>
          </w:tcPr>
          <w:p w14:paraId="746E3848" w14:textId="77777777" w:rsidR="004175F0" w:rsidRPr="006A33BB" w:rsidRDefault="004175F0" w:rsidP="006A33BB">
            <w:pPr>
              <w:spacing w:after="0"/>
              <w:ind w:left="69"/>
              <w:jc w:val="center"/>
              <w:rPr>
                <w:rFonts w:cs="Arial"/>
              </w:rPr>
            </w:pPr>
          </w:p>
        </w:tc>
        <w:tc>
          <w:tcPr>
            <w:tcW w:w="1126" w:type="dxa"/>
            <w:shd w:val="clear" w:color="auto" w:fill="auto"/>
          </w:tcPr>
          <w:p w14:paraId="43722129" w14:textId="77777777" w:rsidR="004175F0" w:rsidRPr="006A33BB" w:rsidRDefault="004175F0" w:rsidP="006A33BB">
            <w:pPr>
              <w:spacing w:after="0"/>
              <w:ind w:left="69"/>
              <w:jc w:val="center"/>
              <w:rPr>
                <w:rFonts w:cs="Arial"/>
              </w:rPr>
            </w:pPr>
          </w:p>
        </w:tc>
        <w:tc>
          <w:tcPr>
            <w:tcW w:w="1126" w:type="dxa"/>
            <w:shd w:val="clear" w:color="auto" w:fill="auto"/>
          </w:tcPr>
          <w:p w14:paraId="0C6EF73E" w14:textId="77777777" w:rsidR="004175F0" w:rsidRPr="006A33BB" w:rsidRDefault="004175F0" w:rsidP="006A33BB">
            <w:pPr>
              <w:spacing w:after="0"/>
              <w:ind w:left="69"/>
              <w:jc w:val="center"/>
              <w:rPr>
                <w:rFonts w:cs="Arial"/>
              </w:rPr>
            </w:pPr>
          </w:p>
        </w:tc>
        <w:tc>
          <w:tcPr>
            <w:tcW w:w="1125" w:type="dxa"/>
            <w:shd w:val="clear" w:color="auto" w:fill="auto"/>
          </w:tcPr>
          <w:p w14:paraId="180FB4BB" w14:textId="77777777" w:rsidR="004175F0" w:rsidRPr="006A33BB" w:rsidRDefault="004175F0" w:rsidP="006A33BB">
            <w:pPr>
              <w:spacing w:after="0"/>
              <w:ind w:left="69"/>
              <w:jc w:val="center"/>
              <w:rPr>
                <w:rFonts w:cs="Arial"/>
              </w:rPr>
            </w:pPr>
          </w:p>
        </w:tc>
        <w:tc>
          <w:tcPr>
            <w:tcW w:w="1267" w:type="dxa"/>
            <w:shd w:val="clear" w:color="auto" w:fill="auto"/>
          </w:tcPr>
          <w:p w14:paraId="2D952E0B" w14:textId="77777777" w:rsidR="004175F0" w:rsidRPr="006A33BB" w:rsidRDefault="004175F0" w:rsidP="006A33BB">
            <w:pPr>
              <w:spacing w:after="0"/>
              <w:ind w:left="69"/>
              <w:jc w:val="center"/>
              <w:rPr>
                <w:rFonts w:cs="Arial"/>
              </w:rPr>
            </w:pPr>
          </w:p>
        </w:tc>
      </w:tr>
      <w:tr w:rsidR="00EC7E47" w:rsidRPr="006A33BB" w14:paraId="46FD0692" w14:textId="77777777" w:rsidTr="0099168D">
        <w:trPr>
          <w:trHeight w:val="100"/>
        </w:trPr>
        <w:tc>
          <w:tcPr>
            <w:tcW w:w="2710" w:type="dxa"/>
          </w:tcPr>
          <w:p w14:paraId="5605FD0B" w14:textId="77777777" w:rsidR="004175F0" w:rsidRPr="006A33BB" w:rsidRDefault="004175F0" w:rsidP="006A33BB">
            <w:pPr>
              <w:spacing w:after="0"/>
              <w:ind w:left="69"/>
              <w:rPr>
                <w:rFonts w:cs="Arial"/>
                <w:snapToGrid w:val="0"/>
              </w:rPr>
            </w:pPr>
            <w:r w:rsidRPr="006A33BB">
              <w:rPr>
                <w:rFonts w:cs="Arial"/>
                <w:snapToGrid w:val="0"/>
              </w:rPr>
              <w:t>(i) impozit pe profit</w:t>
            </w:r>
          </w:p>
        </w:tc>
        <w:tc>
          <w:tcPr>
            <w:tcW w:w="1547" w:type="dxa"/>
            <w:shd w:val="clear" w:color="auto" w:fill="auto"/>
          </w:tcPr>
          <w:p w14:paraId="3EC963AA" w14:textId="77777777" w:rsidR="004175F0" w:rsidRPr="006A33BB" w:rsidRDefault="004175F0" w:rsidP="006A33BB">
            <w:pPr>
              <w:spacing w:after="0"/>
              <w:ind w:left="69"/>
              <w:jc w:val="center"/>
              <w:rPr>
                <w:rFonts w:cs="Arial"/>
              </w:rPr>
            </w:pPr>
          </w:p>
        </w:tc>
        <w:tc>
          <w:tcPr>
            <w:tcW w:w="1126" w:type="dxa"/>
            <w:shd w:val="clear" w:color="auto" w:fill="auto"/>
          </w:tcPr>
          <w:p w14:paraId="4F015456" w14:textId="77777777" w:rsidR="004175F0" w:rsidRPr="006A33BB" w:rsidRDefault="004175F0" w:rsidP="006A33BB">
            <w:pPr>
              <w:spacing w:after="0"/>
              <w:ind w:left="69"/>
              <w:jc w:val="center"/>
              <w:rPr>
                <w:rFonts w:cs="Arial"/>
              </w:rPr>
            </w:pPr>
          </w:p>
        </w:tc>
        <w:tc>
          <w:tcPr>
            <w:tcW w:w="1126" w:type="dxa"/>
            <w:shd w:val="clear" w:color="auto" w:fill="auto"/>
          </w:tcPr>
          <w:p w14:paraId="010D5072" w14:textId="77777777" w:rsidR="004175F0" w:rsidRPr="006A33BB" w:rsidRDefault="004175F0" w:rsidP="006A33BB">
            <w:pPr>
              <w:spacing w:after="0"/>
              <w:ind w:left="69"/>
              <w:jc w:val="center"/>
              <w:rPr>
                <w:rFonts w:cs="Arial"/>
              </w:rPr>
            </w:pPr>
          </w:p>
        </w:tc>
        <w:tc>
          <w:tcPr>
            <w:tcW w:w="1126" w:type="dxa"/>
            <w:shd w:val="clear" w:color="auto" w:fill="auto"/>
          </w:tcPr>
          <w:p w14:paraId="76D3D9C9" w14:textId="77777777" w:rsidR="004175F0" w:rsidRPr="006A33BB" w:rsidRDefault="004175F0" w:rsidP="006A33BB">
            <w:pPr>
              <w:spacing w:after="0"/>
              <w:ind w:left="69"/>
              <w:jc w:val="center"/>
              <w:rPr>
                <w:rFonts w:cs="Arial"/>
              </w:rPr>
            </w:pPr>
          </w:p>
        </w:tc>
        <w:tc>
          <w:tcPr>
            <w:tcW w:w="1125" w:type="dxa"/>
            <w:shd w:val="clear" w:color="auto" w:fill="auto"/>
          </w:tcPr>
          <w:p w14:paraId="3856F2F3" w14:textId="77777777" w:rsidR="004175F0" w:rsidRPr="006A33BB" w:rsidRDefault="004175F0" w:rsidP="006A33BB">
            <w:pPr>
              <w:spacing w:after="0"/>
              <w:ind w:left="69"/>
              <w:jc w:val="center"/>
              <w:rPr>
                <w:rFonts w:cs="Arial"/>
              </w:rPr>
            </w:pPr>
          </w:p>
        </w:tc>
        <w:tc>
          <w:tcPr>
            <w:tcW w:w="1267" w:type="dxa"/>
            <w:shd w:val="clear" w:color="auto" w:fill="auto"/>
          </w:tcPr>
          <w:p w14:paraId="7AB32E1D" w14:textId="77777777" w:rsidR="004175F0" w:rsidRPr="006A33BB" w:rsidRDefault="004175F0" w:rsidP="006A33BB">
            <w:pPr>
              <w:spacing w:after="0"/>
              <w:ind w:left="69"/>
              <w:jc w:val="center"/>
              <w:rPr>
                <w:rFonts w:cs="Arial"/>
              </w:rPr>
            </w:pPr>
          </w:p>
        </w:tc>
      </w:tr>
      <w:tr w:rsidR="00EC7E47" w:rsidRPr="006A33BB" w14:paraId="61B388FB" w14:textId="77777777" w:rsidTr="0099168D">
        <w:trPr>
          <w:trHeight w:val="100"/>
        </w:trPr>
        <w:tc>
          <w:tcPr>
            <w:tcW w:w="2710" w:type="dxa"/>
          </w:tcPr>
          <w:p w14:paraId="73F1E893" w14:textId="77777777" w:rsidR="004175F0" w:rsidRPr="006A33BB" w:rsidRDefault="004175F0" w:rsidP="006A33BB">
            <w:pPr>
              <w:spacing w:after="0"/>
              <w:ind w:left="69"/>
              <w:rPr>
                <w:rFonts w:cs="Arial"/>
                <w:snapToGrid w:val="0"/>
              </w:rPr>
            </w:pPr>
            <w:r w:rsidRPr="006A33BB">
              <w:rPr>
                <w:rFonts w:cs="Arial"/>
                <w:snapToGrid w:val="0"/>
              </w:rPr>
              <w:t>(ii) impozit pe venit</w:t>
            </w:r>
          </w:p>
        </w:tc>
        <w:tc>
          <w:tcPr>
            <w:tcW w:w="1547" w:type="dxa"/>
            <w:shd w:val="clear" w:color="auto" w:fill="auto"/>
          </w:tcPr>
          <w:p w14:paraId="227451EE" w14:textId="77777777" w:rsidR="004175F0" w:rsidRPr="006A33BB" w:rsidRDefault="004175F0" w:rsidP="006A33BB">
            <w:pPr>
              <w:spacing w:after="0"/>
              <w:ind w:left="69"/>
              <w:jc w:val="center"/>
              <w:rPr>
                <w:rFonts w:cs="Arial"/>
              </w:rPr>
            </w:pPr>
          </w:p>
        </w:tc>
        <w:tc>
          <w:tcPr>
            <w:tcW w:w="1126" w:type="dxa"/>
            <w:shd w:val="clear" w:color="auto" w:fill="auto"/>
          </w:tcPr>
          <w:p w14:paraId="6377DB1F" w14:textId="77777777" w:rsidR="004175F0" w:rsidRPr="006A33BB" w:rsidRDefault="004175F0" w:rsidP="006A33BB">
            <w:pPr>
              <w:spacing w:after="0"/>
              <w:ind w:left="69"/>
              <w:jc w:val="center"/>
              <w:rPr>
                <w:rFonts w:cs="Arial"/>
              </w:rPr>
            </w:pPr>
          </w:p>
        </w:tc>
        <w:tc>
          <w:tcPr>
            <w:tcW w:w="1126" w:type="dxa"/>
            <w:shd w:val="clear" w:color="auto" w:fill="auto"/>
          </w:tcPr>
          <w:p w14:paraId="081E0EEE" w14:textId="77777777" w:rsidR="004175F0" w:rsidRPr="006A33BB" w:rsidRDefault="004175F0" w:rsidP="006A33BB">
            <w:pPr>
              <w:spacing w:after="0"/>
              <w:ind w:left="69"/>
              <w:jc w:val="center"/>
              <w:rPr>
                <w:rFonts w:cs="Arial"/>
              </w:rPr>
            </w:pPr>
          </w:p>
        </w:tc>
        <w:tc>
          <w:tcPr>
            <w:tcW w:w="1126" w:type="dxa"/>
            <w:shd w:val="clear" w:color="auto" w:fill="auto"/>
          </w:tcPr>
          <w:p w14:paraId="042F6BB3" w14:textId="77777777" w:rsidR="004175F0" w:rsidRPr="006A33BB" w:rsidRDefault="004175F0" w:rsidP="006A33BB">
            <w:pPr>
              <w:spacing w:after="0"/>
              <w:ind w:left="69"/>
              <w:jc w:val="center"/>
              <w:rPr>
                <w:rFonts w:cs="Arial"/>
              </w:rPr>
            </w:pPr>
          </w:p>
        </w:tc>
        <w:tc>
          <w:tcPr>
            <w:tcW w:w="1125" w:type="dxa"/>
            <w:shd w:val="clear" w:color="auto" w:fill="auto"/>
          </w:tcPr>
          <w:p w14:paraId="2A435E16" w14:textId="77777777" w:rsidR="004175F0" w:rsidRPr="006A33BB" w:rsidRDefault="004175F0" w:rsidP="006A33BB">
            <w:pPr>
              <w:spacing w:after="0"/>
              <w:ind w:left="69"/>
              <w:jc w:val="center"/>
              <w:rPr>
                <w:rFonts w:cs="Arial"/>
              </w:rPr>
            </w:pPr>
          </w:p>
        </w:tc>
        <w:tc>
          <w:tcPr>
            <w:tcW w:w="1267" w:type="dxa"/>
            <w:shd w:val="clear" w:color="auto" w:fill="auto"/>
          </w:tcPr>
          <w:p w14:paraId="757D4456" w14:textId="77777777" w:rsidR="004175F0" w:rsidRPr="006A33BB" w:rsidRDefault="004175F0" w:rsidP="006A33BB">
            <w:pPr>
              <w:spacing w:after="0"/>
              <w:ind w:left="69"/>
              <w:jc w:val="center"/>
              <w:rPr>
                <w:rFonts w:cs="Arial"/>
              </w:rPr>
            </w:pPr>
          </w:p>
        </w:tc>
      </w:tr>
      <w:tr w:rsidR="00EC7E47" w:rsidRPr="006A33BB" w14:paraId="147D4E10" w14:textId="77777777" w:rsidTr="0099168D">
        <w:trPr>
          <w:trHeight w:val="100"/>
        </w:trPr>
        <w:tc>
          <w:tcPr>
            <w:tcW w:w="2710" w:type="dxa"/>
          </w:tcPr>
          <w:p w14:paraId="3F9AFB32" w14:textId="77777777" w:rsidR="004175F0" w:rsidRPr="006A33BB" w:rsidRDefault="004175F0" w:rsidP="006A33BB">
            <w:pPr>
              <w:spacing w:after="0"/>
              <w:ind w:left="69"/>
              <w:rPr>
                <w:rFonts w:cs="Arial"/>
                <w:snapToGrid w:val="0"/>
              </w:rPr>
            </w:pPr>
            <w:r w:rsidRPr="006A33BB">
              <w:rPr>
                <w:rFonts w:cs="Arial"/>
                <w:snapToGrid w:val="0"/>
              </w:rPr>
              <w:t>b) bugete locale:</w:t>
            </w:r>
          </w:p>
        </w:tc>
        <w:tc>
          <w:tcPr>
            <w:tcW w:w="1547" w:type="dxa"/>
            <w:shd w:val="clear" w:color="auto" w:fill="auto"/>
          </w:tcPr>
          <w:p w14:paraId="37A38A3A" w14:textId="77777777" w:rsidR="004175F0" w:rsidRPr="006A33BB" w:rsidRDefault="004175F0" w:rsidP="006A33BB">
            <w:pPr>
              <w:spacing w:after="0"/>
              <w:ind w:left="69"/>
              <w:jc w:val="center"/>
              <w:rPr>
                <w:rFonts w:cs="Arial"/>
              </w:rPr>
            </w:pPr>
          </w:p>
        </w:tc>
        <w:tc>
          <w:tcPr>
            <w:tcW w:w="1126" w:type="dxa"/>
            <w:shd w:val="clear" w:color="auto" w:fill="auto"/>
          </w:tcPr>
          <w:p w14:paraId="17FA9D7A" w14:textId="77777777" w:rsidR="004175F0" w:rsidRPr="006A33BB" w:rsidRDefault="004175F0" w:rsidP="006A33BB">
            <w:pPr>
              <w:spacing w:after="0"/>
              <w:ind w:left="69"/>
              <w:jc w:val="center"/>
              <w:rPr>
                <w:rFonts w:cs="Arial"/>
              </w:rPr>
            </w:pPr>
          </w:p>
        </w:tc>
        <w:tc>
          <w:tcPr>
            <w:tcW w:w="1126" w:type="dxa"/>
            <w:shd w:val="clear" w:color="auto" w:fill="auto"/>
          </w:tcPr>
          <w:p w14:paraId="047812F6" w14:textId="77777777" w:rsidR="004175F0" w:rsidRPr="006A33BB" w:rsidRDefault="004175F0" w:rsidP="006A33BB">
            <w:pPr>
              <w:spacing w:after="0"/>
              <w:ind w:left="69"/>
              <w:jc w:val="center"/>
              <w:rPr>
                <w:rFonts w:cs="Arial"/>
              </w:rPr>
            </w:pPr>
          </w:p>
        </w:tc>
        <w:tc>
          <w:tcPr>
            <w:tcW w:w="1126" w:type="dxa"/>
            <w:shd w:val="clear" w:color="auto" w:fill="auto"/>
          </w:tcPr>
          <w:p w14:paraId="0D7C1F58" w14:textId="77777777" w:rsidR="004175F0" w:rsidRPr="006A33BB" w:rsidRDefault="004175F0" w:rsidP="006A33BB">
            <w:pPr>
              <w:spacing w:after="0"/>
              <w:ind w:left="69"/>
              <w:jc w:val="center"/>
              <w:rPr>
                <w:rFonts w:cs="Arial"/>
              </w:rPr>
            </w:pPr>
          </w:p>
        </w:tc>
        <w:tc>
          <w:tcPr>
            <w:tcW w:w="1125" w:type="dxa"/>
            <w:shd w:val="clear" w:color="auto" w:fill="auto"/>
          </w:tcPr>
          <w:p w14:paraId="6DCB1A61" w14:textId="77777777" w:rsidR="004175F0" w:rsidRPr="006A33BB" w:rsidRDefault="004175F0" w:rsidP="006A33BB">
            <w:pPr>
              <w:spacing w:after="0"/>
              <w:ind w:left="69"/>
              <w:jc w:val="center"/>
              <w:rPr>
                <w:rFonts w:cs="Arial"/>
              </w:rPr>
            </w:pPr>
          </w:p>
        </w:tc>
        <w:tc>
          <w:tcPr>
            <w:tcW w:w="1267" w:type="dxa"/>
            <w:shd w:val="clear" w:color="auto" w:fill="auto"/>
          </w:tcPr>
          <w:p w14:paraId="23BFE9E9" w14:textId="77777777" w:rsidR="004175F0" w:rsidRPr="006A33BB" w:rsidRDefault="004175F0" w:rsidP="006A33BB">
            <w:pPr>
              <w:spacing w:after="0"/>
              <w:ind w:left="69"/>
              <w:jc w:val="center"/>
              <w:rPr>
                <w:rFonts w:cs="Arial"/>
              </w:rPr>
            </w:pPr>
          </w:p>
        </w:tc>
      </w:tr>
      <w:tr w:rsidR="00EC7E47" w:rsidRPr="006A33BB" w14:paraId="0A77E025" w14:textId="77777777" w:rsidTr="0099168D">
        <w:trPr>
          <w:trHeight w:val="100"/>
        </w:trPr>
        <w:tc>
          <w:tcPr>
            <w:tcW w:w="2710" w:type="dxa"/>
          </w:tcPr>
          <w:p w14:paraId="26287B0E" w14:textId="77777777" w:rsidR="004175F0" w:rsidRPr="006A33BB" w:rsidRDefault="004175F0" w:rsidP="006A33BB">
            <w:pPr>
              <w:spacing w:after="0"/>
              <w:ind w:left="69"/>
              <w:rPr>
                <w:rFonts w:cs="Arial"/>
                <w:snapToGrid w:val="0"/>
              </w:rPr>
            </w:pPr>
            <w:r w:rsidRPr="006A33BB">
              <w:rPr>
                <w:rFonts w:cs="Arial"/>
                <w:snapToGrid w:val="0"/>
              </w:rPr>
              <w:t>(i) impozit pe profit</w:t>
            </w:r>
          </w:p>
        </w:tc>
        <w:tc>
          <w:tcPr>
            <w:tcW w:w="1547" w:type="dxa"/>
            <w:shd w:val="clear" w:color="auto" w:fill="auto"/>
          </w:tcPr>
          <w:p w14:paraId="7A05873F" w14:textId="77777777" w:rsidR="004175F0" w:rsidRPr="006A33BB" w:rsidRDefault="004175F0" w:rsidP="006A33BB">
            <w:pPr>
              <w:spacing w:after="0"/>
              <w:ind w:left="69"/>
              <w:jc w:val="center"/>
              <w:rPr>
                <w:rFonts w:cs="Arial"/>
              </w:rPr>
            </w:pPr>
          </w:p>
        </w:tc>
        <w:tc>
          <w:tcPr>
            <w:tcW w:w="1126" w:type="dxa"/>
            <w:shd w:val="clear" w:color="auto" w:fill="auto"/>
          </w:tcPr>
          <w:p w14:paraId="412280CF" w14:textId="77777777" w:rsidR="004175F0" w:rsidRPr="006A33BB" w:rsidRDefault="004175F0" w:rsidP="006A33BB">
            <w:pPr>
              <w:spacing w:after="0"/>
              <w:ind w:left="69"/>
              <w:jc w:val="center"/>
              <w:rPr>
                <w:rFonts w:cs="Arial"/>
              </w:rPr>
            </w:pPr>
          </w:p>
        </w:tc>
        <w:tc>
          <w:tcPr>
            <w:tcW w:w="1126" w:type="dxa"/>
            <w:shd w:val="clear" w:color="auto" w:fill="auto"/>
          </w:tcPr>
          <w:p w14:paraId="63B46807" w14:textId="77777777" w:rsidR="004175F0" w:rsidRPr="006A33BB" w:rsidRDefault="004175F0" w:rsidP="006A33BB">
            <w:pPr>
              <w:spacing w:after="0"/>
              <w:ind w:left="69"/>
              <w:jc w:val="center"/>
              <w:rPr>
                <w:rFonts w:cs="Arial"/>
              </w:rPr>
            </w:pPr>
          </w:p>
        </w:tc>
        <w:tc>
          <w:tcPr>
            <w:tcW w:w="1126" w:type="dxa"/>
            <w:shd w:val="clear" w:color="auto" w:fill="auto"/>
          </w:tcPr>
          <w:p w14:paraId="1B07C4CA" w14:textId="77777777" w:rsidR="004175F0" w:rsidRPr="006A33BB" w:rsidRDefault="004175F0" w:rsidP="006A33BB">
            <w:pPr>
              <w:spacing w:after="0"/>
              <w:ind w:left="69"/>
              <w:jc w:val="center"/>
              <w:rPr>
                <w:rFonts w:cs="Arial"/>
              </w:rPr>
            </w:pPr>
          </w:p>
        </w:tc>
        <w:tc>
          <w:tcPr>
            <w:tcW w:w="1125" w:type="dxa"/>
            <w:shd w:val="clear" w:color="auto" w:fill="auto"/>
          </w:tcPr>
          <w:p w14:paraId="1415309C" w14:textId="77777777" w:rsidR="004175F0" w:rsidRPr="006A33BB" w:rsidRDefault="004175F0" w:rsidP="006A33BB">
            <w:pPr>
              <w:spacing w:after="0"/>
              <w:ind w:left="69"/>
              <w:jc w:val="center"/>
              <w:rPr>
                <w:rFonts w:cs="Arial"/>
              </w:rPr>
            </w:pPr>
          </w:p>
        </w:tc>
        <w:tc>
          <w:tcPr>
            <w:tcW w:w="1267" w:type="dxa"/>
            <w:shd w:val="clear" w:color="auto" w:fill="auto"/>
          </w:tcPr>
          <w:p w14:paraId="0BF67F22" w14:textId="77777777" w:rsidR="004175F0" w:rsidRPr="006A33BB" w:rsidRDefault="004175F0" w:rsidP="006A33BB">
            <w:pPr>
              <w:spacing w:after="0"/>
              <w:ind w:left="69"/>
              <w:jc w:val="center"/>
              <w:rPr>
                <w:rFonts w:cs="Arial"/>
              </w:rPr>
            </w:pPr>
          </w:p>
        </w:tc>
      </w:tr>
      <w:tr w:rsidR="00EC7E47" w:rsidRPr="006A33BB" w14:paraId="3321A19F" w14:textId="77777777" w:rsidTr="0099168D">
        <w:trPr>
          <w:trHeight w:val="100"/>
        </w:trPr>
        <w:tc>
          <w:tcPr>
            <w:tcW w:w="2710" w:type="dxa"/>
          </w:tcPr>
          <w:p w14:paraId="33DEA609" w14:textId="77777777" w:rsidR="004175F0" w:rsidRPr="006A33BB" w:rsidRDefault="004175F0" w:rsidP="006A33BB">
            <w:pPr>
              <w:spacing w:after="0"/>
              <w:ind w:left="69"/>
              <w:rPr>
                <w:rFonts w:cs="Arial"/>
                <w:snapToGrid w:val="0"/>
              </w:rPr>
            </w:pPr>
            <w:r w:rsidRPr="006A33BB">
              <w:rPr>
                <w:rFonts w:cs="Arial"/>
                <w:snapToGrid w:val="0"/>
              </w:rPr>
              <w:t>c) bugetul asigurărilor sociale de stat:</w:t>
            </w:r>
          </w:p>
        </w:tc>
        <w:tc>
          <w:tcPr>
            <w:tcW w:w="1547" w:type="dxa"/>
            <w:shd w:val="clear" w:color="auto" w:fill="auto"/>
          </w:tcPr>
          <w:p w14:paraId="7F9482C1" w14:textId="77777777" w:rsidR="004175F0" w:rsidRPr="006A33BB" w:rsidRDefault="004175F0" w:rsidP="006A33BB">
            <w:pPr>
              <w:spacing w:after="0"/>
              <w:ind w:left="69"/>
              <w:jc w:val="center"/>
              <w:rPr>
                <w:rFonts w:cs="Arial"/>
              </w:rPr>
            </w:pPr>
          </w:p>
        </w:tc>
        <w:tc>
          <w:tcPr>
            <w:tcW w:w="1126" w:type="dxa"/>
            <w:shd w:val="clear" w:color="auto" w:fill="auto"/>
          </w:tcPr>
          <w:p w14:paraId="7F691DFF" w14:textId="77777777" w:rsidR="004175F0" w:rsidRPr="006A33BB" w:rsidRDefault="004175F0" w:rsidP="006A33BB">
            <w:pPr>
              <w:spacing w:after="0"/>
              <w:ind w:left="69"/>
              <w:jc w:val="center"/>
              <w:rPr>
                <w:rFonts w:cs="Arial"/>
              </w:rPr>
            </w:pPr>
          </w:p>
        </w:tc>
        <w:tc>
          <w:tcPr>
            <w:tcW w:w="1126" w:type="dxa"/>
            <w:shd w:val="clear" w:color="auto" w:fill="auto"/>
          </w:tcPr>
          <w:p w14:paraId="7EB0B173" w14:textId="77777777" w:rsidR="004175F0" w:rsidRPr="006A33BB" w:rsidRDefault="004175F0" w:rsidP="006A33BB">
            <w:pPr>
              <w:spacing w:after="0"/>
              <w:ind w:left="69"/>
              <w:jc w:val="center"/>
              <w:rPr>
                <w:rFonts w:cs="Arial"/>
              </w:rPr>
            </w:pPr>
          </w:p>
        </w:tc>
        <w:tc>
          <w:tcPr>
            <w:tcW w:w="1126" w:type="dxa"/>
            <w:shd w:val="clear" w:color="auto" w:fill="auto"/>
          </w:tcPr>
          <w:p w14:paraId="5B9485AE" w14:textId="77777777" w:rsidR="004175F0" w:rsidRPr="006A33BB" w:rsidRDefault="004175F0" w:rsidP="006A33BB">
            <w:pPr>
              <w:spacing w:after="0"/>
              <w:ind w:left="69"/>
              <w:jc w:val="center"/>
              <w:rPr>
                <w:rFonts w:cs="Arial"/>
              </w:rPr>
            </w:pPr>
          </w:p>
        </w:tc>
        <w:tc>
          <w:tcPr>
            <w:tcW w:w="1125" w:type="dxa"/>
            <w:shd w:val="clear" w:color="auto" w:fill="auto"/>
          </w:tcPr>
          <w:p w14:paraId="6BD95C9E" w14:textId="77777777" w:rsidR="004175F0" w:rsidRPr="006A33BB" w:rsidRDefault="004175F0" w:rsidP="006A33BB">
            <w:pPr>
              <w:spacing w:after="0"/>
              <w:ind w:left="69"/>
              <w:jc w:val="center"/>
              <w:rPr>
                <w:rFonts w:cs="Arial"/>
              </w:rPr>
            </w:pPr>
          </w:p>
        </w:tc>
        <w:tc>
          <w:tcPr>
            <w:tcW w:w="1267" w:type="dxa"/>
            <w:shd w:val="clear" w:color="auto" w:fill="auto"/>
          </w:tcPr>
          <w:p w14:paraId="0CC315A2" w14:textId="77777777" w:rsidR="004175F0" w:rsidRPr="006A33BB" w:rsidRDefault="004175F0" w:rsidP="006A33BB">
            <w:pPr>
              <w:spacing w:after="0"/>
              <w:ind w:left="69"/>
              <w:jc w:val="center"/>
              <w:rPr>
                <w:rFonts w:cs="Arial"/>
              </w:rPr>
            </w:pPr>
          </w:p>
        </w:tc>
      </w:tr>
      <w:tr w:rsidR="00EC7E47" w:rsidRPr="006A33BB" w14:paraId="106FE986" w14:textId="77777777" w:rsidTr="0099168D">
        <w:trPr>
          <w:trHeight w:val="100"/>
        </w:trPr>
        <w:tc>
          <w:tcPr>
            <w:tcW w:w="2710" w:type="dxa"/>
          </w:tcPr>
          <w:p w14:paraId="2C422C53" w14:textId="3F081C0F" w:rsidR="004175F0" w:rsidRPr="006A33BB" w:rsidRDefault="004175F0" w:rsidP="006A33BB">
            <w:pPr>
              <w:spacing w:after="0"/>
              <w:ind w:left="69"/>
              <w:rPr>
                <w:rFonts w:cs="Arial"/>
                <w:snapToGrid w:val="0"/>
              </w:rPr>
            </w:pPr>
            <w:r w:rsidRPr="006A33BB">
              <w:rPr>
                <w:rFonts w:cs="Arial"/>
                <w:snapToGrid w:val="0"/>
              </w:rPr>
              <w:t xml:space="preserve">(i) </w:t>
            </w:r>
            <w:r w:rsidR="00B939C6" w:rsidRPr="006A33BB">
              <w:rPr>
                <w:rFonts w:cs="Arial"/>
                <w:snapToGrid w:val="0"/>
              </w:rPr>
              <w:t>contribuții</w:t>
            </w:r>
            <w:r w:rsidRPr="006A33BB">
              <w:rPr>
                <w:rFonts w:cs="Arial"/>
                <w:snapToGrid w:val="0"/>
              </w:rPr>
              <w:t xml:space="preserve"> de asigurări</w:t>
            </w:r>
          </w:p>
        </w:tc>
        <w:tc>
          <w:tcPr>
            <w:tcW w:w="1547" w:type="dxa"/>
            <w:shd w:val="clear" w:color="auto" w:fill="auto"/>
          </w:tcPr>
          <w:p w14:paraId="01AB44A6" w14:textId="77777777" w:rsidR="004175F0" w:rsidRPr="006A33BB" w:rsidRDefault="004175F0" w:rsidP="006A33BB">
            <w:pPr>
              <w:spacing w:after="0"/>
              <w:ind w:left="69"/>
              <w:jc w:val="center"/>
              <w:rPr>
                <w:rFonts w:cs="Arial"/>
              </w:rPr>
            </w:pPr>
          </w:p>
        </w:tc>
        <w:tc>
          <w:tcPr>
            <w:tcW w:w="1126" w:type="dxa"/>
            <w:shd w:val="clear" w:color="auto" w:fill="auto"/>
          </w:tcPr>
          <w:p w14:paraId="22753546" w14:textId="77777777" w:rsidR="004175F0" w:rsidRPr="006A33BB" w:rsidRDefault="004175F0" w:rsidP="006A33BB">
            <w:pPr>
              <w:spacing w:after="0"/>
              <w:ind w:left="69"/>
              <w:jc w:val="center"/>
              <w:rPr>
                <w:rFonts w:cs="Arial"/>
              </w:rPr>
            </w:pPr>
          </w:p>
        </w:tc>
        <w:tc>
          <w:tcPr>
            <w:tcW w:w="1126" w:type="dxa"/>
            <w:shd w:val="clear" w:color="auto" w:fill="auto"/>
          </w:tcPr>
          <w:p w14:paraId="05899547" w14:textId="77777777" w:rsidR="004175F0" w:rsidRPr="006A33BB" w:rsidRDefault="004175F0" w:rsidP="006A33BB">
            <w:pPr>
              <w:spacing w:after="0"/>
              <w:ind w:left="69"/>
              <w:jc w:val="center"/>
              <w:rPr>
                <w:rFonts w:cs="Arial"/>
              </w:rPr>
            </w:pPr>
          </w:p>
        </w:tc>
        <w:tc>
          <w:tcPr>
            <w:tcW w:w="1126" w:type="dxa"/>
            <w:shd w:val="clear" w:color="auto" w:fill="auto"/>
          </w:tcPr>
          <w:p w14:paraId="0A307CEB" w14:textId="77777777" w:rsidR="004175F0" w:rsidRPr="006A33BB" w:rsidRDefault="004175F0" w:rsidP="006A33BB">
            <w:pPr>
              <w:spacing w:after="0"/>
              <w:ind w:left="69"/>
              <w:jc w:val="center"/>
              <w:rPr>
                <w:rFonts w:cs="Arial"/>
              </w:rPr>
            </w:pPr>
          </w:p>
        </w:tc>
        <w:tc>
          <w:tcPr>
            <w:tcW w:w="1125" w:type="dxa"/>
            <w:shd w:val="clear" w:color="auto" w:fill="auto"/>
          </w:tcPr>
          <w:p w14:paraId="0134F8B9" w14:textId="77777777" w:rsidR="004175F0" w:rsidRPr="006A33BB" w:rsidRDefault="004175F0" w:rsidP="006A33BB">
            <w:pPr>
              <w:spacing w:after="0"/>
              <w:ind w:left="69"/>
              <w:jc w:val="center"/>
              <w:rPr>
                <w:rFonts w:cs="Arial"/>
              </w:rPr>
            </w:pPr>
          </w:p>
        </w:tc>
        <w:tc>
          <w:tcPr>
            <w:tcW w:w="1267" w:type="dxa"/>
            <w:shd w:val="clear" w:color="auto" w:fill="auto"/>
          </w:tcPr>
          <w:p w14:paraId="68369145" w14:textId="77777777" w:rsidR="004175F0" w:rsidRPr="006A33BB" w:rsidRDefault="004175F0" w:rsidP="006A33BB">
            <w:pPr>
              <w:spacing w:after="0"/>
              <w:ind w:left="69"/>
              <w:jc w:val="center"/>
              <w:rPr>
                <w:rFonts w:cs="Arial"/>
              </w:rPr>
            </w:pPr>
          </w:p>
        </w:tc>
      </w:tr>
      <w:tr w:rsidR="004C68CA" w:rsidRPr="006A33BB" w14:paraId="5E736302" w14:textId="77777777" w:rsidTr="0099168D">
        <w:trPr>
          <w:trHeight w:val="100"/>
        </w:trPr>
        <w:tc>
          <w:tcPr>
            <w:tcW w:w="2710" w:type="dxa"/>
          </w:tcPr>
          <w:p w14:paraId="305E765F" w14:textId="77777777" w:rsidR="004C68CA" w:rsidRPr="006A33BB" w:rsidRDefault="004C68CA" w:rsidP="006A33BB">
            <w:pPr>
              <w:spacing w:after="0"/>
              <w:ind w:left="69"/>
              <w:rPr>
                <w:rFonts w:cs="Arial"/>
                <w:snapToGrid w:val="0"/>
              </w:rPr>
            </w:pPr>
            <w:r w:rsidRPr="006A33BB">
              <w:rPr>
                <w:rFonts w:cs="Arial"/>
                <w:snapToGrid w:val="0"/>
              </w:rPr>
              <w:t>2. Modificări ale cheltuielilor bugetare, plus/minus, din care:</w:t>
            </w:r>
          </w:p>
        </w:tc>
        <w:tc>
          <w:tcPr>
            <w:tcW w:w="1547" w:type="dxa"/>
            <w:tcBorders>
              <w:top w:val="single" w:sz="4" w:space="0" w:color="auto"/>
              <w:left w:val="single" w:sz="4" w:space="0" w:color="auto"/>
              <w:bottom w:val="single" w:sz="4" w:space="0" w:color="auto"/>
              <w:right w:val="single" w:sz="4" w:space="0" w:color="auto"/>
            </w:tcBorders>
          </w:tcPr>
          <w:p w14:paraId="32EFF94C" w14:textId="693B4EC5"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3B3BA9D5" w14:textId="4002C111"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7AEF2652" w14:textId="0E99044B"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439DFEBE" w14:textId="28F120A4"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1F4288AE" w14:textId="7A600DF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568243E4" w14:textId="54616FF3" w:rsidR="004C68CA" w:rsidRPr="006A33BB" w:rsidRDefault="004C68CA" w:rsidP="006A33BB">
            <w:pPr>
              <w:spacing w:after="0"/>
              <w:ind w:left="69"/>
              <w:jc w:val="center"/>
              <w:rPr>
                <w:rFonts w:cs="Arial"/>
              </w:rPr>
            </w:pPr>
          </w:p>
        </w:tc>
      </w:tr>
      <w:tr w:rsidR="004C68CA" w:rsidRPr="006A33BB" w14:paraId="14652374" w14:textId="77777777" w:rsidTr="0099168D">
        <w:trPr>
          <w:trHeight w:val="100"/>
        </w:trPr>
        <w:tc>
          <w:tcPr>
            <w:tcW w:w="2710" w:type="dxa"/>
          </w:tcPr>
          <w:p w14:paraId="0BAA341F" w14:textId="77777777" w:rsidR="004C68CA" w:rsidRPr="006A33BB" w:rsidRDefault="004C68CA" w:rsidP="006A33BB">
            <w:pPr>
              <w:spacing w:after="0"/>
              <w:ind w:left="69"/>
              <w:rPr>
                <w:rFonts w:cs="Arial"/>
                <w:snapToGrid w:val="0"/>
              </w:rPr>
            </w:pPr>
            <w:r w:rsidRPr="006A33BB">
              <w:rPr>
                <w:rFonts w:cs="Arial"/>
                <w:snapToGrid w:val="0"/>
              </w:rPr>
              <w:t>a) buget de stat, din acesta:</w:t>
            </w:r>
          </w:p>
        </w:tc>
        <w:tc>
          <w:tcPr>
            <w:tcW w:w="1547" w:type="dxa"/>
            <w:tcBorders>
              <w:top w:val="single" w:sz="4" w:space="0" w:color="auto"/>
              <w:left w:val="single" w:sz="4" w:space="0" w:color="auto"/>
              <w:bottom w:val="single" w:sz="4" w:space="0" w:color="auto"/>
              <w:right w:val="single" w:sz="4" w:space="0" w:color="auto"/>
            </w:tcBorders>
          </w:tcPr>
          <w:p w14:paraId="1B9E4E6C" w14:textId="62C32EC6"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233351D0" w14:textId="44B5772D"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02D66478" w14:textId="1F466AA5"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75D90324" w14:textId="457DF97C"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215A7B16" w14:textId="5204C0C1"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2730C0E7" w14:textId="39109E9C" w:rsidR="004C68CA" w:rsidRPr="006A33BB" w:rsidRDefault="004C68CA" w:rsidP="006A33BB">
            <w:pPr>
              <w:spacing w:after="0"/>
              <w:ind w:left="69"/>
              <w:jc w:val="center"/>
              <w:rPr>
                <w:rFonts w:cs="Arial"/>
              </w:rPr>
            </w:pPr>
          </w:p>
        </w:tc>
      </w:tr>
      <w:tr w:rsidR="004C68CA" w:rsidRPr="006A33BB" w14:paraId="3ED94239" w14:textId="77777777" w:rsidTr="0099168D">
        <w:trPr>
          <w:trHeight w:val="100"/>
        </w:trPr>
        <w:tc>
          <w:tcPr>
            <w:tcW w:w="2710" w:type="dxa"/>
          </w:tcPr>
          <w:p w14:paraId="070DE233" w14:textId="77777777" w:rsidR="004C68CA" w:rsidRPr="006A33BB" w:rsidRDefault="004C68CA" w:rsidP="006A33BB">
            <w:pPr>
              <w:spacing w:after="0"/>
              <w:ind w:left="69"/>
              <w:rPr>
                <w:rFonts w:cs="Arial"/>
                <w:snapToGrid w:val="0"/>
              </w:rPr>
            </w:pPr>
            <w:r w:rsidRPr="006A33BB">
              <w:rPr>
                <w:rFonts w:cs="Arial"/>
                <w:snapToGrid w:val="0"/>
              </w:rPr>
              <w:t>(i) cheltuieli de personal</w:t>
            </w:r>
          </w:p>
        </w:tc>
        <w:tc>
          <w:tcPr>
            <w:tcW w:w="1547" w:type="dxa"/>
            <w:tcBorders>
              <w:top w:val="single" w:sz="4" w:space="0" w:color="auto"/>
              <w:left w:val="single" w:sz="4" w:space="0" w:color="auto"/>
              <w:bottom w:val="single" w:sz="4" w:space="0" w:color="auto"/>
              <w:right w:val="single" w:sz="4" w:space="0" w:color="auto"/>
            </w:tcBorders>
          </w:tcPr>
          <w:p w14:paraId="3AAB75D3" w14:textId="74E63EC3"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5ED3FB70" w14:textId="00A9D690"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0561E516" w14:textId="6B760029"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179E37F7" w14:textId="0CD8F5F2"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2BD5B056" w14:textId="1B6387E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3FDA9029" w14:textId="4DA19EA3" w:rsidR="004C68CA" w:rsidRPr="006A33BB" w:rsidRDefault="004C68CA" w:rsidP="006A33BB">
            <w:pPr>
              <w:spacing w:after="0"/>
              <w:ind w:left="69"/>
              <w:jc w:val="center"/>
              <w:rPr>
                <w:rFonts w:cs="Arial"/>
              </w:rPr>
            </w:pPr>
          </w:p>
        </w:tc>
      </w:tr>
      <w:tr w:rsidR="004C68CA" w:rsidRPr="006A33BB" w14:paraId="0DE6006D" w14:textId="77777777" w:rsidTr="0099168D">
        <w:trPr>
          <w:trHeight w:val="100"/>
        </w:trPr>
        <w:tc>
          <w:tcPr>
            <w:tcW w:w="2710" w:type="dxa"/>
          </w:tcPr>
          <w:p w14:paraId="2FCE4991" w14:textId="1FDF162B" w:rsidR="004C68CA" w:rsidRPr="006A33BB" w:rsidRDefault="004C68CA" w:rsidP="006A33BB">
            <w:pPr>
              <w:spacing w:after="0"/>
              <w:ind w:left="69"/>
              <w:rPr>
                <w:rFonts w:cs="Arial"/>
                <w:snapToGrid w:val="0"/>
              </w:rPr>
            </w:pPr>
            <w:r w:rsidRPr="006A33BB">
              <w:rPr>
                <w:rFonts w:cs="Arial"/>
                <w:snapToGrid w:val="0"/>
              </w:rPr>
              <w:t xml:space="preserve">(ii) bunuri </w:t>
            </w:r>
            <w:r w:rsidR="00237758" w:rsidRPr="006A33BB">
              <w:rPr>
                <w:rFonts w:cs="Arial"/>
                <w:snapToGrid w:val="0"/>
              </w:rPr>
              <w:t>și</w:t>
            </w:r>
            <w:r w:rsidRPr="006A33BB">
              <w:rPr>
                <w:rFonts w:cs="Arial"/>
                <w:snapToGrid w:val="0"/>
              </w:rPr>
              <w:t xml:space="preserve"> servicii</w:t>
            </w:r>
          </w:p>
        </w:tc>
        <w:tc>
          <w:tcPr>
            <w:tcW w:w="1547" w:type="dxa"/>
            <w:tcBorders>
              <w:top w:val="single" w:sz="4" w:space="0" w:color="auto"/>
              <w:left w:val="single" w:sz="4" w:space="0" w:color="auto"/>
              <w:bottom w:val="single" w:sz="4" w:space="0" w:color="auto"/>
              <w:right w:val="single" w:sz="4" w:space="0" w:color="auto"/>
            </w:tcBorders>
          </w:tcPr>
          <w:p w14:paraId="17E916BF"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641A5368"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60FEBB8F"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276E43AD" w14:textId="77777777"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4C271ECF" w14:textId="7777777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13D5D8AC" w14:textId="77777777" w:rsidR="004C68CA" w:rsidRPr="006A33BB" w:rsidRDefault="004C68CA" w:rsidP="006A33BB">
            <w:pPr>
              <w:spacing w:after="0"/>
              <w:ind w:left="69"/>
              <w:jc w:val="center"/>
              <w:rPr>
                <w:rFonts w:cs="Arial"/>
              </w:rPr>
            </w:pPr>
          </w:p>
        </w:tc>
      </w:tr>
      <w:tr w:rsidR="004C68CA" w:rsidRPr="006A33BB" w14:paraId="7CFF967B" w14:textId="77777777" w:rsidTr="0099168D">
        <w:trPr>
          <w:trHeight w:val="100"/>
        </w:trPr>
        <w:tc>
          <w:tcPr>
            <w:tcW w:w="2710" w:type="dxa"/>
          </w:tcPr>
          <w:p w14:paraId="4BAB0314" w14:textId="77777777" w:rsidR="004C68CA" w:rsidRPr="006A33BB" w:rsidRDefault="004C68CA" w:rsidP="006A33BB">
            <w:pPr>
              <w:spacing w:after="0"/>
              <w:ind w:left="69"/>
              <w:rPr>
                <w:rFonts w:cs="Arial"/>
                <w:snapToGrid w:val="0"/>
              </w:rPr>
            </w:pPr>
            <w:r w:rsidRPr="006A33BB">
              <w:rPr>
                <w:rFonts w:cs="Arial"/>
                <w:snapToGrid w:val="0"/>
              </w:rPr>
              <w:t>b) bugete locale</w:t>
            </w:r>
          </w:p>
        </w:tc>
        <w:tc>
          <w:tcPr>
            <w:tcW w:w="1547" w:type="dxa"/>
            <w:tcBorders>
              <w:top w:val="single" w:sz="4" w:space="0" w:color="auto"/>
              <w:left w:val="single" w:sz="4" w:space="0" w:color="auto"/>
              <w:bottom w:val="single" w:sz="4" w:space="0" w:color="auto"/>
              <w:right w:val="single" w:sz="4" w:space="0" w:color="auto"/>
            </w:tcBorders>
          </w:tcPr>
          <w:p w14:paraId="7AA1F9EB"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32FD9C8A"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466B30D3"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193CEE90" w14:textId="77777777"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5198D0F8" w14:textId="7777777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6E959EF2" w14:textId="77777777" w:rsidR="004C68CA" w:rsidRPr="006A33BB" w:rsidRDefault="004C68CA" w:rsidP="006A33BB">
            <w:pPr>
              <w:spacing w:after="0"/>
              <w:ind w:left="69"/>
              <w:jc w:val="center"/>
              <w:rPr>
                <w:rFonts w:cs="Arial"/>
              </w:rPr>
            </w:pPr>
          </w:p>
        </w:tc>
      </w:tr>
      <w:tr w:rsidR="004C68CA" w:rsidRPr="006A33BB" w14:paraId="284951FD" w14:textId="77777777" w:rsidTr="0099168D">
        <w:trPr>
          <w:trHeight w:val="100"/>
        </w:trPr>
        <w:tc>
          <w:tcPr>
            <w:tcW w:w="2710" w:type="dxa"/>
          </w:tcPr>
          <w:p w14:paraId="743CF487" w14:textId="77777777" w:rsidR="004C68CA" w:rsidRPr="006A33BB" w:rsidRDefault="004C68CA" w:rsidP="006A33BB">
            <w:pPr>
              <w:spacing w:after="0"/>
              <w:ind w:left="69"/>
              <w:rPr>
                <w:rFonts w:cs="Arial"/>
                <w:snapToGrid w:val="0"/>
              </w:rPr>
            </w:pPr>
            <w:r w:rsidRPr="006A33BB">
              <w:rPr>
                <w:rFonts w:cs="Arial"/>
                <w:snapToGrid w:val="0"/>
              </w:rPr>
              <w:t>(i) cheltuieli de personal</w:t>
            </w:r>
          </w:p>
        </w:tc>
        <w:tc>
          <w:tcPr>
            <w:tcW w:w="1547" w:type="dxa"/>
            <w:tcBorders>
              <w:top w:val="single" w:sz="4" w:space="0" w:color="auto"/>
              <w:left w:val="single" w:sz="4" w:space="0" w:color="auto"/>
              <w:bottom w:val="single" w:sz="4" w:space="0" w:color="auto"/>
              <w:right w:val="single" w:sz="4" w:space="0" w:color="auto"/>
            </w:tcBorders>
          </w:tcPr>
          <w:p w14:paraId="617DC505" w14:textId="77777777" w:rsidR="004C68CA" w:rsidRPr="006A33BB" w:rsidRDefault="004C68CA" w:rsidP="006A33BB">
            <w:pPr>
              <w:spacing w:after="0"/>
              <w:ind w:left="69"/>
              <w:rPr>
                <w:rFonts w:cs="Arial"/>
              </w:rPr>
            </w:pPr>
          </w:p>
        </w:tc>
        <w:tc>
          <w:tcPr>
            <w:tcW w:w="1126" w:type="dxa"/>
            <w:tcBorders>
              <w:top w:val="single" w:sz="4" w:space="0" w:color="auto"/>
              <w:left w:val="single" w:sz="4" w:space="0" w:color="auto"/>
              <w:bottom w:val="single" w:sz="4" w:space="0" w:color="auto"/>
              <w:right w:val="single" w:sz="4" w:space="0" w:color="auto"/>
            </w:tcBorders>
          </w:tcPr>
          <w:p w14:paraId="30FC32E6" w14:textId="77777777" w:rsidR="004C68CA" w:rsidRPr="006A33BB" w:rsidRDefault="004C68CA" w:rsidP="006A33BB">
            <w:pPr>
              <w:spacing w:after="0"/>
              <w:ind w:left="69"/>
              <w:rPr>
                <w:rFonts w:cs="Arial"/>
              </w:rPr>
            </w:pPr>
          </w:p>
        </w:tc>
        <w:tc>
          <w:tcPr>
            <w:tcW w:w="1126" w:type="dxa"/>
            <w:tcBorders>
              <w:top w:val="single" w:sz="4" w:space="0" w:color="auto"/>
              <w:left w:val="single" w:sz="4" w:space="0" w:color="auto"/>
              <w:bottom w:val="single" w:sz="4" w:space="0" w:color="auto"/>
              <w:right w:val="single" w:sz="4" w:space="0" w:color="auto"/>
            </w:tcBorders>
          </w:tcPr>
          <w:p w14:paraId="5639727A" w14:textId="77777777" w:rsidR="004C68CA" w:rsidRPr="006A33BB" w:rsidRDefault="004C68CA" w:rsidP="006A33BB">
            <w:pPr>
              <w:spacing w:after="0"/>
              <w:ind w:left="69"/>
              <w:rPr>
                <w:rFonts w:cs="Arial"/>
              </w:rPr>
            </w:pPr>
          </w:p>
        </w:tc>
        <w:tc>
          <w:tcPr>
            <w:tcW w:w="1126" w:type="dxa"/>
            <w:tcBorders>
              <w:top w:val="single" w:sz="4" w:space="0" w:color="auto"/>
              <w:left w:val="single" w:sz="4" w:space="0" w:color="auto"/>
              <w:bottom w:val="single" w:sz="4" w:space="0" w:color="auto"/>
              <w:right w:val="single" w:sz="4" w:space="0" w:color="auto"/>
            </w:tcBorders>
          </w:tcPr>
          <w:p w14:paraId="74E992C0" w14:textId="77777777"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3FAFC730" w14:textId="7777777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55794498" w14:textId="77777777" w:rsidR="004C68CA" w:rsidRPr="006A33BB" w:rsidRDefault="004C68CA" w:rsidP="006A33BB">
            <w:pPr>
              <w:spacing w:after="0"/>
              <w:ind w:left="69"/>
              <w:rPr>
                <w:rFonts w:cs="Arial"/>
              </w:rPr>
            </w:pPr>
          </w:p>
        </w:tc>
      </w:tr>
      <w:tr w:rsidR="004C68CA" w:rsidRPr="006A33BB" w14:paraId="20441D26" w14:textId="77777777" w:rsidTr="0099168D">
        <w:trPr>
          <w:trHeight w:val="100"/>
        </w:trPr>
        <w:tc>
          <w:tcPr>
            <w:tcW w:w="2710" w:type="dxa"/>
          </w:tcPr>
          <w:p w14:paraId="1FDB176D" w14:textId="6F1F62C4" w:rsidR="004C68CA" w:rsidRPr="006A33BB" w:rsidRDefault="004C68CA" w:rsidP="006A33BB">
            <w:pPr>
              <w:spacing w:after="0"/>
              <w:ind w:left="69"/>
              <w:rPr>
                <w:rFonts w:cs="Arial"/>
                <w:snapToGrid w:val="0"/>
              </w:rPr>
            </w:pPr>
            <w:r w:rsidRPr="006A33BB">
              <w:rPr>
                <w:rFonts w:cs="Arial"/>
                <w:snapToGrid w:val="0"/>
              </w:rPr>
              <w:t xml:space="preserve">(ii) bunuri </w:t>
            </w:r>
            <w:r w:rsidR="00237758" w:rsidRPr="006A33BB">
              <w:rPr>
                <w:rFonts w:cs="Arial"/>
                <w:snapToGrid w:val="0"/>
              </w:rPr>
              <w:t>și</w:t>
            </w:r>
            <w:r w:rsidRPr="006A33BB">
              <w:rPr>
                <w:rFonts w:cs="Arial"/>
                <w:snapToGrid w:val="0"/>
              </w:rPr>
              <w:t xml:space="preserve"> servicii</w:t>
            </w:r>
          </w:p>
        </w:tc>
        <w:tc>
          <w:tcPr>
            <w:tcW w:w="1547" w:type="dxa"/>
            <w:tcBorders>
              <w:top w:val="single" w:sz="4" w:space="0" w:color="auto"/>
              <w:left w:val="single" w:sz="4" w:space="0" w:color="auto"/>
              <w:bottom w:val="single" w:sz="4" w:space="0" w:color="auto"/>
              <w:right w:val="single" w:sz="4" w:space="0" w:color="auto"/>
            </w:tcBorders>
          </w:tcPr>
          <w:p w14:paraId="331E7323"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3233C495"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07094AD2"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0A8800BB" w14:textId="77777777"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1E90C061" w14:textId="7777777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323116CA" w14:textId="77777777" w:rsidR="004C68CA" w:rsidRPr="006A33BB" w:rsidRDefault="004C68CA" w:rsidP="006A33BB">
            <w:pPr>
              <w:spacing w:after="0"/>
              <w:ind w:left="69"/>
              <w:jc w:val="center"/>
              <w:rPr>
                <w:rFonts w:cs="Arial"/>
              </w:rPr>
            </w:pPr>
          </w:p>
        </w:tc>
      </w:tr>
      <w:tr w:rsidR="004C68CA" w:rsidRPr="006A33BB" w14:paraId="2130E8F0" w14:textId="77777777" w:rsidTr="0099168D">
        <w:trPr>
          <w:trHeight w:val="100"/>
        </w:trPr>
        <w:tc>
          <w:tcPr>
            <w:tcW w:w="2710" w:type="dxa"/>
          </w:tcPr>
          <w:p w14:paraId="701F0581" w14:textId="77777777" w:rsidR="004C68CA" w:rsidRPr="006A33BB" w:rsidRDefault="004C68CA" w:rsidP="006A33BB">
            <w:pPr>
              <w:spacing w:after="0"/>
              <w:ind w:left="69"/>
              <w:rPr>
                <w:rFonts w:cs="Arial"/>
                <w:snapToGrid w:val="0"/>
              </w:rPr>
            </w:pPr>
            <w:r w:rsidRPr="006A33BB">
              <w:rPr>
                <w:rFonts w:cs="Arial"/>
                <w:snapToGrid w:val="0"/>
              </w:rPr>
              <w:t>c) bugetul asigurărilor sociale de stat:</w:t>
            </w:r>
          </w:p>
        </w:tc>
        <w:tc>
          <w:tcPr>
            <w:tcW w:w="1547" w:type="dxa"/>
            <w:tcBorders>
              <w:top w:val="single" w:sz="4" w:space="0" w:color="auto"/>
              <w:left w:val="single" w:sz="4" w:space="0" w:color="auto"/>
              <w:bottom w:val="single" w:sz="4" w:space="0" w:color="auto"/>
              <w:right w:val="single" w:sz="4" w:space="0" w:color="auto"/>
            </w:tcBorders>
          </w:tcPr>
          <w:p w14:paraId="712329BC"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6D050582"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74B141F0"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4F3B7BD0" w14:textId="77777777"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3809BC7F" w14:textId="7777777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6891171F" w14:textId="77777777" w:rsidR="004C68CA" w:rsidRPr="006A33BB" w:rsidRDefault="004C68CA" w:rsidP="006A33BB">
            <w:pPr>
              <w:spacing w:after="0"/>
              <w:ind w:left="69"/>
              <w:jc w:val="center"/>
              <w:rPr>
                <w:rFonts w:cs="Arial"/>
              </w:rPr>
            </w:pPr>
          </w:p>
        </w:tc>
      </w:tr>
      <w:tr w:rsidR="004C68CA" w:rsidRPr="006A33BB" w14:paraId="25B4B506" w14:textId="77777777" w:rsidTr="0099168D">
        <w:trPr>
          <w:trHeight w:val="100"/>
        </w:trPr>
        <w:tc>
          <w:tcPr>
            <w:tcW w:w="2710" w:type="dxa"/>
          </w:tcPr>
          <w:p w14:paraId="6C650F82" w14:textId="77777777" w:rsidR="004C68CA" w:rsidRPr="006A33BB" w:rsidRDefault="004C68CA" w:rsidP="006A33BB">
            <w:pPr>
              <w:spacing w:after="0"/>
              <w:ind w:left="69"/>
              <w:rPr>
                <w:rFonts w:cs="Arial"/>
                <w:snapToGrid w:val="0"/>
              </w:rPr>
            </w:pPr>
            <w:r w:rsidRPr="006A33BB">
              <w:rPr>
                <w:rFonts w:cs="Arial"/>
                <w:snapToGrid w:val="0"/>
              </w:rPr>
              <w:t>(i) cheltuieli de personal</w:t>
            </w:r>
          </w:p>
        </w:tc>
        <w:tc>
          <w:tcPr>
            <w:tcW w:w="1547" w:type="dxa"/>
            <w:tcBorders>
              <w:top w:val="single" w:sz="4" w:space="0" w:color="auto"/>
              <w:left w:val="single" w:sz="4" w:space="0" w:color="auto"/>
              <w:bottom w:val="single" w:sz="4" w:space="0" w:color="auto"/>
              <w:right w:val="single" w:sz="4" w:space="0" w:color="auto"/>
            </w:tcBorders>
          </w:tcPr>
          <w:p w14:paraId="7C10E3A3"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2EF9D655"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41A046EE"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3CCE0050" w14:textId="77777777"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45EECD76" w14:textId="7777777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754CFDE2" w14:textId="77777777" w:rsidR="004C68CA" w:rsidRPr="006A33BB" w:rsidRDefault="004C68CA" w:rsidP="006A33BB">
            <w:pPr>
              <w:spacing w:after="0"/>
              <w:ind w:left="69"/>
              <w:jc w:val="center"/>
              <w:rPr>
                <w:rFonts w:cs="Arial"/>
              </w:rPr>
            </w:pPr>
          </w:p>
        </w:tc>
      </w:tr>
      <w:tr w:rsidR="004C68CA" w:rsidRPr="006A33BB" w14:paraId="7B8892BB" w14:textId="77777777" w:rsidTr="0099168D">
        <w:trPr>
          <w:trHeight w:val="100"/>
        </w:trPr>
        <w:tc>
          <w:tcPr>
            <w:tcW w:w="2710" w:type="dxa"/>
          </w:tcPr>
          <w:p w14:paraId="20916CA4" w14:textId="48600D28" w:rsidR="004C68CA" w:rsidRPr="006A33BB" w:rsidRDefault="004C68CA" w:rsidP="006A33BB">
            <w:pPr>
              <w:spacing w:after="0"/>
              <w:ind w:left="69"/>
              <w:rPr>
                <w:rFonts w:cs="Arial"/>
                <w:snapToGrid w:val="0"/>
              </w:rPr>
            </w:pPr>
            <w:r w:rsidRPr="006A33BB">
              <w:rPr>
                <w:rFonts w:cs="Arial"/>
                <w:snapToGrid w:val="0"/>
              </w:rPr>
              <w:t xml:space="preserve">(ii) bunuri </w:t>
            </w:r>
            <w:r w:rsidR="00237758" w:rsidRPr="006A33BB">
              <w:rPr>
                <w:rFonts w:cs="Arial"/>
                <w:snapToGrid w:val="0"/>
              </w:rPr>
              <w:t>și</w:t>
            </w:r>
            <w:r w:rsidRPr="006A33BB">
              <w:rPr>
                <w:rFonts w:cs="Arial"/>
                <w:snapToGrid w:val="0"/>
              </w:rPr>
              <w:t xml:space="preserve"> servicii</w:t>
            </w:r>
          </w:p>
        </w:tc>
        <w:tc>
          <w:tcPr>
            <w:tcW w:w="1547" w:type="dxa"/>
            <w:tcBorders>
              <w:top w:val="single" w:sz="4" w:space="0" w:color="auto"/>
              <w:left w:val="single" w:sz="4" w:space="0" w:color="auto"/>
              <w:bottom w:val="single" w:sz="4" w:space="0" w:color="auto"/>
              <w:right w:val="single" w:sz="4" w:space="0" w:color="auto"/>
            </w:tcBorders>
          </w:tcPr>
          <w:p w14:paraId="060191AB"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053E088B"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37DA718C" w14:textId="77777777" w:rsidR="004C68CA" w:rsidRPr="006A33BB" w:rsidRDefault="004C68CA"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5242D26A" w14:textId="77777777" w:rsidR="004C68CA" w:rsidRPr="006A33BB" w:rsidRDefault="004C68CA"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688EFC14" w14:textId="77777777" w:rsidR="004C68CA" w:rsidRPr="006A33BB" w:rsidRDefault="004C68CA"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506987B9" w14:textId="77777777" w:rsidR="004C68CA" w:rsidRPr="006A33BB" w:rsidRDefault="004C68CA" w:rsidP="006A33BB">
            <w:pPr>
              <w:spacing w:after="0"/>
              <w:ind w:left="69"/>
              <w:jc w:val="center"/>
              <w:rPr>
                <w:rFonts w:cs="Arial"/>
              </w:rPr>
            </w:pPr>
          </w:p>
        </w:tc>
      </w:tr>
      <w:tr w:rsidR="00B95545" w:rsidRPr="006A33BB" w14:paraId="66C57EA7" w14:textId="77777777" w:rsidTr="0099168D">
        <w:trPr>
          <w:trHeight w:val="100"/>
        </w:trPr>
        <w:tc>
          <w:tcPr>
            <w:tcW w:w="2710" w:type="dxa"/>
          </w:tcPr>
          <w:p w14:paraId="4171F78F" w14:textId="77777777" w:rsidR="00B95545" w:rsidRPr="006A33BB" w:rsidRDefault="00B95545" w:rsidP="006A33BB">
            <w:pPr>
              <w:spacing w:after="0"/>
              <w:ind w:left="69"/>
              <w:rPr>
                <w:rFonts w:cs="Arial"/>
                <w:snapToGrid w:val="0"/>
              </w:rPr>
            </w:pPr>
            <w:r w:rsidRPr="006A33BB">
              <w:rPr>
                <w:rFonts w:cs="Arial"/>
                <w:snapToGrid w:val="0"/>
              </w:rPr>
              <w:t>3. Impact financiar, plus/minus, din care:</w:t>
            </w:r>
          </w:p>
        </w:tc>
        <w:tc>
          <w:tcPr>
            <w:tcW w:w="1547" w:type="dxa"/>
            <w:tcBorders>
              <w:top w:val="single" w:sz="4" w:space="0" w:color="auto"/>
              <w:left w:val="single" w:sz="4" w:space="0" w:color="auto"/>
              <w:bottom w:val="single" w:sz="4" w:space="0" w:color="auto"/>
              <w:right w:val="single" w:sz="4" w:space="0" w:color="auto"/>
            </w:tcBorders>
          </w:tcPr>
          <w:p w14:paraId="4C330AE1" w14:textId="2918F377" w:rsidR="00B95545" w:rsidRPr="006A33BB" w:rsidRDefault="00B9554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5D354316" w14:textId="3D40E117" w:rsidR="00B95545" w:rsidRPr="006A33BB" w:rsidRDefault="00B9554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5F5B8BAA" w14:textId="7D08066B" w:rsidR="00B95545" w:rsidRPr="006A33BB" w:rsidRDefault="00B9554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5609EF71" w14:textId="37EB399F" w:rsidR="00B95545" w:rsidRPr="006A33BB" w:rsidRDefault="00B95545"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5633B776" w14:textId="560E6140" w:rsidR="00B95545" w:rsidRPr="006A33BB" w:rsidRDefault="00B95545"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19121BE9" w14:textId="00B5C1F3" w:rsidR="00B95545" w:rsidRPr="006A33BB" w:rsidRDefault="00B95545" w:rsidP="006A33BB">
            <w:pPr>
              <w:spacing w:after="0"/>
              <w:ind w:left="69"/>
              <w:jc w:val="center"/>
              <w:rPr>
                <w:rFonts w:cs="Arial"/>
              </w:rPr>
            </w:pPr>
          </w:p>
        </w:tc>
      </w:tr>
      <w:tr w:rsidR="00133C15" w:rsidRPr="006A33BB" w14:paraId="1D43E9D1" w14:textId="77777777" w:rsidTr="0099168D">
        <w:trPr>
          <w:trHeight w:val="100"/>
        </w:trPr>
        <w:tc>
          <w:tcPr>
            <w:tcW w:w="2710" w:type="dxa"/>
          </w:tcPr>
          <w:p w14:paraId="4198B1AC" w14:textId="77777777" w:rsidR="00133C15" w:rsidRPr="006A33BB" w:rsidRDefault="00133C15" w:rsidP="006A33BB">
            <w:pPr>
              <w:spacing w:after="0"/>
              <w:ind w:left="69"/>
              <w:rPr>
                <w:rFonts w:cs="Arial"/>
                <w:snapToGrid w:val="0"/>
              </w:rPr>
            </w:pPr>
            <w:r w:rsidRPr="006A33BB">
              <w:rPr>
                <w:rFonts w:cs="Arial"/>
                <w:snapToGrid w:val="0"/>
              </w:rPr>
              <w:t>a) buget de stat</w:t>
            </w:r>
          </w:p>
        </w:tc>
        <w:tc>
          <w:tcPr>
            <w:tcW w:w="1547" w:type="dxa"/>
            <w:tcBorders>
              <w:top w:val="single" w:sz="4" w:space="0" w:color="auto"/>
              <w:left w:val="single" w:sz="4" w:space="0" w:color="auto"/>
              <w:bottom w:val="single" w:sz="4" w:space="0" w:color="auto"/>
              <w:right w:val="single" w:sz="4" w:space="0" w:color="auto"/>
            </w:tcBorders>
          </w:tcPr>
          <w:p w14:paraId="19E4E7A2" w14:textId="57DE37C1" w:rsidR="00133C15" w:rsidRPr="006A33BB" w:rsidRDefault="00133C1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7D96E4A6" w14:textId="030DD4F7" w:rsidR="00133C15" w:rsidRPr="006A33BB" w:rsidRDefault="00133C1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20CEBA5B" w14:textId="44AFAB3F" w:rsidR="00133C15" w:rsidRPr="006A33BB" w:rsidRDefault="00133C1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35CFE6E3" w14:textId="22496D7A" w:rsidR="00133C15" w:rsidRPr="006A33BB" w:rsidRDefault="00133C15"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03D9644A" w14:textId="75F9A6C7" w:rsidR="00133C15" w:rsidRPr="006A33BB" w:rsidRDefault="00133C15"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45E92BD8" w14:textId="058008BF" w:rsidR="00133C15" w:rsidRPr="006A33BB" w:rsidRDefault="00133C15" w:rsidP="006A33BB">
            <w:pPr>
              <w:spacing w:after="0"/>
              <w:ind w:left="69"/>
              <w:jc w:val="center"/>
              <w:rPr>
                <w:rFonts w:cs="Arial"/>
              </w:rPr>
            </w:pPr>
          </w:p>
        </w:tc>
      </w:tr>
      <w:tr w:rsidR="00133C15" w:rsidRPr="006A33BB" w14:paraId="0719648B" w14:textId="77777777" w:rsidTr="0099168D">
        <w:trPr>
          <w:trHeight w:val="100"/>
        </w:trPr>
        <w:tc>
          <w:tcPr>
            <w:tcW w:w="2710" w:type="dxa"/>
          </w:tcPr>
          <w:p w14:paraId="516DC36D" w14:textId="77777777" w:rsidR="00133C15" w:rsidRPr="006A33BB" w:rsidRDefault="00133C15" w:rsidP="006A33BB">
            <w:pPr>
              <w:spacing w:after="0"/>
              <w:ind w:left="69"/>
              <w:rPr>
                <w:rFonts w:cs="Arial"/>
                <w:snapToGrid w:val="0"/>
              </w:rPr>
            </w:pPr>
            <w:r w:rsidRPr="006A33BB">
              <w:rPr>
                <w:rFonts w:cs="Arial"/>
                <w:snapToGrid w:val="0"/>
              </w:rPr>
              <w:t>(i) cheltuieli de personal</w:t>
            </w:r>
          </w:p>
        </w:tc>
        <w:tc>
          <w:tcPr>
            <w:tcW w:w="1547" w:type="dxa"/>
            <w:tcBorders>
              <w:top w:val="single" w:sz="4" w:space="0" w:color="auto"/>
              <w:left w:val="single" w:sz="4" w:space="0" w:color="auto"/>
              <w:bottom w:val="single" w:sz="4" w:space="0" w:color="auto"/>
              <w:right w:val="single" w:sz="4" w:space="0" w:color="auto"/>
            </w:tcBorders>
          </w:tcPr>
          <w:p w14:paraId="7AEF17E4" w14:textId="1BDC42CF" w:rsidR="00133C15" w:rsidRPr="006A33BB" w:rsidRDefault="00133C1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41748A3A" w14:textId="6BFBB43F" w:rsidR="00133C15" w:rsidRPr="006A33BB" w:rsidRDefault="00133C1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2EE7AB6A" w14:textId="323EC5CE" w:rsidR="00133C15" w:rsidRPr="006A33BB" w:rsidRDefault="00133C15" w:rsidP="006A33BB">
            <w:pPr>
              <w:spacing w:after="0"/>
              <w:ind w:left="69"/>
              <w:jc w:val="center"/>
              <w:rPr>
                <w:rFonts w:cs="Arial"/>
              </w:rPr>
            </w:pPr>
          </w:p>
        </w:tc>
        <w:tc>
          <w:tcPr>
            <w:tcW w:w="1126" w:type="dxa"/>
            <w:tcBorders>
              <w:top w:val="single" w:sz="4" w:space="0" w:color="auto"/>
              <w:left w:val="single" w:sz="4" w:space="0" w:color="auto"/>
              <w:bottom w:val="single" w:sz="4" w:space="0" w:color="auto"/>
              <w:right w:val="single" w:sz="4" w:space="0" w:color="auto"/>
            </w:tcBorders>
          </w:tcPr>
          <w:p w14:paraId="08A7BAE8" w14:textId="2D373F7C" w:rsidR="00133C15" w:rsidRPr="006A33BB" w:rsidRDefault="00133C15" w:rsidP="006A33BB">
            <w:pPr>
              <w:spacing w:after="0"/>
              <w:ind w:left="69"/>
              <w:jc w:val="center"/>
              <w:rPr>
                <w:rFonts w:cs="Arial"/>
              </w:rPr>
            </w:pPr>
          </w:p>
        </w:tc>
        <w:tc>
          <w:tcPr>
            <w:tcW w:w="1125" w:type="dxa"/>
            <w:tcBorders>
              <w:top w:val="single" w:sz="4" w:space="0" w:color="auto"/>
              <w:left w:val="single" w:sz="4" w:space="0" w:color="auto"/>
              <w:bottom w:val="single" w:sz="4" w:space="0" w:color="auto"/>
              <w:right w:val="single" w:sz="4" w:space="0" w:color="auto"/>
            </w:tcBorders>
          </w:tcPr>
          <w:p w14:paraId="25BA0F01" w14:textId="3B8B551C" w:rsidR="00133C15" w:rsidRPr="006A33BB" w:rsidRDefault="00133C15" w:rsidP="006A33BB">
            <w:pPr>
              <w:spacing w:after="0"/>
              <w:ind w:left="69"/>
              <w:jc w:val="center"/>
              <w:rPr>
                <w:rFonts w:cs="Arial"/>
              </w:rPr>
            </w:pPr>
          </w:p>
        </w:tc>
        <w:tc>
          <w:tcPr>
            <w:tcW w:w="1267" w:type="dxa"/>
            <w:tcBorders>
              <w:top w:val="single" w:sz="4" w:space="0" w:color="auto"/>
              <w:left w:val="single" w:sz="4" w:space="0" w:color="auto"/>
              <w:bottom w:val="single" w:sz="4" w:space="0" w:color="auto"/>
              <w:right w:val="single" w:sz="4" w:space="0" w:color="auto"/>
            </w:tcBorders>
          </w:tcPr>
          <w:p w14:paraId="6DDE6018" w14:textId="6B4CDD93" w:rsidR="00133C15" w:rsidRPr="006A33BB" w:rsidRDefault="00133C15" w:rsidP="006A33BB">
            <w:pPr>
              <w:spacing w:after="0"/>
              <w:ind w:left="69"/>
              <w:jc w:val="center"/>
              <w:rPr>
                <w:rFonts w:cs="Arial"/>
              </w:rPr>
            </w:pPr>
          </w:p>
        </w:tc>
      </w:tr>
      <w:tr w:rsidR="00133C15" w:rsidRPr="006A33BB" w14:paraId="7A4AFAA5" w14:textId="77777777" w:rsidTr="0099168D">
        <w:trPr>
          <w:trHeight w:val="100"/>
        </w:trPr>
        <w:tc>
          <w:tcPr>
            <w:tcW w:w="2710" w:type="dxa"/>
          </w:tcPr>
          <w:p w14:paraId="7432EAA8" w14:textId="77777777" w:rsidR="00133C15" w:rsidRPr="006A33BB" w:rsidRDefault="00133C15" w:rsidP="006A33BB">
            <w:pPr>
              <w:spacing w:after="0"/>
              <w:ind w:left="69"/>
              <w:rPr>
                <w:rFonts w:cs="Arial"/>
                <w:snapToGrid w:val="0"/>
              </w:rPr>
            </w:pPr>
            <w:r w:rsidRPr="006A33BB">
              <w:rPr>
                <w:rFonts w:cs="Arial"/>
                <w:snapToGrid w:val="0"/>
              </w:rPr>
              <w:t>b) bugetele locale</w:t>
            </w:r>
          </w:p>
        </w:tc>
        <w:tc>
          <w:tcPr>
            <w:tcW w:w="1547" w:type="dxa"/>
            <w:shd w:val="clear" w:color="auto" w:fill="auto"/>
          </w:tcPr>
          <w:p w14:paraId="606117C8" w14:textId="77777777" w:rsidR="00133C15" w:rsidRPr="006A33BB" w:rsidRDefault="00133C15" w:rsidP="006A33BB">
            <w:pPr>
              <w:spacing w:after="0"/>
              <w:ind w:left="69"/>
              <w:jc w:val="center"/>
              <w:rPr>
                <w:rFonts w:cs="Arial"/>
              </w:rPr>
            </w:pPr>
          </w:p>
        </w:tc>
        <w:tc>
          <w:tcPr>
            <w:tcW w:w="1126" w:type="dxa"/>
            <w:shd w:val="clear" w:color="auto" w:fill="auto"/>
          </w:tcPr>
          <w:p w14:paraId="07DA2B1A" w14:textId="77777777" w:rsidR="00133C15" w:rsidRPr="006A33BB" w:rsidRDefault="00133C15" w:rsidP="006A33BB">
            <w:pPr>
              <w:spacing w:after="0"/>
              <w:ind w:left="69"/>
              <w:jc w:val="center"/>
              <w:rPr>
                <w:rFonts w:cs="Arial"/>
              </w:rPr>
            </w:pPr>
          </w:p>
        </w:tc>
        <w:tc>
          <w:tcPr>
            <w:tcW w:w="1126" w:type="dxa"/>
            <w:shd w:val="clear" w:color="auto" w:fill="auto"/>
          </w:tcPr>
          <w:p w14:paraId="57B436F2" w14:textId="77777777" w:rsidR="00133C15" w:rsidRPr="006A33BB" w:rsidRDefault="00133C15" w:rsidP="006A33BB">
            <w:pPr>
              <w:spacing w:after="0"/>
              <w:ind w:left="69"/>
              <w:jc w:val="center"/>
              <w:rPr>
                <w:rFonts w:cs="Arial"/>
              </w:rPr>
            </w:pPr>
          </w:p>
        </w:tc>
        <w:tc>
          <w:tcPr>
            <w:tcW w:w="1126" w:type="dxa"/>
            <w:shd w:val="clear" w:color="auto" w:fill="auto"/>
          </w:tcPr>
          <w:p w14:paraId="37ACCC17" w14:textId="77777777" w:rsidR="00133C15" w:rsidRPr="006A33BB" w:rsidRDefault="00133C15" w:rsidP="006A33BB">
            <w:pPr>
              <w:spacing w:after="0"/>
              <w:ind w:left="69"/>
              <w:jc w:val="center"/>
              <w:rPr>
                <w:rFonts w:cs="Arial"/>
              </w:rPr>
            </w:pPr>
          </w:p>
        </w:tc>
        <w:tc>
          <w:tcPr>
            <w:tcW w:w="1125" w:type="dxa"/>
            <w:shd w:val="clear" w:color="auto" w:fill="auto"/>
          </w:tcPr>
          <w:p w14:paraId="7B1E5097" w14:textId="77777777" w:rsidR="00133C15" w:rsidRPr="006A33BB" w:rsidRDefault="00133C15" w:rsidP="006A33BB">
            <w:pPr>
              <w:spacing w:after="0"/>
              <w:ind w:left="69"/>
              <w:jc w:val="center"/>
              <w:rPr>
                <w:rFonts w:cs="Arial"/>
              </w:rPr>
            </w:pPr>
          </w:p>
        </w:tc>
        <w:tc>
          <w:tcPr>
            <w:tcW w:w="1267" w:type="dxa"/>
            <w:shd w:val="clear" w:color="auto" w:fill="auto"/>
          </w:tcPr>
          <w:p w14:paraId="5506A093" w14:textId="77777777" w:rsidR="00133C15" w:rsidRPr="006A33BB" w:rsidRDefault="00133C15" w:rsidP="006A33BB">
            <w:pPr>
              <w:spacing w:after="0"/>
              <w:ind w:left="69"/>
              <w:jc w:val="center"/>
              <w:rPr>
                <w:rFonts w:cs="Arial"/>
              </w:rPr>
            </w:pPr>
          </w:p>
        </w:tc>
      </w:tr>
      <w:tr w:rsidR="00133C15" w:rsidRPr="006A33BB" w14:paraId="1E80DFB6" w14:textId="77777777" w:rsidTr="0099168D">
        <w:trPr>
          <w:trHeight w:val="100"/>
        </w:trPr>
        <w:tc>
          <w:tcPr>
            <w:tcW w:w="2710" w:type="dxa"/>
          </w:tcPr>
          <w:p w14:paraId="297E8494" w14:textId="0D596248" w:rsidR="00133C15" w:rsidRPr="006A33BB" w:rsidRDefault="00133C15" w:rsidP="006A33BB">
            <w:pPr>
              <w:spacing w:after="0"/>
              <w:ind w:left="69"/>
              <w:rPr>
                <w:rFonts w:cs="Arial"/>
                <w:snapToGrid w:val="0"/>
              </w:rPr>
            </w:pPr>
            <w:r w:rsidRPr="006A33BB">
              <w:rPr>
                <w:rFonts w:cs="Arial"/>
                <w:snapToGrid w:val="0"/>
              </w:rPr>
              <w:lastRenderedPageBreak/>
              <w:t>4. Propuneri pentru acoperirea creșterii cheltuielilor bugetare</w:t>
            </w:r>
          </w:p>
        </w:tc>
        <w:tc>
          <w:tcPr>
            <w:tcW w:w="7317" w:type="dxa"/>
            <w:gridSpan w:val="6"/>
            <w:shd w:val="clear" w:color="auto" w:fill="auto"/>
          </w:tcPr>
          <w:p w14:paraId="75B0E652" w14:textId="77777777" w:rsidR="00133C15" w:rsidRPr="006A33BB" w:rsidRDefault="00133C15" w:rsidP="006A33BB">
            <w:pPr>
              <w:spacing w:after="0"/>
              <w:ind w:left="69"/>
              <w:jc w:val="center"/>
              <w:rPr>
                <w:rFonts w:cs="Arial"/>
              </w:rPr>
            </w:pPr>
          </w:p>
        </w:tc>
      </w:tr>
      <w:tr w:rsidR="00133C15" w:rsidRPr="006A33BB" w14:paraId="101EBA31" w14:textId="77777777" w:rsidTr="0099168D">
        <w:trPr>
          <w:trHeight w:val="100"/>
        </w:trPr>
        <w:tc>
          <w:tcPr>
            <w:tcW w:w="2710" w:type="dxa"/>
          </w:tcPr>
          <w:p w14:paraId="51130FC6" w14:textId="77777777" w:rsidR="00133C15" w:rsidRPr="006A33BB" w:rsidRDefault="00133C15" w:rsidP="006A33BB">
            <w:pPr>
              <w:spacing w:after="0"/>
              <w:ind w:left="69"/>
              <w:rPr>
                <w:rFonts w:cs="Arial"/>
                <w:snapToGrid w:val="0"/>
              </w:rPr>
            </w:pPr>
            <w:r w:rsidRPr="006A33BB">
              <w:rPr>
                <w:rFonts w:cs="Arial"/>
                <w:snapToGrid w:val="0"/>
              </w:rPr>
              <w:t>5. Propuneri pentru a compensa reducerea veniturilor bugetare</w:t>
            </w:r>
          </w:p>
        </w:tc>
        <w:tc>
          <w:tcPr>
            <w:tcW w:w="1547" w:type="dxa"/>
            <w:shd w:val="clear" w:color="auto" w:fill="auto"/>
          </w:tcPr>
          <w:p w14:paraId="635103C8" w14:textId="77777777" w:rsidR="00133C15" w:rsidRPr="006A33BB" w:rsidRDefault="00133C15" w:rsidP="006A33BB">
            <w:pPr>
              <w:spacing w:after="0"/>
              <w:ind w:left="69"/>
              <w:jc w:val="center"/>
              <w:rPr>
                <w:rFonts w:cs="Arial"/>
              </w:rPr>
            </w:pPr>
          </w:p>
        </w:tc>
        <w:tc>
          <w:tcPr>
            <w:tcW w:w="1126" w:type="dxa"/>
            <w:shd w:val="clear" w:color="auto" w:fill="auto"/>
          </w:tcPr>
          <w:p w14:paraId="360AFC3A" w14:textId="77777777" w:rsidR="00133C15" w:rsidRPr="006A33BB" w:rsidRDefault="00133C15" w:rsidP="006A33BB">
            <w:pPr>
              <w:spacing w:after="0"/>
              <w:ind w:left="69"/>
              <w:jc w:val="center"/>
              <w:rPr>
                <w:rFonts w:cs="Arial"/>
              </w:rPr>
            </w:pPr>
          </w:p>
        </w:tc>
        <w:tc>
          <w:tcPr>
            <w:tcW w:w="1126" w:type="dxa"/>
            <w:shd w:val="clear" w:color="auto" w:fill="auto"/>
          </w:tcPr>
          <w:p w14:paraId="5E7B1E7A" w14:textId="77777777" w:rsidR="00133C15" w:rsidRPr="006A33BB" w:rsidRDefault="00133C15" w:rsidP="006A33BB">
            <w:pPr>
              <w:spacing w:after="0"/>
              <w:ind w:left="69"/>
              <w:jc w:val="center"/>
              <w:rPr>
                <w:rFonts w:cs="Arial"/>
              </w:rPr>
            </w:pPr>
          </w:p>
        </w:tc>
        <w:tc>
          <w:tcPr>
            <w:tcW w:w="1126" w:type="dxa"/>
            <w:shd w:val="clear" w:color="auto" w:fill="auto"/>
          </w:tcPr>
          <w:p w14:paraId="344D0D41" w14:textId="77777777" w:rsidR="00133C15" w:rsidRPr="006A33BB" w:rsidRDefault="00133C15" w:rsidP="006A33BB">
            <w:pPr>
              <w:spacing w:after="0"/>
              <w:ind w:left="69"/>
              <w:jc w:val="center"/>
              <w:rPr>
                <w:rFonts w:cs="Arial"/>
              </w:rPr>
            </w:pPr>
          </w:p>
        </w:tc>
        <w:tc>
          <w:tcPr>
            <w:tcW w:w="1125" w:type="dxa"/>
            <w:shd w:val="clear" w:color="auto" w:fill="auto"/>
          </w:tcPr>
          <w:p w14:paraId="0B0255C7" w14:textId="77777777" w:rsidR="00133C15" w:rsidRPr="006A33BB" w:rsidRDefault="00133C15" w:rsidP="006A33BB">
            <w:pPr>
              <w:spacing w:after="0"/>
              <w:ind w:left="69"/>
              <w:jc w:val="center"/>
              <w:rPr>
                <w:rFonts w:cs="Arial"/>
              </w:rPr>
            </w:pPr>
          </w:p>
        </w:tc>
        <w:tc>
          <w:tcPr>
            <w:tcW w:w="1267" w:type="dxa"/>
            <w:shd w:val="clear" w:color="auto" w:fill="auto"/>
          </w:tcPr>
          <w:p w14:paraId="73A15AA1" w14:textId="77777777" w:rsidR="00133C15" w:rsidRPr="006A33BB" w:rsidRDefault="00133C15" w:rsidP="006A33BB">
            <w:pPr>
              <w:spacing w:after="0"/>
              <w:ind w:left="69"/>
              <w:jc w:val="center"/>
              <w:rPr>
                <w:rFonts w:cs="Arial"/>
              </w:rPr>
            </w:pPr>
          </w:p>
        </w:tc>
      </w:tr>
      <w:tr w:rsidR="00133C15" w:rsidRPr="006A33BB" w14:paraId="78CA2EC0" w14:textId="77777777" w:rsidTr="0099168D">
        <w:trPr>
          <w:trHeight w:val="100"/>
        </w:trPr>
        <w:tc>
          <w:tcPr>
            <w:tcW w:w="2710" w:type="dxa"/>
          </w:tcPr>
          <w:p w14:paraId="05D9AC44" w14:textId="77777777" w:rsidR="00133C15" w:rsidRPr="006A33BB" w:rsidRDefault="00133C15" w:rsidP="006A33BB">
            <w:pPr>
              <w:spacing w:after="0"/>
              <w:ind w:left="69"/>
              <w:rPr>
                <w:rFonts w:cs="Arial"/>
                <w:snapToGrid w:val="0"/>
              </w:rPr>
            </w:pPr>
            <w:r w:rsidRPr="006A33BB">
              <w:rPr>
                <w:rFonts w:cs="Arial"/>
                <w:snapToGrid w:val="0"/>
              </w:rPr>
              <w:t>6. Calcule detaliate privind fundamentarea modificărilor veniturilor şi/sau cheltuielilor bugetare</w:t>
            </w:r>
          </w:p>
        </w:tc>
        <w:tc>
          <w:tcPr>
            <w:tcW w:w="7317" w:type="dxa"/>
            <w:gridSpan w:val="6"/>
            <w:shd w:val="clear" w:color="auto" w:fill="auto"/>
          </w:tcPr>
          <w:p w14:paraId="0AB2649A" w14:textId="77777777" w:rsidR="00133C15" w:rsidRPr="006A33BB" w:rsidRDefault="00133C15" w:rsidP="006A33BB">
            <w:pPr>
              <w:pStyle w:val="ListParagraph"/>
              <w:spacing w:after="0"/>
              <w:ind w:left="69"/>
              <w:rPr>
                <w:rFonts w:cs="Arial"/>
              </w:rPr>
            </w:pPr>
          </w:p>
        </w:tc>
      </w:tr>
      <w:tr w:rsidR="00133C15" w:rsidRPr="006A33BB" w14:paraId="1478F91A" w14:textId="77777777" w:rsidTr="0099168D">
        <w:trPr>
          <w:trHeight w:val="100"/>
        </w:trPr>
        <w:tc>
          <w:tcPr>
            <w:tcW w:w="2710" w:type="dxa"/>
          </w:tcPr>
          <w:p w14:paraId="7F706E89" w14:textId="77777777" w:rsidR="00133C15" w:rsidRPr="006A33BB" w:rsidRDefault="00133C15" w:rsidP="006A33BB">
            <w:pPr>
              <w:spacing w:after="0"/>
              <w:ind w:left="69"/>
              <w:rPr>
                <w:rFonts w:cs="Arial"/>
                <w:snapToGrid w:val="0"/>
              </w:rPr>
            </w:pPr>
            <w:r w:rsidRPr="006A33BB">
              <w:rPr>
                <w:rFonts w:cs="Arial"/>
                <w:snapToGrid w:val="0"/>
              </w:rPr>
              <w:t>7 Alte informații</w:t>
            </w:r>
          </w:p>
        </w:tc>
        <w:tc>
          <w:tcPr>
            <w:tcW w:w="7317" w:type="dxa"/>
            <w:gridSpan w:val="6"/>
            <w:shd w:val="clear" w:color="auto" w:fill="auto"/>
          </w:tcPr>
          <w:p w14:paraId="4C6CA262" w14:textId="07F538D4" w:rsidR="00F014A9" w:rsidRPr="006A33BB" w:rsidRDefault="00F014A9" w:rsidP="006A33BB">
            <w:pPr>
              <w:spacing w:after="0"/>
              <w:ind w:left="69"/>
              <w:rPr>
                <w:rFonts w:cs="Arial"/>
                <w:bCs/>
              </w:rPr>
            </w:pPr>
            <w:r w:rsidRPr="006A33BB">
              <w:rPr>
                <w:rFonts w:cs="Arial"/>
                <w:bCs/>
              </w:rPr>
              <w:t xml:space="preserve">Proiectul de act normativ nu are impact financiar  asupra bugetului general consolidat, fiind </w:t>
            </w:r>
            <w:r w:rsidRPr="006A33BB">
              <w:rPr>
                <w:rFonts w:cs="Arial"/>
              </w:rPr>
              <w:t>vorba de evenimente viitoare care sunt incerte, imprevizibile și care nu pot fi cuantificate.</w:t>
            </w:r>
          </w:p>
          <w:p w14:paraId="174D8877" w14:textId="78AAFD49" w:rsidR="00133C15" w:rsidRPr="006A33BB" w:rsidRDefault="00F014A9" w:rsidP="006A33BB">
            <w:pPr>
              <w:spacing w:after="0"/>
              <w:ind w:left="69"/>
              <w:rPr>
                <w:rFonts w:cs="Arial"/>
                <w:bCs/>
              </w:rPr>
            </w:pPr>
            <w:r w:rsidRPr="006A33BB">
              <w:rPr>
                <w:rFonts w:cs="Arial"/>
              </w:rPr>
              <w:t>Până în prezent nu au existat situații de solicitare a despăgubirilor.</w:t>
            </w:r>
          </w:p>
        </w:tc>
      </w:tr>
      <w:tr w:rsidR="00133C15" w:rsidRPr="006A33BB" w14:paraId="11587FBF" w14:textId="77777777" w:rsidTr="0099168D">
        <w:trPr>
          <w:trHeight w:val="100"/>
        </w:trPr>
        <w:tc>
          <w:tcPr>
            <w:tcW w:w="10027" w:type="dxa"/>
            <w:gridSpan w:val="7"/>
          </w:tcPr>
          <w:p w14:paraId="020671A0" w14:textId="77777777" w:rsidR="00133C15" w:rsidRPr="006A33BB" w:rsidRDefault="00133C15" w:rsidP="006A33BB">
            <w:pPr>
              <w:spacing w:after="0"/>
              <w:ind w:left="69"/>
              <w:jc w:val="center"/>
              <w:rPr>
                <w:rFonts w:cs="Arial"/>
                <w:b/>
                <w:snapToGrid w:val="0"/>
              </w:rPr>
            </w:pPr>
          </w:p>
          <w:p w14:paraId="10F0F400" w14:textId="77777777" w:rsidR="00133C15" w:rsidRPr="006A33BB" w:rsidRDefault="00133C15" w:rsidP="006A33BB">
            <w:pPr>
              <w:spacing w:after="0"/>
              <w:ind w:left="69"/>
              <w:jc w:val="center"/>
              <w:rPr>
                <w:rFonts w:cs="Arial"/>
                <w:b/>
                <w:snapToGrid w:val="0"/>
              </w:rPr>
            </w:pPr>
            <w:r w:rsidRPr="006A33BB">
              <w:rPr>
                <w:rFonts w:cs="Arial"/>
                <w:b/>
                <w:snapToGrid w:val="0"/>
              </w:rPr>
              <w:t>Secțiunea a 5 –a – Efectele proiectului de act normativ asupra legislației în vigoare</w:t>
            </w:r>
          </w:p>
          <w:p w14:paraId="7FF912F0" w14:textId="4C41BCB3" w:rsidR="00133C15" w:rsidRPr="006A33BB" w:rsidRDefault="00133C15" w:rsidP="006A33BB">
            <w:pPr>
              <w:spacing w:after="0"/>
              <w:ind w:left="69"/>
              <w:jc w:val="center"/>
              <w:rPr>
                <w:rFonts w:cs="Arial"/>
                <w:b/>
                <w:snapToGrid w:val="0"/>
              </w:rPr>
            </w:pPr>
          </w:p>
        </w:tc>
      </w:tr>
      <w:tr w:rsidR="00133C15" w:rsidRPr="006A33BB" w14:paraId="0F204603" w14:textId="77777777" w:rsidTr="0099168D">
        <w:trPr>
          <w:trHeight w:val="100"/>
        </w:trPr>
        <w:tc>
          <w:tcPr>
            <w:tcW w:w="2710" w:type="dxa"/>
          </w:tcPr>
          <w:p w14:paraId="0B296DEC" w14:textId="77777777" w:rsidR="00133C15" w:rsidRPr="006A33BB" w:rsidRDefault="00133C15" w:rsidP="006A33BB">
            <w:pPr>
              <w:spacing w:after="0"/>
              <w:ind w:left="69" w:right="34"/>
              <w:rPr>
                <w:rFonts w:cs="Arial"/>
              </w:rPr>
            </w:pPr>
            <w:r w:rsidRPr="006A33BB">
              <w:rPr>
                <w:rFonts w:cs="Arial"/>
                <w:snapToGrid w:val="0"/>
              </w:rPr>
              <w:t xml:space="preserve">1. </w:t>
            </w:r>
            <w:r w:rsidRPr="006A33BB">
              <w:rPr>
                <w:rFonts w:cs="Arial"/>
              </w:rPr>
              <w:t xml:space="preserve">Măsuri normative necesare pentru   aplicarea prevederilor  proiectului de act normativ:                                            </w:t>
            </w:r>
          </w:p>
          <w:p w14:paraId="4F6ABEAA" w14:textId="77777777" w:rsidR="00133C15" w:rsidRPr="006A33BB" w:rsidRDefault="00133C15" w:rsidP="006A33BB">
            <w:pPr>
              <w:spacing w:after="0"/>
              <w:ind w:left="69" w:right="34"/>
              <w:rPr>
                <w:rFonts w:cs="Arial"/>
              </w:rPr>
            </w:pPr>
            <w:r w:rsidRPr="006A33BB">
              <w:rPr>
                <w:rFonts w:cs="Arial"/>
              </w:rPr>
              <w:t xml:space="preserve">a) acte normative în vigoare ce vor    fi modificate sau abrogate, ca   urmare a intrării în vigoare a       proiectului de act normativ;    </w:t>
            </w:r>
          </w:p>
          <w:p w14:paraId="4D2167FC" w14:textId="2DA67DAC" w:rsidR="00133C15" w:rsidRPr="006A33BB" w:rsidRDefault="00133C15" w:rsidP="006A33BB">
            <w:pPr>
              <w:spacing w:after="0"/>
              <w:ind w:left="69" w:right="34"/>
              <w:rPr>
                <w:rFonts w:cs="Arial"/>
                <w:snapToGrid w:val="0"/>
              </w:rPr>
            </w:pPr>
            <w:r w:rsidRPr="006A33BB">
              <w:rPr>
                <w:rFonts w:cs="Arial"/>
              </w:rPr>
              <w:t>b) acte normative ce urmează a fi elaborate în implementării noilor dispoziții.</w:t>
            </w:r>
          </w:p>
        </w:tc>
        <w:tc>
          <w:tcPr>
            <w:tcW w:w="7317" w:type="dxa"/>
            <w:gridSpan w:val="6"/>
          </w:tcPr>
          <w:p w14:paraId="159EFB6D" w14:textId="77777777" w:rsidR="00133C15" w:rsidRPr="006A33BB" w:rsidRDefault="00133C15" w:rsidP="006A33BB">
            <w:pPr>
              <w:spacing w:after="0"/>
              <w:ind w:left="69"/>
              <w:rPr>
                <w:rFonts w:cs="Arial"/>
                <w:snapToGrid w:val="0"/>
              </w:rPr>
            </w:pPr>
            <w:r w:rsidRPr="006A33BB">
              <w:rPr>
                <w:rFonts w:cs="Arial"/>
                <w:snapToGrid w:val="0"/>
              </w:rPr>
              <w:t xml:space="preserve">Nu este cazul. </w:t>
            </w:r>
          </w:p>
        </w:tc>
      </w:tr>
      <w:tr w:rsidR="00133C15" w:rsidRPr="006A33BB" w14:paraId="4EB871AF" w14:textId="77777777" w:rsidTr="0099168D">
        <w:trPr>
          <w:trHeight w:val="100"/>
        </w:trPr>
        <w:tc>
          <w:tcPr>
            <w:tcW w:w="2710" w:type="dxa"/>
          </w:tcPr>
          <w:p w14:paraId="642AAA85" w14:textId="77777777" w:rsidR="00133C15" w:rsidRPr="006A33BB" w:rsidRDefault="00133C15" w:rsidP="006A33BB">
            <w:pPr>
              <w:spacing w:after="0"/>
              <w:ind w:left="69" w:right="34"/>
              <w:rPr>
                <w:rFonts w:cs="Arial"/>
                <w:snapToGrid w:val="0"/>
              </w:rPr>
            </w:pPr>
            <w:r w:rsidRPr="006A33BB">
              <w:rPr>
                <w:rFonts w:cs="Arial"/>
                <w:snapToGrid w:val="0"/>
              </w:rPr>
              <w:t>1</w:t>
            </w:r>
            <w:r w:rsidRPr="006A33BB">
              <w:rPr>
                <w:rFonts w:cs="Arial"/>
                <w:snapToGrid w:val="0"/>
                <w:vertAlign w:val="superscript"/>
              </w:rPr>
              <w:t>1</w:t>
            </w:r>
            <w:r w:rsidRPr="006A33BB">
              <w:rPr>
                <w:rFonts w:cs="Arial"/>
                <w:snapToGrid w:val="0"/>
              </w:rPr>
              <w:t>. Compatibilitatea proiectului de act normativ cu legislația în domeniul achizițiilor publice</w:t>
            </w:r>
          </w:p>
        </w:tc>
        <w:tc>
          <w:tcPr>
            <w:tcW w:w="7317" w:type="dxa"/>
            <w:gridSpan w:val="6"/>
          </w:tcPr>
          <w:p w14:paraId="53DC8A74" w14:textId="18D2C5D8" w:rsidR="00133C15" w:rsidRPr="006A33BB" w:rsidRDefault="00133C15" w:rsidP="006A33BB">
            <w:pPr>
              <w:spacing w:after="0"/>
              <w:ind w:left="69"/>
              <w:rPr>
                <w:rFonts w:cs="Arial"/>
                <w:snapToGrid w:val="0"/>
              </w:rPr>
            </w:pPr>
            <w:r w:rsidRPr="006A33BB">
              <w:rPr>
                <w:rFonts w:cs="Arial"/>
                <w:snapToGrid w:val="0"/>
              </w:rPr>
              <w:t>Nu este cazul.</w:t>
            </w:r>
          </w:p>
        </w:tc>
      </w:tr>
      <w:tr w:rsidR="00133C15" w:rsidRPr="006A33BB" w14:paraId="067A8ED5" w14:textId="77777777" w:rsidTr="0099168D">
        <w:trPr>
          <w:trHeight w:val="230"/>
        </w:trPr>
        <w:tc>
          <w:tcPr>
            <w:tcW w:w="2710" w:type="dxa"/>
          </w:tcPr>
          <w:p w14:paraId="14EE35D8" w14:textId="38BA48A3" w:rsidR="00133C15" w:rsidRPr="006A33BB" w:rsidRDefault="00133C15" w:rsidP="006A33BB">
            <w:pPr>
              <w:autoSpaceDE w:val="0"/>
              <w:autoSpaceDN w:val="0"/>
              <w:adjustRightInd w:val="0"/>
              <w:spacing w:after="0"/>
              <w:ind w:left="69" w:right="34"/>
              <w:rPr>
                <w:rFonts w:cs="Arial"/>
                <w:snapToGrid w:val="0"/>
              </w:rPr>
            </w:pPr>
            <w:r w:rsidRPr="006A33BB">
              <w:rPr>
                <w:rFonts w:cs="Arial"/>
                <w:snapToGrid w:val="0"/>
              </w:rPr>
              <w:t xml:space="preserve">2. </w:t>
            </w:r>
            <w:r w:rsidRPr="006A33BB">
              <w:rPr>
                <w:rFonts w:cs="Arial"/>
                <w:iCs/>
              </w:rPr>
              <w:t>Conformitatea proiectului de act normativ cu legislația comunitară în cazul proiectelor ce transpun prevederi comunitare</w:t>
            </w:r>
          </w:p>
        </w:tc>
        <w:tc>
          <w:tcPr>
            <w:tcW w:w="7317" w:type="dxa"/>
            <w:gridSpan w:val="6"/>
          </w:tcPr>
          <w:p w14:paraId="11946F32" w14:textId="77777777" w:rsidR="00133C15" w:rsidRPr="006A33BB" w:rsidRDefault="00133C15" w:rsidP="006A33BB">
            <w:pPr>
              <w:spacing w:after="0"/>
              <w:ind w:left="69"/>
              <w:rPr>
                <w:rFonts w:cs="Arial"/>
                <w:snapToGrid w:val="0"/>
              </w:rPr>
            </w:pPr>
          </w:p>
        </w:tc>
      </w:tr>
      <w:tr w:rsidR="00133C15" w:rsidRPr="006A33BB" w14:paraId="71E88E60" w14:textId="77777777" w:rsidTr="0099168D">
        <w:trPr>
          <w:trHeight w:val="228"/>
        </w:trPr>
        <w:tc>
          <w:tcPr>
            <w:tcW w:w="2710" w:type="dxa"/>
          </w:tcPr>
          <w:p w14:paraId="26C647AA" w14:textId="77777777" w:rsidR="00133C15" w:rsidRPr="006A33BB" w:rsidRDefault="00133C15" w:rsidP="006A33BB">
            <w:pPr>
              <w:autoSpaceDE w:val="0"/>
              <w:autoSpaceDN w:val="0"/>
              <w:adjustRightInd w:val="0"/>
              <w:spacing w:after="0"/>
              <w:ind w:left="69" w:right="34"/>
              <w:rPr>
                <w:rFonts w:cs="Arial"/>
                <w:snapToGrid w:val="0"/>
              </w:rPr>
            </w:pPr>
            <w:r w:rsidRPr="006A33BB">
              <w:rPr>
                <w:rFonts w:cs="Arial"/>
                <w:iCs/>
              </w:rPr>
              <w:t>3. Măsuri normative necesare aplicării directe a actelor  normative comunitare</w:t>
            </w:r>
          </w:p>
        </w:tc>
        <w:tc>
          <w:tcPr>
            <w:tcW w:w="7317" w:type="dxa"/>
            <w:gridSpan w:val="6"/>
          </w:tcPr>
          <w:p w14:paraId="1FB806C6" w14:textId="77777777" w:rsidR="00133C15" w:rsidRPr="006A33BB" w:rsidRDefault="00133C15" w:rsidP="006A33BB">
            <w:pPr>
              <w:spacing w:after="0"/>
              <w:ind w:left="69"/>
              <w:rPr>
                <w:rFonts w:cs="Arial"/>
                <w:snapToGrid w:val="0"/>
              </w:rPr>
            </w:pPr>
            <w:r w:rsidRPr="006A33BB">
              <w:rPr>
                <w:rFonts w:cs="Arial"/>
                <w:snapToGrid w:val="0"/>
              </w:rPr>
              <w:t xml:space="preserve">Nu este cazul. </w:t>
            </w:r>
          </w:p>
        </w:tc>
      </w:tr>
      <w:tr w:rsidR="00133C15" w:rsidRPr="006A33BB" w14:paraId="55CC3124" w14:textId="77777777" w:rsidTr="0099168D">
        <w:trPr>
          <w:trHeight w:val="228"/>
        </w:trPr>
        <w:tc>
          <w:tcPr>
            <w:tcW w:w="2710" w:type="dxa"/>
          </w:tcPr>
          <w:p w14:paraId="01AAFEC7" w14:textId="77777777" w:rsidR="00133C15" w:rsidRPr="006A33BB" w:rsidRDefault="00133C15" w:rsidP="006A33BB">
            <w:pPr>
              <w:spacing w:after="0"/>
              <w:ind w:left="69"/>
              <w:rPr>
                <w:rFonts w:cs="Arial"/>
                <w:snapToGrid w:val="0"/>
              </w:rPr>
            </w:pPr>
            <w:r w:rsidRPr="006A33BB">
              <w:rPr>
                <w:rFonts w:cs="Arial"/>
                <w:snapToGrid w:val="0"/>
              </w:rPr>
              <w:lastRenderedPageBreak/>
              <w:t>4. Hotărâri ale Curții de Justiție a Uniunii Europene</w:t>
            </w:r>
          </w:p>
        </w:tc>
        <w:tc>
          <w:tcPr>
            <w:tcW w:w="7317" w:type="dxa"/>
            <w:gridSpan w:val="6"/>
          </w:tcPr>
          <w:p w14:paraId="17FCBC30" w14:textId="77777777" w:rsidR="00133C15" w:rsidRPr="006A33BB" w:rsidRDefault="00133C15" w:rsidP="006A33BB">
            <w:pPr>
              <w:spacing w:after="0"/>
              <w:ind w:left="69" w:right="-391"/>
              <w:rPr>
                <w:rFonts w:cs="Arial"/>
              </w:rPr>
            </w:pPr>
            <w:r w:rsidRPr="006A33BB">
              <w:rPr>
                <w:rFonts w:cs="Arial"/>
              </w:rPr>
              <w:t xml:space="preserve">Nu este cazul. </w:t>
            </w:r>
          </w:p>
        </w:tc>
      </w:tr>
      <w:tr w:rsidR="00133C15" w:rsidRPr="006A33BB" w14:paraId="1A94ED37" w14:textId="77777777" w:rsidTr="0099168D">
        <w:trPr>
          <w:trHeight w:val="228"/>
        </w:trPr>
        <w:tc>
          <w:tcPr>
            <w:tcW w:w="2710" w:type="dxa"/>
          </w:tcPr>
          <w:p w14:paraId="1586094C" w14:textId="77777777" w:rsidR="00133C15" w:rsidRPr="006A33BB" w:rsidRDefault="00133C15" w:rsidP="006A33BB">
            <w:pPr>
              <w:spacing w:after="0"/>
              <w:ind w:left="69" w:right="134"/>
              <w:rPr>
                <w:rFonts w:cs="Arial"/>
                <w:snapToGrid w:val="0"/>
              </w:rPr>
            </w:pPr>
            <w:r w:rsidRPr="006A33BB">
              <w:rPr>
                <w:rFonts w:cs="Arial"/>
                <w:snapToGrid w:val="0"/>
              </w:rPr>
              <w:t>5. Alte acte normative și/sau documente internaționale din care decurg angajamente</w:t>
            </w:r>
          </w:p>
        </w:tc>
        <w:tc>
          <w:tcPr>
            <w:tcW w:w="7317" w:type="dxa"/>
            <w:gridSpan w:val="6"/>
          </w:tcPr>
          <w:p w14:paraId="521F6C92" w14:textId="77777777" w:rsidR="00133C15" w:rsidRPr="006A33BB" w:rsidRDefault="00133C15" w:rsidP="006A33BB">
            <w:pPr>
              <w:spacing w:after="0"/>
              <w:ind w:left="69" w:right="134"/>
              <w:rPr>
                <w:rFonts w:cs="Arial"/>
              </w:rPr>
            </w:pPr>
          </w:p>
        </w:tc>
      </w:tr>
      <w:tr w:rsidR="00133C15" w:rsidRPr="006A33BB" w14:paraId="19F46BD7" w14:textId="77777777" w:rsidTr="0099168D">
        <w:trPr>
          <w:trHeight w:val="228"/>
        </w:trPr>
        <w:tc>
          <w:tcPr>
            <w:tcW w:w="2710" w:type="dxa"/>
          </w:tcPr>
          <w:p w14:paraId="5E5D1817" w14:textId="77777777" w:rsidR="00133C15" w:rsidRPr="006A33BB" w:rsidRDefault="00133C15" w:rsidP="006A33BB">
            <w:pPr>
              <w:spacing w:after="0"/>
              <w:ind w:left="69" w:right="134"/>
              <w:rPr>
                <w:rFonts w:cs="Arial"/>
                <w:snapToGrid w:val="0"/>
              </w:rPr>
            </w:pPr>
            <w:r w:rsidRPr="006A33BB">
              <w:rPr>
                <w:rFonts w:cs="Arial"/>
                <w:snapToGrid w:val="0"/>
              </w:rPr>
              <w:t xml:space="preserve">6. Alte informații. </w:t>
            </w:r>
          </w:p>
        </w:tc>
        <w:tc>
          <w:tcPr>
            <w:tcW w:w="7317" w:type="dxa"/>
            <w:gridSpan w:val="6"/>
          </w:tcPr>
          <w:p w14:paraId="347224A4" w14:textId="060A58DF" w:rsidR="00133C15" w:rsidRPr="006A33BB" w:rsidRDefault="00133C15" w:rsidP="006A33BB">
            <w:pPr>
              <w:spacing w:after="0"/>
              <w:ind w:left="69" w:right="134"/>
              <w:rPr>
                <w:rFonts w:cs="Arial"/>
              </w:rPr>
            </w:pPr>
            <w:r w:rsidRPr="006A33BB">
              <w:rPr>
                <w:rFonts w:cs="Arial"/>
              </w:rPr>
              <w:t xml:space="preserve">Nu este cazul. </w:t>
            </w:r>
          </w:p>
        </w:tc>
      </w:tr>
      <w:tr w:rsidR="00133C15" w:rsidRPr="006A33BB" w14:paraId="50F80860" w14:textId="77777777" w:rsidTr="0099168D">
        <w:trPr>
          <w:trHeight w:val="228"/>
        </w:trPr>
        <w:tc>
          <w:tcPr>
            <w:tcW w:w="10027" w:type="dxa"/>
            <w:gridSpan w:val="7"/>
          </w:tcPr>
          <w:p w14:paraId="11F76E96" w14:textId="77777777" w:rsidR="00133C15" w:rsidRPr="006A33BB" w:rsidRDefault="00133C15" w:rsidP="006A33BB">
            <w:pPr>
              <w:spacing w:after="0"/>
              <w:ind w:left="69" w:right="134"/>
              <w:jc w:val="center"/>
              <w:rPr>
                <w:rFonts w:cs="Arial"/>
                <w:b/>
                <w:snapToGrid w:val="0"/>
              </w:rPr>
            </w:pPr>
          </w:p>
          <w:p w14:paraId="269616FD" w14:textId="77777777" w:rsidR="007C5F6D" w:rsidRPr="006A33BB" w:rsidRDefault="007C5F6D" w:rsidP="006A33BB">
            <w:pPr>
              <w:spacing w:after="0"/>
              <w:ind w:left="69" w:right="134"/>
              <w:jc w:val="center"/>
              <w:rPr>
                <w:rFonts w:cs="Arial"/>
                <w:b/>
                <w:snapToGrid w:val="0"/>
              </w:rPr>
            </w:pPr>
          </w:p>
          <w:p w14:paraId="099E4D35" w14:textId="77777777" w:rsidR="00133C15" w:rsidRPr="006A33BB" w:rsidRDefault="00133C15" w:rsidP="006A33BB">
            <w:pPr>
              <w:spacing w:after="0"/>
              <w:ind w:left="69" w:right="134"/>
              <w:jc w:val="center"/>
              <w:rPr>
                <w:rFonts w:cs="Arial"/>
                <w:b/>
                <w:snapToGrid w:val="0"/>
              </w:rPr>
            </w:pPr>
            <w:r w:rsidRPr="006A33BB">
              <w:rPr>
                <w:rFonts w:cs="Arial"/>
                <w:b/>
                <w:snapToGrid w:val="0"/>
              </w:rPr>
              <w:t>Secțiunea a 6-a – Consultările efectuate în vederea elaborării proiectului de act normativ</w:t>
            </w:r>
          </w:p>
          <w:p w14:paraId="50D9DCCA" w14:textId="5C5A2730" w:rsidR="00133C15" w:rsidRPr="006A33BB" w:rsidRDefault="00133C15" w:rsidP="006A33BB">
            <w:pPr>
              <w:spacing w:after="0"/>
              <w:ind w:left="69" w:right="134"/>
              <w:jc w:val="center"/>
              <w:rPr>
                <w:rFonts w:cs="Arial"/>
                <w:b/>
                <w:snapToGrid w:val="0"/>
              </w:rPr>
            </w:pPr>
          </w:p>
        </w:tc>
      </w:tr>
      <w:tr w:rsidR="00133C15" w:rsidRPr="006A33BB" w14:paraId="22711403" w14:textId="77777777" w:rsidTr="0099168D">
        <w:trPr>
          <w:trHeight w:val="237"/>
        </w:trPr>
        <w:tc>
          <w:tcPr>
            <w:tcW w:w="2710" w:type="dxa"/>
          </w:tcPr>
          <w:p w14:paraId="5666204B" w14:textId="7FE7FB9E" w:rsidR="00133C15" w:rsidRPr="006A33BB" w:rsidRDefault="00133C15" w:rsidP="006A33BB">
            <w:pPr>
              <w:spacing w:after="0"/>
              <w:ind w:left="69" w:right="134"/>
              <w:rPr>
                <w:rFonts w:cs="Arial"/>
                <w:snapToGrid w:val="0"/>
              </w:rPr>
            </w:pPr>
            <w:r w:rsidRPr="006A33BB">
              <w:rPr>
                <w:rFonts w:cs="Arial"/>
              </w:rPr>
              <w:t>1. Informații privind procesul de consultare cu organizații neguvernamentale, institute de  cercetare și alte organisme     implicate</w:t>
            </w:r>
          </w:p>
        </w:tc>
        <w:tc>
          <w:tcPr>
            <w:tcW w:w="7317" w:type="dxa"/>
            <w:gridSpan w:val="6"/>
          </w:tcPr>
          <w:p w14:paraId="26F1B9C9" w14:textId="30F199CB" w:rsidR="00133C15" w:rsidRPr="006A33BB" w:rsidRDefault="00F014A9" w:rsidP="006A33BB">
            <w:pPr>
              <w:spacing w:after="0"/>
              <w:ind w:left="69" w:right="134"/>
              <w:rPr>
                <w:rFonts w:cs="Arial"/>
                <w:snapToGrid w:val="0"/>
              </w:rPr>
            </w:pPr>
            <w:r w:rsidRPr="006A33BB">
              <w:rPr>
                <w:rFonts w:cs="Arial"/>
                <w:snapToGrid w:val="0"/>
              </w:rPr>
              <w:t>Proiectul a fost elaborat cu consultarea organizațiilor sindicale reprezentative la nivelul sistemului administrației penitenciare</w:t>
            </w:r>
          </w:p>
        </w:tc>
      </w:tr>
      <w:tr w:rsidR="00133C15" w:rsidRPr="006A33BB" w14:paraId="18B2EAF2" w14:textId="77777777" w:rsidTr="0099168D">
        <w:trPr>
          <w:trHeight w:val="235"/>
        </w:trPr>
        <w:tc>
          <w:tcPr>
            <w:tcW w:w="2710" w:type="dxa"/>
          </w:tcPr>
          <w:p w14:paraId="67196F36" w14:textId="2DD257F2" w:rsidR="00133C15" w:rsidRPr="006A33BB" w:rsidRDefault="00133C15" w:rsidP="006A33BB">
            <w:pPr>
              <w:spacing w:after="0"/>
              <w:ind w:left="69" w:right="134"/>
              <w:rPr>
                <w:rFonts w:cs="Arial"/>
                <w:snapToGrid w:val="0"/>
              </w:rPr>
            </w:pPr>
            <w:r w:rsidRPr="006A33BB">
              <w:rPr>
                <w:rFonts w:cs="Arial"/>
                <w:snapToGrid w:val="0"/>
              </w:rPr>
              <w:t>2. Fundamentarea alegerii organizațiilor cu care a avut loc consultarea, precum și a modului în care activitatea acestor organizații este legată de obiectul proiectului de act normativ</w:t>
            </w:r>
          </w:p>
        </w:tc>
        <w:tc>
          <w:tcPr>
            <w:tcW w:w="7317" w:type="dxa"/>
            <w:gridSpan w:val="6"/>
          </w:tcPr>
          <w:p w14:paraId="55CC4654" w14:textId="3933CABC" w:rsidR="00133C15" w:rsidRPr="006A33BB" w:rsidRDefault="00133C15" w:rsidP="006A33BB">
            <w:pPr>
              <w:spacing w:after="0"/>
              <w:ind w:left="69" w:right="134"/>
              <w:rPr>
                <w:rFonts w:cs="Arial"/>
                <w:snapToGrid w:val="0"/>
              </w:rPr>
            </w:pPr>
            <w:r w:rsidRPr="006A33BB">
              <w:rPr>
                <w:rFonts w:cs="Arial"/>
                <w:snapToGrid w:val="0"/>
              </w:rPr>
              <w:t>Nu este cazul.</w:t>
            </w:r>
          </w:p>
        </w:tc>
      </w:tr>
      <w:tr w:rsidR="00133C15" w:rsidRPr="006A33BB" w14:paraId="42784D71" w14:textId="77777777" w:rsidTr="0099168D">
        <w:trPr>
          <w:trHeight w:val="235"/>
        </w:trPr>
        <w:tc>
          <w:tcPr>
            <w:tcW w:w="2710" w:type="dxa"/>
          </w:tcPr>
          <w:p w14:paraId="22EC0501" w14:textId="5CBB72F9" w:rsidR="00133C15" w:rsidRPr="006A33BB" w:rsidRDefault="00133C15" w:rsidP="006A33BB">
            <w:pPr>
              <w:spacing w:after="0"/>
              <w:ind w:left="69" w:right="134"/>
              <w:rPr>
                <w:rFonts w:cs="Arial"/>
                <w:snapToGrid w:val="0"/>
              </w:rPr>
            </w:pPr>
            <w:r w:rsidRPr="006A33BB">
              <w:rPr>
                <w:rFonts w:cs="Arial"/>
                <w:snapToGrid w:val="0"/>
              </w:rPr>
              <w:t>3. Consultările organizate cu autoritățile administrației publice locale, în situația în care proiectul de act normativ are ca obiect activități ale acestor autorități, în condițiile Hotărârii Guvernului nr. 521/2005 privind procedura de consultare a structurilor asociative ale autorităților administrației publice locale la elaborarea proiectelor de acte normative</w:t>
            </w:r>
          </w:p>
        </w:tc>
        <w:tc>
          <w:tcPr>
            <w:tcW w:w="7317" w:type="dxa"/>
            <w:gridSpan w:val="6"/>
          </w:tcPr>
          <w:p w14:paraId="5388CEF4" w14:textId="10ABDEDC" w:rsidR="00133C15" w:rsidRPr="006A33BB" w:rsidRDefault="00F014A9" w:rsidP="006A33BB">
            <w:pPr>
              <w:spacing w:after="0"/>
              <w:ind w:left="69" w:right="134"/>
              <w:rPr>
                <w:rFonts w:cs="Arial"/>
                <w:snapToGrid w:val="0"/>
              </w:rPr>
            </w:pPr>
            <w:r w:rsidRPr="006A33BB">
              <w:rPr>
                <w:rFonts w:cs="Arial"/>
                <w:snapToGrid w:val="0"/>
              </w:rPr>
              <w:t>Proiectul a fost elaborat cu consultarea unităților sistemului administrației penitenciare.</w:t>
            </w:r>
          </w:p>
        </w:tc>
      </w:tr>
      <w:tr w:rsidR="00133C15" w:rsidRPr="006A33BB" w14:paraId="38D9C915" w14:textId="77777777" w:rsidTr="0099168D">
        <w:trPr>
          <w:trHeight w:val="235"/>
        </w:trPr>
        <w:tc>
          <w:tcPr>
            <w:tcW w:w="2710" w:type="dxa"/>
          </w:tcPr>
          <w:p w14:paraId="1C3FC9FC" w14:textId="303FC9A2" w:rsidR="00133C15" w:rsidRPr="006A33BB" w:rsidRDefault="00133C15" w:rsidP="006A33BB">
            <w:pPr>
              <w:autoSpaceDE w:val="0"/>
              <w:autoSpaceDN w:val="0"/>
              <w:adjustRightInd w:val="0"/>
              <w:spacing w:after="0"/>
              <w:ind w:left="69" w:right="134"/>
              <w:rPr>
                <w:rFonts w:cs="Arial"/>
                <w:snapToGrid w:val="0"/>
              </w:rPr>
            </w:pPr>
            <w:r w:rsidRPr="006A33BB">
              <w:rPr>
                <w:rFonts w:cs="Arial"/>
                <w:snapToGrid w:val="0"/>
              </w:rPr>
              <w:t xml:space="preserve">4. </w:t>
            </w:r>
            <w:r w:rsidRPr="006A33BB">
              <w:rPr>
                <w:rFonts w:cs="Arial"/>
              </w:rPr>
              <w:t xml:space="preserve">Consultările desfășurate în cadrul </w:t>
            </w:r>
            <w:r w:rsidRPr="006A33BB">
              <w:rPr>
                <w:rFonts w:cs="Arial"/>
              </w:rPr>
              <w:lastRenderedPageBreak/>
              <w:t>consiliilor interministeriale, în conformitate cu prevederile    Hotărârii Guvernului nr. 750/2005  privind constituirea consiliilor    interministeriale permanente</w:t>
            </w:r>
          </w:p>
        </w:tc>
        <w:tc>
          <w:tcPr>
            <w:tcW w:w="7317" w:type="dxa"/>
            <w:gridSpan w:val="6"/>
          </w:tcPr>
          <w:p w14:paraId="56348B88" w14:textId="3997501F" w:rsidR="00133C15" w:rsidRPr="006A33BB" w:rsidRDefault="00133C15" w:rsidP="006A33BB">
            <w:pPr>
              <w:spacing w:after="0"/>
              <w:ind w:left="69" w:right="134"/>
              <w:rPr>
                <w:rFonts w:cs="Arial"/>
                <w:snapToGrid w:val="0"/>
              </w:rPr>
            </w:pPr>
            <w:r w:rsidRPr="006A33BB">
              <w:rPr>
                <w:rFonts w:cs="Arial"/>
                <w:snapToGrid w:val="0"/>
              </w:rPr>
              <w:lastRenderedPageBreak/>
              <w:t>Nu este cazul.</w:t>
            </w:r>
          </w:p>
        </w:tc>
      </w:tr>
      <w:tr w:rsidR="00133C15" w:rsidRPr="006A33BB" w14:paraId="1CE1A9E3" w14:textId="77777777" w:rsidTr="0099168D">
        <w:trPr>
          <w:trHeight w:val="235"/>
        </w:trPr>
        <w:tc>
          <w:tcPr>
            <w:tcW w:w="2710" w:type="dxa"/>
          </w:tcPr>
          <w:p w14:paraId="1603FAF4" w14:textId="6ACF699E" w:rsidR="00133C15" w:rsidRPr="006A33BB" w:rsidRDefault="00133C15" w:rsidP="006A33BB">
            <w:pPr>
              <w:spacing w:after="0"/>
              <w:ind w:left="69" w:right="134"/>
              <w:rPr>
                <w:rFonts w:cs="Arial"/>
                <w:snapToGrid w:val="0"/>
              </w:rPr>
            </w:pPr>
            <w:r w:rsidRPr="006A33BB">
              <w:rPr>
                <w:rFonts w:cs="Arial"/>
                <w:snapToGrid w:val="0"/>
              </w:rPr>
              <w:t>5. Informații privind avizarea de către:</w:t>
            </w:r>
          </w:p>
          <w:p w14:paraId="31BF31B1" w14:textId="77777777" w:rsidR="00133C15" w:rsidRPr="006A33BB" w:rsidRDefault="00133C15" w:rsidP="006A33BB">
            <w:pPr>
              <w:spacing w:after="0"/>
              <w:ind w:left="69" w:right="134"/>
              <w:rPr>
                <w:rFonts w:cs="Arial"/>
                <w:snapToGrid w:val="0"/>
              </w:rPr>
            </w:pPr>
            <w:r w:rsidRPr="006A33BB">
              <w:rPr>
                <w:rFonts w:cs="Arial"/>
                <w:snapToGrid w:val="0"/>
              </w:rPr>
              <w:t>a) Consiliul Legislativ</w:t>
            </w:r>
          </w:p>
          <w:p w14:paraId="0EE21EFB" w14:textId="3AC8AF0B" w:rsidR="00133C15" w:rsidRPr="006A33BB" w:rsidRDefault="00133C15" w:rsidP="006A33BB">
            <w:pPr>
              <w:spacing w:after="0"/>
              <w:ind w:left="69" w:right="134"/>
              <w:rPr>
                <w:rFonts w:cs="Arial"/>
                <w:snapToGrid w:val="0"/>
              </w:rPr>
            </w:pPr>
            <w:r w:rsidRPr="006A33BB">
              <w:rPr>
                <w:rFonts w:cs="Arial"/>
                <w:snapToGrid w:val="0"/>
              </w:rPr>
              <w:t>b) Consiliul Suprem de Apărare a Țării</w:t>
            </w:r>
          </w:p>
          <w:p w14:paraId="13CB4832" w14:textId="722302DE" w:rsidR="00133C15" w:rsidRPr="006A33BB" w:rsidRDefault="00133C15" w:rsidP="006A33BB">
            <w:pPr>
              <w:spacing w:after="0"/>
              <w:ind w:left="69" w:right="134"/>
              <w:rPr>
                <w:rFonts w:cs="Arial"/>
                <w:snapToGrid w:val="0"/>
              </w:rPr>
            </w:pPr>
            <w:r w:rsidRPr="006A33BB">
              <w:rPr>
                <w:rFonts w:cs="Arial"/>
                <w:snapToGrid w:val="0"/>
              </w:rPr>
              <w:t>c) Consiliul Economic și Social</w:t>
            </w:r>
          </w:p>
          <w:p w14:paraId="789D64CD" w14:textId="4DF0B898" w:rsidR="00133C15" w:rsidRPr="006A33BB" w:rsidRDefault="00133C15" w:rsidP="006A33BB">
            <w:pPr>
              <w:spacing w:after="0"/>
              <w:ind w:left="69" w:right="134"/>
              <w:rPr>
                <w:rFonts w:cs="Arial"/>
                <w:snapToGrid w:val="0"/>
              </w:rPr>
            </w:pPr>
            <w:r w:rsidRPr="006A33BB">
              <w:rPr>
                <w:rFonts w:cs="Arial"/>
                <w:snapToGrid w:val="0"/>
              </w:rPr>
              <w:t>d) Consiliul Concurenței</w:t>
            </w:r>
          </w:p>
          <w:p w14:paraId="493106FB" w14:textId="4102D8D0" w:rsidR="00133C15" w:rsidRPr="006A33BB" w:rsidRDefault="00133C15" w:rsidP="006A33BB">
            <w:pPr>
              <w:spacing w:after="0"/>
              <w:ind w:left="69" w:right="134"/>
              <w:rPr>
                <w:rFonts w:cs="Arial"/>
                <w:snapToGrid w:val="0"/>
              </w:rPr>
            </w:pPr>
            <w:r w:rsidRPr="006A33BB">
              <w:rPr>
                <w:rFonts w:cs="Arial"/>
                <w:snapToGrid w:val="0"/>
              </w:rPr>
              <w:t>e) Curtea de Conturi.</w:t>
            </w:r>
          </w:p>
        </w:tc>
        <w:tc>
          <w:tcPr>
            <w:tcW w:w="7317" w:type="dxa"/>
            <w:gridSpan w:val="6"/>
          </w:tcPr>
          <w:p w14:paraId="78E5A46C" w14:textId="1503613E" w:rsidR="00133C15" w:rsidRPr="006A33BB" w:rsidRDefault="00133C15" w:rsidP="006A33BB">
            <w:pPr>
              <w:spacing w:after="0"/>
              <w:ind w:left="69" w:right="134"/>
              <w:rPr>
                <w:rFonts w:cs="Arial"/>
                <w:snapToGrid w:val="0"/>
              </w:rPr>
            </w:pPr>
            <w:r w:rsidRPr="006A33BB">
              <w:rPr>
                <w:rFonts w:cs="Arial"/>
              </w:rPr>
              <w:t>Proiectul va fi supus aviz</w:t>
            </w:r>
            <w:r w:rsidR="00F014A9" w:rsidRPr="006A33BB">
              <w:rPr>
                <w:rFonts w:cs="Arial"/>
              </w:rPr>
              <w:t xml:space="preserve">ului Consiliului Legislativ și </w:t>
            </w:r>
            <w:r w:rsidRPr="006A33BB">
              <w:rPr>
                <w:rFonts w:cs="Arial"/>
              </w:rPr>
              <w:t>Consiliului Economic şi Social.</w:t>
            </w:r>
          </w:p>
        </w:tc>
      </w:tr>
      <w:tr w:rsidR="00133C15" w:rsidRPr="006A33BB" w14:paraId="4D2B62D6" w14:textId="77777777" w:rsidTr="0099168D">
        <w:trPr>
          <w:trHeight w:val="228"/>
        </w:trPr>
        <w:tc>
          <w:tcPr>
            <w:tcW w:w="10027" w:type="dxa"/>
            <w:gridSpan w:val="7"/>
          </w:tcPr>
          <w:p w14:paraId="63432829" w14:textId="77777777" w:rsidR="00133C15" w:rsidRPr="006A33BB" w:rsidRDefault="00133C15" w:rsidP="006A33BB">
            <w:pPr>
              <w:spacing w:after="0"/>
              <w:ind w:left="69" w:right="134"/>
              <w:jc w:val="center"/>
              <w:rPr>
                <w:rFonts w:cs="Arial"/>
                <w:b/>
                <w:snapToGrid w:val="0"/>
              </w:rPr>
            </w:pPr>
          </w:p>
          <w:p w14:paraId="22F69E94" w14:textId="77777777" w:rsidR="00133C15" w:rsidRPr="006A33BB" w:rsidRDefault="00133C15" w:rsidP="006A33BB">
            <w:pPr>
              <w:spacing w:after="0"/>
              <w:ind w:left="69" w:right="134"/>
              <w:jc w:val="center"/>
              <w:rPr>
                <w:rFonts w:cs="Arial"/>
                <w:b/>
                <w:snapToGrid w:val="0"/>
              </w:rPr>
            </w:pPr>
            <w:r w:rsidRPr="006A33BB">
              <w:rPr>
                <w:rFonts w:cs="Arial"/>
                <w:b/>
                <w:snapToGrid w:val="0"/>
              </w:rPr>
              <w:t>Secțiunea a 7-a – Activități de informare publică privind elaborarea și implementarea proiectului de act normativ</w:t>
            </w:r>
          </w:p>
          <w:p w14:paraId="183F3D9D" w14:textId="2268A109" w:rsidR="00133C15" w:rsidRPr="006A33BB" w:rsidRDefault="00133C15" w:rsidP="006A33BB">
            <w:pPr>
              <w:spacing w:after="0"/>
              <w:ind w:left="69" w:right="134"/>
              <w:jc w:val="center"/>
              <w:rPr>
                <w:rFonts w:cs="Arial"/>
                <w:b/>
                <w:snapToGrid w:val="0"/>
              </w:rPr>
            </w:pPr>
          </w:p>
        </w:tc>
      </w:tr>
      <w:tr w:rsidR="00133C15" w:rsidRPr="006A33BB" w14:paraId="5402AF53" w14:textId="77777777" w:rsidTr="0099168D">
        <w:trPr>
          <w:trHeight w:val="235"/>
        </w:trPr>
        <w:tc>
          <w:tcPr>
            <w:tcW w:w="2710" w:type="dxa"/>
          </w:tcPr>
          <w:p w14:paraId="62A0ACB6" w14:textId="73EFD2F0" w:rsidR="00133C15" w:rsidRPr="006A33BB" w:rsidRDefault="00133C15" w:rsidP="006A33BB">
            <w:pPr>
              <w:spacing w:after="0"/>
              <w:ind w:left="69" w:right="134"/>
              <w:rPr>
                <w:rFonts w:cs="Arial"/>
                <w:snapToGrid w:val="0"/>
              </w:rPr>
            </w:pPr>
            <w:r w:rsidRPr="006A33BB">
              <w:rPr>
                <w:rFonts w:cs="Arial"/>
                <w:snapToGrid w:val="0"/>
              </w:rPr>
              <w:t>1. Informarea societății civile cu privire la necesitatea elaborării actului normativ</w:t>
            </w:r>
          </w:p>
        </w:tc>
        <w:tc>
          <w:tcPr>
            <w:tcW w:w="7317" w:type="dxa"/>
            <w:gridSpan w:val="6"/>
          </w:tcPr>
          <w:p w14:paraId="490EB355" w14:textId="42321549" w:rsidR="00133C15" w:rsidRPr="006A33BB" w:rsidRDefault="00133C15" w:rsidP="006A33BB">
            <w:pPr>
              <w:autoSpaceDE w:val="0"/>
              <w:autoSpaceDN w:val="0"/>
              <w:adjustRightInd w:val="0"/>
              <w:spacing w:after="0"/>
              <w:ind w:left="69" w:right="134"/>
              <w:rPr>
                <w:rFonts w:cs="Arial"/>
              </w:rPr>
            </w:pPr>
            <w:r w:rsidRPr="006A33BB">
              <w:rPr>
                <w:rFonts w:cs="Arial"/>
              </w:rPr>
              <w:t>Proiectul a fost publicat pe pagina de internet a Ministerului Justiției, în conformitate cu prevederile Legii nr. 52/2003 privind transparența decizională în administrația publică, cu completările ulterioare.</w:t>
            </w:r>
          </w:p>
        </w:tc>
      </w:tr>
      <w:tr w:rsidR="00133C15" w:rsidRPr="006A33BB" w14:paraId="2B27AFD8" w14:textId="77777777" w:rsidTr="0099168D">
        <w:trPr>
          <w:trHeight w:val="234"/>
        </w:trPr>
        <w:tc>
          <w:tcPr>
            <w:tcW w:w="2710" w:type="dxa"/>
          </w:tcPr>
          <w:p w14:paraId="060CEF21" w14:textId="7EC8ABFE" w:rsidR="00133C15" w:rsidRPr="006A33BB" w:rsidRDefault="00133C15" w:rsidP="006A33BB">
            <w:pPr>
              <w:spacing w:after="0"/>
              <w:ind w:left="69" w:right="134"/>
              <w:rPr>
                <w:rFonts w:cs="Arial"/>
                <w:snapToGrid w:val="0"/>
              </w:rPr>
            </w:pPr>
            <w:r w:rsidRPr="006A33BB">
              <w:rPr>
                <w:rFonts w:cs="Arial"/>
                <w:snapToGrid w:val="0"/>
              </w:rPr>
              <w:t>2. Informarea societății civile cu privire la eventualul impact asupra mediului în urma implementării proiectului de act normativ, precum și efectele asupra sănătății și securității cetățenilor sau diversității biologice</w:t>
            </w:r>
          </w:p>
        </w:tc>
        <w:tc>
          <w:tcPr>
            <w:tcW w:w="7317" w:type="dxa"/>
            <w:gridSpan w:val="6"/>
          </w:tcPr>
          <w:p w14:paraId="393E6EA6" w14:textId="26CD6E00" w:rsidR="00133C15" w:rsidRPr="006A33BB" w:rsidRDefault="00133C15" w:rsidP="006A33BB">
            <w:pPr>
              <w:spacing w:after="0"/>
              <w:ind w:left="69" w:right="134"/>
              <w:rPr>
                <w:rFonts w:cs="Arial"/>
                <w:snapToGrid w:val="0"/>
              </w:rPr>
            </w:pPr>
            <w:r w:rsidRPr="006A33BB">
              <w:rPr>
                <w:rFonts w:cs="Arial"/>
                <w:snapToGrid w:val="0"/>
              </w:rPr>
              <w:t>Nu este cazul.</w:t>
            </w:r>
          </w:p>
        </w:tc>
      </w:tr>
      <w:tr w:rsidR="00133C15" w:rsidRPr="006A33BB" w14:paraId="0CDE5384" w14:textId="77777777" w:rsidTr="0099168D">
        <w:trPr>
          <w:trHeight w:val="234"/>
        </w:trPr>
        <w:tc>
          <w:tcPr>
            <w:tcW w:w="2710" w:type="dxa"/>
          </w:tcPr>
          <w:p w14:paraId="2C91CDA2" w14:textId="77777777" w:rsidR="00133C15" w:rsidRPr="006A33BB" w:rsidRDefault="00133C15" w:rsidP="006A33BB">
            <w:pPr>
              <w:spacing w:after="0"/>
              <w:ind w:left="69" w:right="134"/>
              <w:rPr>
                <w:rFonts w:cs="Arial"/>
                <w:snapToGrid w:val="0"/>
              </w:rPr>
            </w:pPr>
            <w:r w:rsidRPr="006A33BB">
              <w:rPr>
                <w:rFonts w:cs="Arial"/>
                <w:snapToGrid w:val="0"/>
              </w:rPr>
              <w:t>3. Alte informații</w:t>
            </w:r>
          </w:p>
        </w:tc>
        <w:tc>
          <w:tcPr>
            <w:tcW w:w="7317" w:type="dxa"/>
            <w:gridSpan w:val="6"/>
          </w:tcPr>
          <w:p w14:paraId="708A835C" w14:textId="13EB460D" w:rsidR="00133C15" w:rsidRPr="006A33BB" w:rsidRDefault="00133C15" w:rsidP="006A33BB">
            <w:pPr>
              <w:spacing w:after="0"/>
              <w:ind w:left="69" w:right="134"/>
              <w:rPr>
                <w:rFonts w:cs="Arial"/>
                <w:snapToGrid w:val="0"/>
              </w:rPr>
            </w:pPr>
            <w:r w:rsidRPr="006A33BB">
              <w:rPr>
                <w:rFonts w:cs="Arial"/>
                <w:snapToGrid w:val="0"/>
              </w:rPr>
              <w:t>Nu este cazul.</w:t>
            </w:r>
          </w:p>
        </w:tc>
      </w:tr>
      <w:tr w:rsidR="00133C15" w:rsidRPr="006A33BB" w14:paraId="730227A1" w14:textId="77777777" w:rsidTr="0099168D">
        <w:trPr>
          <w:trHeight w:val="234"/>
        </w:trPr>
        <w:tc>
          <w:tcPr>
            <w:tcW w:w="10027" w:type="dxa"/>
            <w:gridSpan w:val="7"/>
          </w:tcPr>
          <w:p w14:paraId="0E10B472" w14:textId="77777777" w:rsidR="00133C15" w:rsidRPr="006A33BB" w:rsidRDefault="00133C15" w:rsidP="006A33BB">
            <w:pPr>
              <w:spacing w:after="0"/>
              <w:ind w:left="69" w:right="134"/>
              <w:jc w:val="center"/>
              <w:rPr>
                <w:rFonts w:cs="Arial"/>
                <w:b/>
                <w:snapToGrid w:val="0"/>
              </w:rPr>
            </w:pPr>
          </w:p>
          <w:p w14:paraId="0F107D37" w14:textId="77777777" w:rsidR="00133C15" w:rsidRPr="006A33BB" w:rsidRDefault="00133C15" w:rsidP="006A33BB">
            <w:pPr>
              <w:spacing w:after="0"/>
              <w:ind w:left="69" w:right="134"/>
              <w:jc w:val="center"/>
              <w:rPr>
                <w:rFonts w:cs="Arial"/>
                <w:b/>
                <w:snapToGrid w:val="0"/>
              </w:rPr>
            </w:pPr>
            <w:r w:rsidRPr="006A33BB">
              <w:rPr>
                <w:rFonts w:cs="Arial"/>
                <w:b/>
                <w:snapToGrid w:val="0"/>
              </w:rPr>
              <w:t>Secțiunea a 8-a - Măsuri de implementare</w:t>
            </w:r>
          </w:p>
          <w:p w14:paraId="4836A26E" w14:textId="31E73CB3" w:rsidR="00133C15" w:rsidRPr="006A33BB" w:rsidRDefault="00133C15" w:rsidP="006A33BB">
            <w:pPr>
              <w:spacing w:after="0"/>
              <w:ind w:left="69" w:right="134"/>
              <w:jc w:val="center"/>
              <w:rPr>
                <w:rFonts w:cs="Arial"/>
                <w:b/>
                <w:snapToGrid w:val="0"/>
              </w:rPr>
            </w:pPr>
          </w:p>
        </w:tc>
      </w:tr>
      <w:tr w:rsidR="00133C15" w:rsidRPr="006A33BB" w14:paraId="650C0C5F" w14:textId="77777777" w:rsidTr="0099168D">
        <w:trPr>
          <w:trHeight w:val="234"/>
        </w:trPr>
        <w:tc>
          <w:tcPr>
            <w:tcW w:w="2710" w:type="dxa"/>
          </w:tcPr>
          <w:p w14:paraId="34B74B3E" w14:textId="58BA9D44" w:rsidR="00133C15" w:rsidRPr="006A33BB" w:rsidRDefault="00133C15" w:rsidP="006A33BB">
            <w:pPr>
              <w:spacing w:after="0"/>
              <w:ind w:left="69" w:right="134"/>
              <w:rPr>
                <w:rFonts w:cs="Arial"/>
                <w:snapToGrid w:val="0"/>
              </w:rPr>
            </w:pPr>
            <w:r w:rsidRPr="006A33BB">
              <w:rPr>
                <w:rFonts w:cs="Arial"/>
                <w:snapToGrid w:val="0"/>
              </w:rPr>
              <w:t xml:space="preserve">1. Măsurile de punere în aplicare a proiectului de act normativ de către autoritățile </w:t>
            </w:r>
            <w:r w:rsidRPr="006A33BB">
              <w:rPr>
                <w:rFonts w:cs="Arial"/>
                <w:snapToGrid w:val="0"/>
              </w:rPr>
              <w:lastRenderedPageBreak/>
              <w:t>administrației publice centrale și/sau locale – înființarea unor noi organisme sau extinderea competențelor instituțiilor existente</w:t>
            </w:r>
          </w:p>
        </w:tc>
        <w:tc>
          <w:tcPr>
            <w:tcW w:w="7317" w:type="dxa"/>
            <w:gridSpan w:val="6"/>
          </w:tcPr>
          <w:p w14:paraId="76CE57D2" w14:textId="6B3B9D4C" w:rsidR="00133C15" w:rsidRPr="006A33BB" w:rsidRDefault="00133C15" w:rsidP="006A33BB">
            <w:pPr>
              <w:spacing w:after="0"/>
              <w:ind w:left="69" w:right="134"/>
              <w:rPr>
                <w:rFonts w:cs="Arial"/>
                <w:snapToGrid w:val="0"/>
              </w:rPr>
            </w:pPr>
            <w:r w:rsidRPr="006A33BB">
              <w:rPr>
                <w:rFonts w:cs="Arial"/>
                <w:snapToGrid w:val="0"/>
              </w:rPr>
              <w:lastRenderedPageBreak/>
              <w:t>Nu este cazul.</w:t>
            </w:r>
          </w:p>
        </w:tc>
      </w:tr>
      <w:tr w:rsidR="00133C15" w:rsidRPr="006A33BB" w14:paraId="7E2C49CB" w14:textId="77777777" w:rsidTr="0099168D">
        <w:trPr>
          <w:trHeight w:val="234"/>
        </w:trPr>
        <w:tc>
          <w:tcPr>
            <w:tcW w:w="2710" w:type="dxa"/>
          </w:tcPr>
          <w:p w14:paraId="1A4386BC" w14:textId="70B8552F" w:rsidR="00133C15" w:rsidRPr="006A33BB" w:rsidRDefault="00133C15" w:rsidP="006A33BB">
            <w:pPr>
              <w:spacing w:after="0"/>
              <w:ind w:left="69" w:right="134"/>
              <w:rPr>
                <w:rFonts w:cs="Arial"/>
                <w:snapToGrid w:val="0"/>
              </w:rPr>
            </w:pPr>
            <w:r w:rsidRPr="006A33BB">
              <w:rPr>
                <w:rFonts w:cs="Arial"/>
                <w:snapToGrid w:val="0"/>
              </w:rPr>
              <w:t>2. Alte informații</w:t>
            </w:r>
          </w:p>
        </w:tc>
        <w:tc>
          <w:tcPr>
            <w:tcW w:w="7317" w:type="dxa"/>
            <w:gridSpan w:val="6"/>
          </w:tcPr>
          <w:p w14:paraId="2B949531" w14:textId="690E6F82" w:rsidR="00133C15" w:rsidRPr="006A33BB" w:rsidRDefault="00133C15" w:rsidP="006A33BB">
            <w:pPr>
              <w:spacing w:after="0"/>
              <w:ind w:left="69" w:right="134"/>
              <w:rPr>
                <w:rFonts w:cs="Arial"/>
                <w:snapToGrid w:val="0"/>
              </w:rPr>
            </w:pPr>
            <w:r w:rsidRPr="006A33BB">
              <w:rPr>
                <w:rFonts w:cs="Arial"/>
                <w:snapToGrid w:val="0"/>
              </w:rPr>
              <w:t>Nu au fost identificate.</w:t>
            </w:r>
          </w:p>
        </w:tc>
      </w:tr>
    </w:tbl>
    <w:p w14:paraId="192105F3" w14:textId="77777777" w:rsidR="0099168D" w:rsidRPr="006A33BB" w:rsidRDefault="0099168D" w:rsidP="006A33BB">
      <w:pPr>
        <w:pStyle w:val="MediumGrid21"/>
        <w:spacing w:line="276" w:lineRule="auto"/>
        <w:rPr>
          <w:sz w:val="22"/>
          <w:szCs w:val="22"/>
          <w:lang w:eastAsia="ro-RO"/>
        </w:rPr>
      </w:pPr>
    </w:p>
    <w:p w14:paraId="22EDF2A7" w14:textId="77777777" w:rsidR="0099168D" w:rsidRPr="006A33BB" w:rsidRDefault="0099168D" w:rsidP="006A33BB">
      <w:pPr>
        <w:pStyle w:val="MediumGrid21"/>
        <w:spacing w:line="276" w:lineRule="auto"/>
        <w:rPr>
          <w:sz w:val="22"/>
          <w:szCs w:val="22"/>
          <w:lang w:eastAsia="ro-RO"/>
        </w:rPr>
      </w:pPr>
    </w:p>
    <w:p w14:paraId="41167549" w14:textId="6E9F3EBD" w:rsidR="009B0756" w:rsidRPr="006A33BB" w:rsidRDefault="0099168D" w:rsidP="006A33BB">
      <w:pPr>
        <w:pStyle w:val="MediumGrid21"/>
        <w:spacing w:line="276" w:lineRule="auto"/>
        <w:ind w:left="-1276"/>
        <w:jc w:val="both"/>
        <w:rPr>
          <w:sz w:val="22"/>
          <w:szCs w:val="22"/>
          <w:lang w:val="ro-RO" w:eastAsia="ro-RO"/>
        </w:rPr>
      </w:pPr>
      <w:r w:rsidRPr="006A33BB">
        <w:rPr>
          <w:sz w:val="22"/>
          <w:szCs w:val="22"/>
          <w:lang w:val="ro-RO" w:eastAsia="ro-RO"/>
        </w:rPr>
        <w:t>Față de cele prezentate, a fost elaborat prezentul proiect</w:t>
      </w:r>
      <w:r w:rsidRPr="006A33BB">
        <w:rPr>
          <w:bCs/>
          <w:sz w:val="22"/>
          <w:szCs w:val="22"/>
          <w:lang w:val="ro-RO" w:eastAsia="ro-RO"/>
        </w:rPr>
        <w:t xml:space="preserve"> de Hotărâre a Guvernului</w:t>
      </w:r>
      <w:r w:rsidR="007C5F6D" w:rsidRPr="006A33BB">
        <w:rPr>
          <w:sz w:val="22"/>
          <w:szCs w:val="22"/>
          <w:lang w:val="ro-RO"/>
        </w:rPr>
        <w:t xml:space="preserve"> </w:t>
      </w:r>
      <w:r w:rsidR="007C5F6D" w:rsidRPr="006A33BB">
        <w:rPr>
          <w:rFonts w:cs="Arial"/>
          <w:color w:val="000000"/>
          <w:sz w:val="22"/>
          <w:szCs w:val="22"/>
          <w:lang w:val="ro-RO"/>
        </w:rPr>
        <w:t>privind condițiile de acordare a despăgubirilor de viață, sănătate și bunuri pentru polițiștii de penitenciare</w:t>
      </w:r>
      <w:r w:rsidRPr="006A33BB">
        <w:rPr>
          <w:sz w:val="22"/>
          <w:szCs w:val="22"/>
          <w:lang w:val="ro-RO" w:eastAsia="ro-RO"/>
        </w:rPr>
        <w:t>, pe care îl supunem Guvernului spre adoptare.</w:t>
      </w:r>
    </w:p>
    <w:p w14:paraId="26295087" w14:textId="77777777" w:rsidR="009B0756" w:rsidRPr="006A33BB" w:rsidRDefault="009B0756" w:rsidP="006A33BB">
      <w:pPr>
        <w:pStyle w:val="MediumGrid21"/>
        <w:spacing w:line="276" w:lineRule="auto"/>
        <w:ind w:left="-1276"/>
        <w:jc w:val="both"/>
        <w:rPr>
          <w:sz w:val="22"/>
          <w:szCs w:val="22"/>
          <w:lang w:val="ro-RO" w:eastAsia="ro-RO"/>
        </w:rPr>
      </w:pPr>
    </w:p>
    <w:p w14:paraId="6FA96B1E" w14:textId="77777777" w:rsidR="009B0756" w:rsidRPr="006A33BB" w:rsidRDefault="00C94EEA" w:rsidP="006A33BB">
      <w:pPr>
        <w:pStyle w:val="MediumGrid21"/>
        <w:spacing w:line="276" w:lineRule="auto"/>
        <w:ind w:left="-1276"/>
        <w:jc w:val="center"/>
        <w:rPr>
          <w:b/>
          <w:sz w:val="22"/>
          <w:szCs w:val="22"/>
        </w:rPr>
      </w:pPr>
      <w:proofErr w:type="spellStart"/>
      <w:r w:rsidRPr="006A33BB">
        <w:rPr>
          <w:b/>
          <w:sz w:val="22"/>
          <w:szCs w:val="22"/>
        </w:rPr>
        <w:t>Ministrul</w:t>
      </w:r>
      <w:proofErr w:type="spellEnd"/>
      <w:r w:rsidRPr="006A33BB">
        <w:rPr>
          <w:b/>
          <w:sz w:val="22"/>
          <w:szCs w:val="22"/>
        </w:rPr>
        <w:t xml:space="preserve"> </w:t>
      </w:r>
      <w:proofErr w:type="spellStart"/>
      <w:r w:rsidRPr="006A33BB">
        <w:rPr>
          <w:b/>
          <w:sz w:val="22"/>
          <w:szCs w:val="22"/>
        </w:rPr>
        <w:t>Justiției</w:t>
      </w:r>
      <w:proofErr w:type="spellEnd"/>
    </w:p>
    <w:p w14:paraId="1A031D3E" w14:textId="77777777" w:rsidR="009B0756" w:rsidRPr="006A33BB" w:rsidRDefault="009B0756" w:rsidP="006A33BB">
      <w:pPr>
        <w:pStyle w:val="MediumGrid21"/>
        <w:spacing w:line="276" w:lineRule="auto"/>
        <w:ind w:left="-1276"/>
        <w:jc w:val="center"/>
        <w:rPr>
          <w:b/>
          <w:sz w:val="22"/>
          <w:szCs w:val="22"/>
        </w:rPr>
      </w:pPr>
    </w:p>
    <w:p w14:paraId="69CDE2F6" w14:textId="77777777" w:rsidR="009B0756" w:rsidRPr="006A33BB" w:rsidRDefault="009159E1" w:rsidP="006A33BB">
      <w:pPr>
        <w:pStyle w:val="MediumGrid21"/>
        <w:spacing w:line="276" w:lineRule="auto"/>
        <w:ind w:left="-1276"/>
        <w:jc w:val="center"/>
        <w:rPr>
          <w:b/>
          <w:sz w:val="22"/>
          <w:szCs w:val="22"/>
        </w:rPr>
      </w:pPr>
      <w:proofErr w:type="spellStart"/>
      <w:r w:rsidRPr="006A33BB">
        <w:rPr>
          <w:b/>
          <w:sz w:val="22"/>
          <w:szCs w:val="22"/>
        </w:rPr>
        <w:t>Stelian</w:t>
      </w:r>
      <w:proofErr w:type="spellEnd"/>
      <w:r w:rsidRPr="006A33BB">
        <w:rPr>
          <w:b/>
          <w:sz w:val="22"/>
          <w:szCs w:val="22"/>
        </w:rPr>
        <w:t>-Cristian ION</w:t>
      </w:r>
    </w:p>
    <w:p w14:paraId="048590F8" w14:textId="77777777" w:rsidR="009B0756" w:rsidRPr="006A33BB" w:rsidRDefault="009B0756" w:rsidP="006A33BB">
      <w:pPr>
        <w:pStyle w:val="MediumGrid21"/>
        <w:spacing w:line="276" w:lineRule="auto"/>
        <w:ind w:left="-1276"/>
        <w:jc w:val="center"/>
        <w:rPr>
          <w:b/>
          <w:sz w:val="22"/>
          <w:szCs w:val="22"/>
        </w:rPr>
      </w:pPr>
    </w:p>
    <w:p w14:paraId="31685486" w14:textId="77777777" w:rsidR="009B0756" w:rsidRPr="006A33BB" w:rsidRDefault="00C94EEA" w:rsidP="006A33BB">
      <w:pPr>
        <w:pStyle w:val="MediumGrid21"/>
        <w:spacing w:line="276" w:lineRule="auto"/>
        <w:ind w:left="-1276"/>
        <w:jc w:val="center"/>
        <w:rPr>
          <w:b/>
          <w:sz w:val="22"/>
          <w:szCs w:val="22"/>
        </w:rPr>
      </w:pPr>
      <w:r w:rsidRPr="006A33BB">
        <w:rPr>
          <w:b/>
          <w:sz w:val="22"/>
          <w:szCs w:val="22"/>
        </w:rPr>
        <w:t>AVIZĂM FAVORABIL</w:t>
      </w:r>
      <w:r w:rsidR="004C76F9" w:rsidRPr="006A33BB">
        <w:rPr>
          <w:b/>
          <w:sz w:val="22"/>
          <w:szCs w:val="22"/>
        </w:rPr>
        <w:t>:</w:t>
      </w:r>
    </w:p>
    <w:p w14:paraId="39E68992" w14:textId="77777777" w:rsidR="009B0756" w:rsidRPr="006A33BB" w:rsidRDefault="009B0756" w:rsidP="006A33BB">
      <w:pPr>
        <w:pStyle w:val="MediumGrid21"/>
        <w:spacing w:line="276" w:lineRule="auto"/>
        <w:ind w:left="-1276"/>
        <w:jc w:val="center"/>
        <w:rPr>
          <w:b/>
          <w:sz w:val="22"/>
          <w:szCs w:val="22"/>
        </w:rPr>
      </w:pPr>
    </w:p>
    <w:p w14:paraId="13172B79" w14:textId="77777777" w:rsidR="009B0756" w:rsidRPr="006A33BB" w:rsidRDefault="009B0756" w:rsidP="006A33BB">
      <w:pPr>
        <w:pStyle w:val="MediumGrid21"/>
        <w:spacing w:line="276" w:lineRule="auto"/>
        <w:ind w:left="-1276"/>
        <w:jc w:val="center"/>
        <w:rPr>
          <w:b/>
          <w:sz w:val="22"/>
          <w:szCs w:val="22"/>
        </w:rPr>
      </w:pPr>
    </w:p>
    <w:p w14:paraId="5900B769" w14:textId="77777777" w:rsidR="009B0756" w:rsidRPr="006A33BB" w:rsidRDefault="00923368" w:rsidP="006A33BB">
      <w:pPr>
        <w:pStyle w:val="MediumGrid21"/>
        <w:spacing w:line="276" w:lineRule="auto"/>
        <w:ind w:left="-1276"/>
        <w:jc w:val="center"/>
        <w:rPr>
          <w:b/>
          <w:sz w:val="22"/>
          <w:szCs w:val="22"/>
        </w:rPr>
      </w:pPr>
      <w:proofErr w:type="spellStart"/>
      <w:r w:rsidRPr="006A33BB">
        <w:rPr>
          <w:b/>
          <w:sz w:val="22"/>
          <w:szCs w:val="22"/>
        </w:rPr>
        <w:t>Viceprim-ministru</w:t>
      </w:r>
      <w:proofErr w:type="spellEnd"/>
    </w:p>
    <w:p w14:paraId="5C3869D9" w14:textId="77777777" w:rsidR="009B0756" w:rsidRPr="006A33BB" w:rsidRDefault="009B0756" w:rsidP="006A33BB">
      <w:pPr>
        <w:pStyle w:val="MediumGrid21"/>
        <w:spacing w:line="276" w:lineRule="auto"/>
        <w:ind w:left="-1276"/>
        <w:jc w:val="center"/>
        <w:rPr>
          <w:b/>
          <w:sz w:val="22"/>
          <w:szCs w:val="22"/>
        </w:rPr>
      </w:pPr>
    </w:p>
    <w:p w14:paraId="7B41926E" w14:textId="77777777" w:rsidR="009B0756" w:rsidRPr="006A33BB" w:rsidRDefault="009B0756" w:rsidP="006A33BB">
      <w:pPr>
        <w:pStyle w:val="MediumGrid21"/>
        <w:spacing w:line="276" w:lineRule="auto"/>
        <w:ind w:left="-1276"/>
        <w:jc w:val="center"/>
        <w:rPr>
          <w:b/>
          <w:sz w:val="22"/>
          <w:szCs w:val="22"/>
        </w:rPr>
      </w:pPr>
    </w:p>
    <w:p w14:paraId="7AEB8F54" w14:textId="77777777" w:rsidR="009B0756" w:rsidRPr="006A33BB" w:rsidRDefault="009B0756" w:rsidP="006A33BB">
      <w:pPr>
        <w:pStyle w:val="MediumGrid21"/>
        <w:spacing w:line="276" w:lineRule="auto"/>
        <w:ind w:left="-1276"/>
        <w:jc w:val="center"/>
        <w:rPr>
          <w:b/>
          <w:sz w:val="22"/>
          <w:szCs w:val="22"/>
        </w:rPr>
      </w:pPr>
    </w:p>
    <w:p w14:paraId="1E35023A" w14:textId="77777777" w:rsidR="00F014A9" w:rsidRPr="006A33BB" w:rsidRDefault="00923368" w:rsidP="006A33BB">
      <w:pPr>
        <w:pStyle w:val="MediumGrid21"/>
        <w:spacing w:line="276" w:lineRule="auto"/>
        <w:ind w:left="-1276"/>
        <w:jc w:val="center"/>
        <w:rPr>
          <w:b/>
          <w:sz w:val="22"/>
          <w:szCs w:val="22"/>
        </w:rPr>
      </w:pPr>
      <w:proofErr w:type="spellStart"/>
      <w:r w:rsidRPr="006A33BB">
        <w:rPr>
          <w:b/>
          <w:sz w:val="22"/>
          <w:szCs w:val="22"/>
        </w:rPr>
        <w:t>Ilie</w:t>
      </w:r>
      <w:proofErr w:type="spellEnd"/>
      <w:r w:rsidRPr="006A33BB">
        <w:rPr>
          <w:b/>
          <w:sz w:val="22"/>
          <w:szCs w:val="22"/>
        </w:rPr>
        <w:t>-Dan BARNA</w:t>
      </w:r>
    </w:p>
    <w:p w14:paraId="58BBB3F0" w14:textId="77777777" w:rsidR="00F014A9" w:rsidRPr="006A33BB" w:rsidRDefault="00F014A9" w:rsidP="006A33BB">
      <w:pPr>
        <w:pStyle w:val="MediumGrid21"/>
        <w:spacing w:line="276" w:lineRule="auto"/>
        <w:ind w:left="-1276"/>
        <w:jc w:val="center"/>
        <w:rPr>
          <w:b/>
          <w:sz w:val="22"/>
          <w:szCs w:val="22"/>
        </w:rPr>
      </w:pPr>
    </w:p>
    <w:p w14:paraId="33F2D328" w14:textId="77777777" w:rsidR="00F014A9" w:rsidRPr="006A33BB" w:rsidRDefault="00F014A9" w:rsidP="006A33BB">
      <w:pPr>
        <w:pStyle w:val="MediumGrid21"/>
        <w:spacing w:line="276" w:lineRule="auto"/>
        <w:ind w:left="-1276"/>
        <w:jc w:val="center"/>
        <w:rPr>
          <w:b/>
          <w:sz w:val="22"/>
          <w:szCs w:val="22"/>
        </w:rPr>
      </w:pPr>
    </w:p>
    <w:p w14:paraId="77C0880E" w14:textId="77777777" w:rsidR="00F014A9" w:rsidRPr="006A33BB" w:rsidRDefault="00F014A9" w:rsidP="006A33BB">
      <w:pPr>
        <w:pStyle w:val="MediumGrid21"/>
        <w:spacing w:line="276" w:lineRule="auto"/>
        <w:ind w:left="-1276"/>
        <w:jc w:val="center"/>
        <w:rPr>
          <w:b/>
          <w:sz w:val="22"/>
          <w:szCs w:val="22"/>
        </w:rPr>
      </w:pPr>
    </w:p>
    <w:p w14:paraId="4BC674B4" w14:textId="77777777" w:rsidR="00F014A9" w:rsidRPr="006A33BB" w:rsidRDefault="00F014A9" w:rsidP="006A33BB">
      <w:pPr>
        <w:pStyle w:val="MediumGrid21"/>
        <w:spacing w:line="276" w:lineRule="auto"/>
        <w:ind w:left="-1276"/>
        <w:jc w:val="center"/>
        <w:rPr>
          <w:b/>
          <w:sz w:val="22"/>
          <w:szCs w:val="22"/>
        </w:rPr>
      </w:pPr>
      <w:proofErr w:type="spellStart"/>
      <w:r w:rsidRPr="006A33BB">
        <w:rPr>
          <w:b/>
          <w:sz w:val="22"/>
          <w:szCs w:val="22"/>
        </w:rPr>
        <w:t>Ministrul</w:t>
      </w:r>
      <w:proofErr w:type="spellEnd"/>
      <w:r w:rsidRPr="006A33BB">
        <w:rPr>
          <w:b/>
          <w:sz w:val="22"/>
          <w:szCs w:val="22"/>
        </w:rPr>
        <w:t xml:space="preserve"> </w:t>
      </w:r>
      <w:proofErr w:type="spellStart"/>
      <w:r w:rsidRPr="006A33BB">
        <w:rPr>
          <w:b/>
          <w:sz w:val="22"/>
          <w:szCs w:val="22"/>
        </w:rPr>
        <w:t>Finanțelor</w:t>
      </w:r>
      <w:proofErr w:type="spellEnd"/>
    </w:p>
    <w:p w14:paraId="71E3F220" w14:textId="77777777" w:rsidR="00F014A9" w:rsidRPr="006A33BB" w:rsidRDefault="00F014A9" w:rsidP="006A33BB">
      <w:pPr>
        <w:pStyle w:val="MediumGrid21"/>
        <w:spacing w:line="276" w:lineRule="auto"/>
        <w:ind w:left="-1276"/>
        <w:jc w:val="center"/>
        <w:rPr>
          <w:b/>
          <w:sz w:val="22"/>
          <w:szCs w:val="22"/>
        </w:rPr>
      </w:pPr>
    </w:p>
    <w:p w14:paraId="50CCB800" w14:textId="77777777" w:rsidR="00F014A9" w:rsidRPr="006A33BB" w:rsidRDefault="00F014A9" w:rsidP="006A33BB">
      <w:pPr>
        <w:pStyle w:val="MediumGrid21"/>
        <w:spacing w:line="276" w:lineRule="auto"/>
        <w:ind w:left="-1276"/>
        <w:jc w:val="center"/>
        <w:rPr>
          <w:b/>
          <w:sz w:val="22"/>
          <w:szCs w:val="22"/>
        </w:rPr>
      </w:pPr>
    </w:p>
    <w:p w14:paraId="07E35739" w14:textId="177801A6" w:rsidR="00F014A9" w:rsidRPr="006A33BB" w:rsidRDefault="00F014A9" w:rsidP="006A33BB">
      <w:pPr>
        <w:pStyle w:val="MediumGrid21"/>
        <w:spacing w:line="276" w:lineRule="auto"/>
        <w:ind w:left="-1276"/>
        <w:jc w:val="center"/>
        <w:rPr>
          <w:b/>
          <w:sz w:val="22"/>
          <w:szCs w:val="22"/>
        </w:rPr>
      </w:pPr>
      <w:proofErr w:type="spellStart"/>
      <w:r w:rsidRPr="006A33BB">
        <w:rPr>
          <w:b/>
          <w:sz w:val="22"/>
          <w:szCs w:val="22"/>
        </w:rPr>
        <w:t>Alexandru</w:t>
      </w:r>
      <w:proofErr w:type="spellEnd"/>
      <w:r w:rsidRPr="006A33BB">
        <w:rPr>
          <w:b/>
          <w:sz w:val="22"/>
          <w:szCs w:val="22"/>
        </w:rPr>
        <w:t xml:space="preserve"> NAZARE</w:t>
      </w:r>
    </w:p>
    <w:p w14:paraId="0A33F871" w14:textId="77777777" w:rsidR="00A728B1" w:rsidRPr="006A33BB" w:rsidRDefault="00A728B1" w:rsidP="006A33BB">
      <w:pPr>
        <w:ind w:left="0"/>
        <w:jc w:val="center"/>
        <w:rPr>
          <w:b/>
        </w:rPr>
      </w:pPr>
    </w:p>
    <w:p w14:paraId="66D5D1D6" w14:textId="77777777" w:rsidR="00A728B1" w:rsidRPr="006A33BB" w:rsidRDefault="00A728B1" w:rsidP="006A33BB">
      <w:pPr>
        <w:ind w:left="142"/>
        <w:jc w:val="center"/>
        <w:rPr>
          <w:b/>
        </w:rPr>
      </w:pPr>
    </w:p>
    <w:p w14:paraId="7ABD0834" w14:textId="77777777" w:rsidR="00A728B1" w:rsidRPr="006A33BB" w:rsidRDefault="00A728B1" w:rsidP="006A33BB">
      <w:pPr>
        <w:ind w:left="142"/>
        <w:jc w:val="center"/>
        <w:rPr>
          <w:b/>
        </w:rPr>
      </w:pPr>
    </w:p>
    <w:sectPr w:rsidR="00A728B1" w:rsidRPr="006A33BB" w:rsidSect="00F51808">
      <w:headerReference w:type="default" r:id="rId8"/>
      <w:footerReference w:type="default" r:id="rId9"/>
      <w:headerReference w:type="first" r:id="rId10"/>
      <w:footerReference w:type="first" r:id="rId11"/>
      <w:pgSz w:w="11900" w:h="16840" w:code="9"/>
      <w:pgMar w:top="851" w:right="567" w:bottom="1135"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28F2" w14:textId="77777777" w:rsidR="0038380B" w:rsidRDefault="0038380B" w:rsidP="00CD5B3B">
      <w:r>
        <w:separator/>
      </w:r>
    </w:p>
  </w:endnote>
  <w:endnote w:type="continuationSeparator" w:id="0">
    <w:p w14:paraId="3A88D81D" w14:textId="77777777" w:rsidR="0038380B" w:rsidRDefault="0038380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265559"/>
      <w:docPartObj>
        <w:docPartGallery w:val="Page Numbers (Bottom of Page)"/>
        <w:docPartUnique/>
      </w:docPartObj>
    </w:sdtPr>
    <w:sdtEndPr>
      <w:rPr>
        <w:noProof/>
      </w:rPr>
    </w:sdtEndPr>
    <w:sdtContent>
      <w:p w14:paraId="30FE854D" w14:textId="77777777" w:rsidR="00296ED0" w:rsidRDefault="00296ED0">
        <w:pPr>
          <w:pStyle w:val="Footer"/>
          <w:jc w:val="right"/>
        </w:pPr>
        <w:r>
          <w:fldChar w:fldCharType="begin"/>
        </w:r>
        <w:r>
          <w:instrText xml:space="preserve"> PAGE   \* MERGEFORMAT </w:instrText>
        </w:r>
        <w:r>
          <w:fldChar w:fldCharType="separate"/>
        </w:r>
        <w:r w:rsidR="0047610C">
          <w:rPr>
            <w:noProof/>
          </w:rPr>
          <w:t>10</w:t>
        </w:r>
        <w:r>
          <w:rPr>
            <w:noProof/>
          </w:rPr>
          <w:fldChar w:fldCharType="end"/>
        </w:r>
      </w:p>
    </w:sdtContent>
  </w:sdt>
  <w:p w14:paraId="2F4CA334" w14:textId="77777777" w:rsidR="0053713A" w:rsidRPr="007E7D11" w:rsidRDefault="0053713A"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943599"/>
      <w:docPartObj>
        <w:docPartGallery w:val="Page Numbers (Bottom of Page)"/>
        <w:docPartUnique/>
      </w:docPartObj>
    </w:sdtPr>
    <w:sdtEndPr>
      <w:rPr>
        <w:noProof/>
      </w:rPr>
    </w:sdtEndPr>
    <w:sdtContent>
      <w:p w14:paraId="37A3758A" w14:textId="77777777" w:rsidR="00614922" w:rsidRDefault="00614922">
        <w:pPr>
          <w:pStyle w:val="Footer"/>
          <w:jc w:val="right"/>
        </w:pPr>
        <w:r>
          <w:fldChar w:fldCharType="begin"/>
        </w:r>
        <w:r>
          <w:instrText xml:space="preserve"> PAGE   \* MERGEFORMAT </w:instrText>
        </w:r>
        <w:r>
          <w:fldChar w:fldCharType="separate"/>
        </w:r>
        <w:r w:rsidR="006A33BB">
          <w:rPr>
            <w:noProof/>
          </w:rPr>
          <w:t>1</w:t>
        </w:r>
        <w:r>
          <w:rPr>
            <w:noProof/>
          </w:rPr>
          <w:fldChar w:fldCharType="end"/>
        </w:r>
      </w:p>
    </w:sdtContent>
  </w:sdt>
  <w:p w14:paraId="14E108C0" w14:textId="77777777" w:rsidR="0053713A" w:rsidRPr="007E7D11" w:rsidRDefault="0053713A"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48E63" w14:textId="77777777" w:rsidR="0038380B" w:rsidRDefault="0038380B" w:rsidP="00871565">
      <w:pPr>
        <w:spacing w:after="0"/>
        <w:ind w:left="0"/>
      </w:pPr>
      <w:r>
        <w:separator/>
      </w:r>
    </w:p>
  </w:footnote>
  <w:footnote w:type="continuationSeparator" w:id="0">
    <w:p w14:paraId="22701A99" w14:textId="77777777" w:rsidR="0038380B" w:rsidRDefault="0038380B" w:rsidP="00871565">
      <w:pPr>
        <w:ind w:left="0"/>
      </w:pPr>
      <w:r>
        <w:continuationSeparator/>
      </w:r>
    </w:p>
  </w:footnote>
  <w:footnote w:type="continuationNotice" w:id="1">
    <w:p w14:paraId="78DFC149" w14:textId="77777777" w:rsidR="0038380B" w:rsidRDefault="0038380B"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B292" w14:textId="77777777" w:rsidR="0053713A" w:rsidRDefault="0053713A"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53713A" w14:paraId="070DE8CD" w14:textId="77777777" w:rsidTr="008A4458">
      <w:tc>
        <w:tcPr>
          <w:tcW w:w="6804" w:type="dxa"/>
          <w:shd w:val="clear" w:color="auto" w:fill="auto"/>
        </w:tcPr>
        <w:p w14:paraId="5718DFE1" w14:textId="77777777" w:rsidR="0053713A" w:rsidRPr="00CD5B3B" w:rsidRDefault="0053713A" w:rsidP="00C20EF1">
          <w:pPr>
            <w:pStyle w:val="MediumGrid21"/>
          </w:pPr>
        </w:p>
      </w:tc>
      <w:tc>
        <w:tcPr>
          <w:tcW w:w="4111" w:type="dxa"/>
          <w:shd w:val="clear" w:color="auto" w:fill="auto"/>
          <w:vAlign w:val="center"/>
        </w:tcPr>
        <w:p w14:paraId="7051A403" w14:textId="77777777" w:rsidR="0053713A" w:rsidRDefault="0053713A" w:rsidP="00E562FC">
          <w:pPr>
            <w:pStyle w:val="MediumGrid21"/>
            <w:jc w:val="right"/>
          </w:pPr>
        </w:p>
      </w:tc>
    </w:tr>
  </w:tbl>
  <w:p w14:paraId="3BA8AE8E" w14:textId="77777777" w:rsidR="0053713A" w:rsidRPr="007E7D11" w:rsidRDefault="0053713A"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ECC"/>
    <w:multiLevelType w:val="hybridMultilevel"/>
    <w:tmpl w:val="55E22440"/>
    <w:lvl w:ilvl="0" w:tplc="36329630">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078E8"/>
    <w:multiLevelType w:val="hybridMultilevel"/>
    <w:tmpl w:val="89B2076C"/>
    <w:lvl w:ilvl="0" w:tplc="34B8F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82F21"/>
    <w:multiLevelType w:val="hybridMultilevel"/>
    <w:tmpl w:val="004829D4"/>
    <w:lvl w:ilvl="0" w:tplc="EFAC4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4156B"/>
    <w:multiLevelType w:val="hybridMultilevel"/>
    <w:tmpl w:val="FD508400"/>
    <w:lvl w:ilvl="0" w:tplc="93DCF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45E6"/>
    <w:multiLevelType w:val="hybridMultilevel"/>
    <w:tmpl w:val="9386F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2A7"/>
    <w:multiLevelType w:val="hybridMultilevel"/>
    <w:tmpl w:val="EA964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01613"/>
    <w:multiLevelType w:val="hybridMultilevel"/>
    <w:tmpl w:val="6152011A"/>
    <w:lvl w:ilvl="0" w:tplc="9104C258">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F6597D"/>
    <w:multiLevelType w:val="hybridMultilevel"/>
    <w:tmpl w:val="627ED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23BF5"/>
    <w:multiLevelType w:val="hybridMultilevel"/>
    <w:tmpl w:val="F0767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F5966"/>
    <w:multiLevelType w:val="hybridMultilevel"/>
    <w:tmpl w:val="B470A9F4"/>
    <w:lvl w:ilvl="0" w:tplc="A9D850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728C5"/>
    <w:multiLevelType w:val="hybridMultilevel"/>
    <w:tmpl w:val="FE9686D4"/>
    <w:lvl w:ilvl="0" w:tplc="A9D850C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4692BA9"/>
    <w:multiLevelType w:val="hybridMultilevel"/>
    <w:tmpl w:val="532E633A"/>
    <w:lvl w:ilvl="0" w:tplc="A9D8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440AC"/>
    <w:multiLevelType w:val="hybridMultilevel"/>
    <w:tmpl w:val="5CF2366E"/>
    <w:lvl w:ilvl="0" w:tplc="63CE3236">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98C324C"/>
    <w:multiLevelType w:val="hybridMultilevel"/>
    <w:tmpl w:val="D3FAD4AC"/>
    <w:lvl w:ilvl="0" w:tplc="D208381E">
      <w:start w:val="2"/>
      <w:numFmt w:val="bullet"/>
      <w:lvlText w:val="-"/>
      <w:lvlJc w:val="left"/>
      <w:pPr>
        <w:ind w:left="720" w:hanging="360"/>
      </w:pPr>
      <w:rPr>
        <w:rFonts w:ascii="Trebuchet MS" w:eastAsia="Times New Roman" w:hAnsi="Trebuchet MS" w:cs="Times New Roman" w:hint="default"/>
      </w:rPr>
    </w:lvl>
    <w:lvl w:ilvl="1" w:tplc="74F8EB2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3556D"/>
    <w:multiLevelType w:val="hybridMultilevel"/>
    <w:tmpl w:val="E97238DE"/>
    <w:lvl w:ilvl="0" w:tplc="E3C0FE64">
      <w:start w:val="3"/>
      <w:numFmt w:val="bullet"/>
      <w:lvlText w:val="-"/>
      <w:lvlJc w:val="left"/>
      <w:pPr>
        <w:ind w:left="429" w:hanging="360"/>
      </w:pPr>
      <w:rPr>
        <w:rFonts w:ascii="Trebuchet MS" w:eastAsia="MS Mincho" w:hAnsi="Trebuchet MS"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15" w15:restartNumberingAfterBreak="0">
    <w:nsid w:val="52FB1DF5"/>
    <w:multiLevelType w:val="hybridMultilevel"/>
    <w:tmpl w:val="3FF2757C"/>
    <w:lvl w:ilvl="0" w:tplc="9E12B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0173D"/>
    <w:multiLevelType w:val="hybridMultilevel"/>
    <w:tmpl w:val="0AC8F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05C78"/>
    <w:multiLevelType w:val="hybridMultilevel"/>
    <w:tmpl w:val="0636C794"/>
    <w:lvl w:ilvl="0" w:tplc="2A181E58">
      <w:start w:val="1"/>
      <w:numFmt w:val="upperRoman"/>
      <w:lvlText w:val="%1."/>
      <w:lvlJc w:val="left"/>
      <w:pPr>
        <w:ind w:left="360" w:hanging="360"/>
      </w:pPr>
      <w:rPr>
        <w:rFonts w:ascii="Trebuchet MS" w:eastAsia="MS Mincho" w:hAnsi="Trebuchet MS" w:cs="Times New Roman"/>
        <w:b/>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595C6D22"/>
    <w:multiLevelType w:val="hybridMultilevel"/>
    <w:tmpl w:val="FA30C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202B8"/>
    <w:multiLevelType w:val="hybridMultilevel"/>
    <w:tmpl w:val="E4AE670E"/>
    <w:lvl w:ilvl="0" w:tplc="A9D8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F55A5"/>
    <w:multiLevelType w:val="hybridMultilevel"/>
    <w:tmpl w:val="BAF6E734"/>
    <w:lvl w:ilvl="0" w:tplc="BEF8AB3E">
      <w:start w:val="1"/>
      <w:numFmt w:val="bullet"/>
      <w:lvlText w:val=""/>
      <w:lvlJc w:val="left"/>
      <w:pPr>
        <w:ind w:left="1500" w:hanging="360"/>
      </w:pPr>
      <w:rPr>
        <w:rFonts w:ascii="Wingdings" w:hAnsi="Wingdings"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6ED35AA0"/>
    <w:multiLevelType w:val="hybridMultilevel"/>
    <w:tmpl w:val="142E862C"/>
    <w:lvl w:ilvl="0" w:tplc="D6F63B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2A3F37"/>
    <w:multiLevelType w:val="hybridMultilevel"/>
    <w:tmpl w:val="508EE938"/>
    <w:lvl w:ilvl="0" w:tplc="66880586">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17"/>
  </w:num>
  <w:num w:numId="2">
    <w:abstractNumId w:val="10"/>
  </w:num>
  <w:num w:numId="3">
    <w:abstractNumId w:val="12"/>
  </w:num>
  <w:num w:numId="4">
    <w:abstractNumId w:val="7"/>
  </w:num>
  <w:num w:numId="5">
    <w:abstractNumId w:val="2"/>
  </w:num>
  <w:num w:numId="6">
    <w:abstractNumId w:val="16"/>
  </w:num>
  <w:num w:numId="7">
    <w:abstractNumId w:val="0"/>
  </w:num>
  <w:num w:numId="8">
    <w:abstractNumId w:val="21"/>
  </w:num>
  <w:num w:numId="9">
    <w:abstractNumId w:val="13"/>
  </w:num>
  <w:num w:numId="10">
    <w:abstractNumId w:val="3"/>
  </w:num>
  <w:num w:numId="11">
    <w:abstractNumId w:val="1"/>
  </w:num>
  <w:num w:numId="12">
    <w:abstractNumId w:val="15"/>
  </w:num>
  <w:num w:numId="13">
    <w:abstractNumId w:val="6"/>
  </w:num>
  <w:num w:numId="14">
    <w:abstractNumId w:val="11"/>
  </w:num>
  <w:num w:numId="15">
    <w:abstractNumId w:val="19"/>
  </w:num>
  <w:num w:numId="16">
    <w:abstractNumId w:val="9"/>
  </w:num>
  <w:num w:numId="17">
    <w:abstractNumId w:val="22"/>
  </w:num>
  <w:num w:numId="18">
    <w:abstractNumId w:val="14"/>
  </w:num>
  <w:num w:numId="19">
    <w:abstractNumId w:val="8"/>
  </w:num>
  <w:num w:numId="20">
    <w:abstractNumId w:val="20"/>
  </w:num>
  <w:num w:numId="21">
    <w:abstractNumId w:val="18"/>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F3A"/>
    <w:rsid w:val="00001360"/>
    <w:rsid w:val="000024D7"/>
    <w:rsid w:val="00002BB0"/>
    <w:rsid w:val="000105DA"/>
    <w:rsid w:val="00015DBD"/>
    <w:rsid w:val="00021B19"/>
    <w:rsid w:val="0002256C"/>
    <w:rsid w:val="00023330"/>
    <w:rsid w:val="00027713"/>
    <w:rsid w:val="0003110F"/>
    <w:rsid w:val="00034EE3"/>
    <w:rsid w:val="00035BFB"/>
    <w:rsid w:val="000369B5"/>
    <w:rsid w:val="00036CF6"/>
    <w:rsid w:val="000378B6"/>
    <w:rsid w:val="00041F59"/>
    <w:rsid w:val="00053A95"/>
    <w:rsid w:val="0005443B"/>
    <w:rsid w:val="00071067"/>
    <w:rsid w:val="00071536"/>
    <w:rsid w:val="0007317F"/>
    <w:rsid w:val="00075136"/>
    <w:rsid w:val="0007556F"/>
    <w:rsid w:val="00094F9F"/>
    <w:rsid w:val="00096E7B"/>
    <w:rsid w:val="000B4C0D"/>
    <w:rsid w:val="000B52A7"/>
    <w:rsid w:val="000C1F52"/>
    <w:rsid w:val="000D1F05"/>
    <w:rsid w:val="000D2455"/>
    <w:rsid w:val="000D7DE4"/>
    <w:rsid w:val="000E07D8"/>
    <w:rsid w:val="000E6859"/>
    <w:rsid w:val="000F17C6"/>
    <w:rsid w:val="000F52D3"/>
    <w:rsid w:val="000F7504"/>
    <w:rsid w:val="00100F36"/>
    <w:rsid w:val="0010565C"/>
    <w:rsid w:val="00105E38"/>
    <w:rsid w:val="001120C5"/>
    <w:rsid w:val="0011673C"/>
    <w:rsid w:val="00124CB6"/>
    <w:rsid w:val="00133C15"/>
    <w:rsid w:val="001447E0"/>
    <w:rsid w:val="00150CB5"/>
    <w:rsid w:val="00155315"/>
    <w:rsid w:val="001611CA"/>
    <w:rsid w:val="001631D2"/>
    <w:rsid w:val="001827D0"/>
    <w:rsid w:val="001946CE"/>
    <w:rsid w:val="00195F78"/>
    <w:rsid w:val="001A0DAC"/>
    <w:rsid w:val="001A332B"/>
    <w:rsid w:val="001A6313"/>
    <w:rsid w:val="001A7746"/>
    <w:rsid w:val="001D1BE5"/>
    <w:rsid w:val="001E192C"/>
    <w:rsid w:val="001E420D"/>
    <w:rsid w:val="001F126A"/>
    <w:rsid w:val="001F4376"/>
    <w:rsid w:val="001F455B"/>
    <w:rsid w:val="001F5DA9"/>
    <w:rsid w:val="00200A7D"/>
    <w:rsid w:val="00203472"/>
    <w:rsid w:val="002037DC"/>
    <w:rsid w:val="00205F4E"/>
    <w:rsid w:val="002062E1"/>
    <w:rsid w:val="002103E8"/>
    <w:rsid w:val="00210900"/>
    <w:rsid w:val="00211609"/>
    <w:rsid w:val="00211D64"/>
    <w:rsid w:val="00212A34"/>
    <w:rsid w:val="0021481F"/>
    <w:rsid w:val="00221F7C"/>
    <w:rsid w:val="002326F8"/>
    <w:rsid w:val="00237758"/>
    <w:rsid w:val="00250734"/>
    <w:rsid w:val="00253FC8"/>
    <w:rsid w:val="00265063"/>
    <w:rsid w:val="002662A0"/>
    <w:rsid w:val="00284333"/>
    <w:rsid w:val="0028613E"/>
    <w:rsid w:val="002902EE"/>
    <w:rsid w:val="00294427"/>
    <w:rsid w:val="00296ED0"/>
    <w:rsid w:val="002A5742"/>
    <w:rsid w:val="002A5EBB"/>
    <w:rsid w:val="002A7ABE"/>
    <w:rsid w:val="002B2D08"/>
    <w:rsid w:val="002B58DB"/>
    <w:rsid w:val="002D0C68"/>
    <w:rsid w:val="002D22E7"/>
    <w:rsid w:val="002D31A9"/>
    <w:rsid w:val="002D70AF"/>
    <w:rsid w:val="002E08A2"/>
    <w:rsid w:val="002E1753"/>
    <w:rsid w:val="002E2A8D"/>
    <w:rsid w:val="002E580F"/>
    <w:rsid w:val="002F0279"/>
    <w:rsid w:val="003033E6"/>
    <w:rsid w:val="00304E25"/>
    <w:rsid w:val="00321733"/>
    <w:rsid w:val="0032395C"/>
    <w:rsid w:val="0032422C"/>
    <w:rsid w:val="003535D6"/>
    <w:rsid w:val="0035535B"/>
    <w:rsid w:val="003560DB"/>
    <w:rsid w:val="00357417"/>
    <w:rsid w:val="00362C9F"/>
    <w:rsid w:val="00362F67"/>
    <w:rsid w:val="0036368B"/>
    <w:rsid w:val="003677C6"/>
    <w:rsid w:val="00372EF0"/>
    <w:rsid w:val="0037476C"/>
    <w:rsid w:val="0038175C"/>
    <w:rsid w:val="0038380B"/>
    <w:rsid w:val="00390C4C"/>
    <w:rsid w:val="003A3AA0"/>
    <w:rsid w:val="003A7FB0"/>
    <w:rsid w:val="003B431B"/>
    <w:rsid w:val="003C65B0"/>
    <w:rsid w:val="003E750E"/>
    <w:rsid w:val="003F051E"/>
    <w:rsid w:val="00403A18"/>
    <w:rsid w:val="00403AB2"/>
    <w:rsid w:val="0040498B"/>
    <w:rsid w:val="0041442B"/>
    <w:rsid w:val="00414FDE"/>
    <w:rsid w:val="0041602B"/>
    <w:rsid w:val="004175F0"/>
    <w:rsid w:val="00421CFB"/>
    <w:rsid w:val="00442460"/>
    <w:rsid w:val="00442F4A"/>
    <w:rsid w:val="00447E8A"/>
    <w:rsid w:val="00462299"/>
    <w:rsid w:val="004630DD"/>
    <w:rsid w:val="0046633E"/>
    <w:rsid w:val="00470D3B"/>
    <w:rsid w:val="0047610C"/>
    <w:rsid w:val="00493AD5"/>
    <w:rsid w:val="004A5494"/>
    <w:rsid w:val="004A736E"/>
    <w:rsid w:val="004B356F"/>
    <w:rsid w:val="004B53DD"/>
    <w:rsid w:val="004B6D69"/>
    <w:rsid w:val="004C37AB"/>
    <w:rsid w:val="004C51D7"/>
    <w:rsid w:val="004C68CA"/>
    <w:rsid w:val="004C76F9"/>
    <w:rsid w:val="004D2C46"/>
    <w:rsid w:val="004D6AE6"/>
    <w:rsid w:val="004F094D"/>
    <w:rsid w:val="004F2C37"/>
    <w:rsid w:val="00500927"/>
    <w:rsid w:val="00504D17"/>
    <w:rsid w:val="0051411D"/>
    <w:rsid w:val="00523135"/>
    <w:rsid w:val="00534972"/>
    <w:rsid w:val="0053713A"/>
    <w:rsid w:val="0054086A"/>
    <w:rsid w:val="00543045"/>
    <w:rsid w:val="0055090F"/>
    <w:rsid w:val="0056657D"/>
    <w:rsid w:val="005712C8"/>
    <w:rsid w:val="005725E2"/>
    <w:rsid w:val="00586795"/>
    <w:rsid w:val="00591A82"/>
    <w:rsid w:val="00592AA7"/>
    <w:rsid w:val="0059449D"/>
    <w:rsid w:val="005961BB"/>
    <w:rsid w:val="00597619"/>
    <w:rsid w:val="005B2AF8"/>
    <w:rsid w:val="005B7A7A"/>
    <w:rsid w:val="005D36B6"/>
    <w:rsid w:val="005D457E"/>
    <w:rsid w:val="005D4BD9"/>
    <w:rsid w:val="005D6E0D"/>
    <w:rsid w:val="005D7F08"/>
    <w:rsid w:val="005E2F22"/>
    <w:rsid w:val="005E6FFA"/>
    <w:rsid w:val="005E71F1"/>
    <w:rsid w:val="005F1A9B"/>
    <w:rsid w:val="005F35BC"/>
    <w:rsid w:val="005F4E4C"/>
    <w:rsid w:val="005F66A5"/>
    <w:rsid w:val="00601237"/>
    <w:rsid w:val="00604DD4"/>
    <w:rsid w:val="006143B5"/>
    <w:rsid w:val="00614922"/>
    <w:rsid w:val="00620E77"/>
    <w:rsid w:val="00626C53"/>
    <w:rsid w:val="00626E59"/>
    <w:rsid w:val="006319D0"/>
    <w:rsid w:val="00632D1A"/>
    <w:rsid w:val="006356EE"/>
    <w:rsid w:val="006367D2"/>
    <w:rsid w:val="00636B3B"/>
    <w:rsid w:val="006542D6"/>
    <w:rsid w:val="00662BB7"/>
    <w:rsid w:val="006631A0"/>
    <w:rsid w:val="006729E0"/>
    <w:rsid w:val="006745A2"/>
    <w:rsid w:val="00674B7C"/>
    <w:rsid w:val="00677E9B"/>
    <w:rsid w:val="00677FEB"/>
    <w:rsid w:val="006818C1"/>
    <w:rsid w:val="006834CE"/>
    <w:rsid w:val="00690B43"/>
    <w:rsid w:val="006A018E"/>
    <w:rsid w:val="006A263E"/>
    <w:rsid w:val="006A26B5"/>
    <w:rsid w:val="006A33BB"/>
    <w:rsid w:val="006A4488"/>
    <w:rsid w:val="006B226E"/>
    <w:rsid w:val="006B3C27"/>
    <w:rsid w:val="006B528B"/>
    <w:rsid w:val="006C37A1"/>
    <w:rsid w:val="006C7327"/>
    <w:rsid w:val="006C7396"/>
    <w:rsid w:val="006D655C"/>
    <w:rsid w:val="006D7378"/>
    <w:rsid w:val="006E236B"/>
    <w:rsid w:val="006E27F8"/>
    <w:rsid w:val="006F0C3E"/>
    <w:rsid w:val="006F2A10"/>
    <w:rsid w:val="006F44CF"/>
    <w:rsid w:val="00700AF3"/>
    <w:rsid w:val="007112D5"/>
    <w:rsid w:val="00715AF9"/>
    <w:rsid w:val="00722BEC"/>
    <w:rsid w:val="00725EF8"/>
    <w:rsid w:val="00725F2C"/>
    <w:rsid w:val="007342B8"/>
    <w:rsid w:val="00740335"/>
    <w:rsid w:val="00740EEB"/>
    <w:rsid w:val="0074348C"/>
    <w:rsid w:val="00743D2D"/>
    <w:rsid w:val="00751C15"/>
    <w:rsid w:val="00756015"/>
    <w:rsid w:val="00763E11"/>
    <w:rsid w:val="007646B7"/>
    <w:rsid w:val="00764B30"/>
    <w:rsid w:val="00766E0E"/>
    <w:rsid w:val="00774E36"/>
    <w:rsid w:val="00781422"/>
    <w:rsid w:val="00783590"/>
    <w:rsid w:val="00785579"/>
    <w:rsid w:val="007A1A6A"/>
    <w:rsid w:val="007A3B5E"/>
    <w:rsid w:val="007A6BEE"/>
    <w:rsid w:val="007B09F5"/>
    <w:rsid w:val="007B125B"/>
    <w:rsid w:val="007B5F53"/>
    <w:rsid w:val="007B776F"/>
    <w:rsid w:val="007C419B"/>
    <w:rsid w:val="007C569A"/>
    <w:rsid w:val="007C5F6D"/>
    <w:rsid w:val="007E22E0"/>
    <w:rsid w:val="007E7D11"/>
    <w:rsid w:val="00810CE9"/>
    <w:rsid w:val="00810DA2"/>
    <w:rsid w:val="00815EB5"/>
    <w:rsid w:val="008231E2"/>
    <w:rsid w:val="00823E58"/>
    <w:rsid w:val="008377D7"/>
    <w:rsid w:val="00840F14"/>
    <w:rsid w:val="0084631E"/>
    <w:rsid w:val="0085062E"/>
    <w:rsid w:val="00852C2E"/>
    <w:rsid w:val="00866B83"/>
    <w:rsid w:val="00870D7F"/>
    <w:rsid w:val="00871565"/>
    <w:rsid w:val="00871DA8"/>
    <w:rsid w:val="00873D3B"/>
    <w:rsid w:val="0087743D"/>
    <w:rsid w:val="0088750D"/>
    <w:rsid w:val="00891AFB"/>
    <w:rsid w:val="008A2AC0"/>
    <w:rsid w:val="008A3E66"/>
    <w:rsid w:val="008A440F"/>
    <w:rsid w:val="008A4458"/>
    <w:rsid w:val="008B0C23"/>
    <w:rsid w:val="008B3D63"/>
    <w:rsid w:val="008B62F4"/>
    <w:rsid w:val="008B63B2"/>
    <w:rsid w:val="008C45AE"/>
    <w:rsid w:val="008C5D92"/>
    <w:rsid w:val="008E08A3"/>
    <w:rsid w:val="008E7F6B"/>
    <w:rsid w:val="008F0E75"/>
    <w:rsid w:val="0090024A"/>
    <w:rsid w:val="00903AE5"/>
    <w:rsid w:val="00904AD9"/>
    <w:rsid w:val="00905A36"/>
    <w:rsid w:val="00915096"/>
    <w:rsid w:val="009159E1"/>
    <w:rsid w:val="00921837"/>
    <w:rsid w:val="00923368"/>
    <w:rsid w:val="009306C9"/>
    <w:rsid w:val="0094530E"/>
    <w:rsid w:val="009524AA"/>
    <w:rsid w:val="009618FE"/>
    <w:rsid w:val="00961DC4"/>
    <w:rsid w:val="00974016"/>
    <w:rsid w:val="0099168D"/>
    <w:rsid w:val="009920A0"/>
    <w:rsid w:val="00996208"/>
    <w:rsid w:val="00996938"/>
    <w:rsid w:val="009A1C94"/>
    <w:rsid w:val="009A6FD2"/>
    <w:rsid w:val="009A7B23"/>
    <w:rsid w:val="009B0756"/>
    <w:rsid w:val="009B7E66"/>
    <w:rsid w:val="009C32CB"/>
    <w:rsid w:val="009E1D6D"/>
    <w:rsid w:val="009E6B74"/>
    <w:rsid w:val="009E7609"/>
    <w:rsid w:val="009F02B6"/>
    <w:rsid w:val="009F574F"/>
    <w:rsid w:val="00A026EE"/>
    <w:rsid w:val="00A13890"/>
    <w:rsid w:val="00A143BE"/>
    <w:rsid w:val="00A26F61"/>
    <w:rsid w:val="00A26F81"/>
    <w:rsid w:val="00A323AB"/>
    <w:rsid w:val="00A32A9A"/>
    <w:rsid w:val="00A33E37"/>
    <w:rsid w:val="00A341A4"/>
    <w:rsid w:val="00A358C4"/>
    <w:rsid w:val="00A36732"/>
    <w:rsid w:val="00A52B73"/>
    <w:rsid w:val="00A60FF8"/>
    <w:rsid w:val="00A62CD5"/>
    <w:rsid w:val="00A64B98"/>
    <w:rsid w:val="00A65CE5"/>
    <w:rsid w:val="00A728B1"/>
    <w:rsid w:val="00A74FAE"/>
    <w:rsid w:val="00A75794"/>
    <w:rsid w:val="00A76176"/>
    <w:rsid w:val="00A7669D"/>
    <w:rsid w:val="00A81397"/>
    <w:rsid w:val="00A851E9"/>
    <w:rsid w:val="00A91BB9"/>
    <w:rsid w:val="00A946DE"/>
    <w:rsid w:val="00AA0F30"/>
    <w:rsid w:val="00AA1C92"/>
    <w:rsid w:val="00AB0993"/>
    <w:rsid w:val="00AB61D7"/>
    <w:rsid w:val="00AC460A"/>
    <w:rsid w:val="00AC6390"/>
    <w:rsid w:val="00AD3A26"/>
    <w:rsid w:val="00AE0064"/>
    <w:rsid w:val="00AE26B4"/>
    <w:rsid w:val="00AE7B9D"/>
    <w:rsid w:val="00AF126D"/>
    <w:rsid w:val="00AF5E63"/>
    <w:rsid w:val="00B04035"/>
    <w:rsid w:val="00B077DC"/>
    <w:rsid w:val="00B10A59"/>
    <w:rsid w:val="00B13162"/>
    <w:rsid w:val="00B13BB4"/>
    <w:rsid w:val="00B1425B"/>
    <w:rsid w:val="00B14306"/>
    <w:rsid w:val="00B15CB3"/>
    <w:rsid w:val="00B162C3"/>
    <w:rsid w:val="00B22811"/>
    <w:rsid w:val="00B40F1C"/>
    <w:rsid w:val="00B47C66"/>
    <w:rsid w:val="00B50FB3"/>
    <w:rsid w:val="00B51B61"/>
    <w:rsid w:val="00B55776"/>
    <w:rsid w:val="00B6285F"/>
    <w:rsid w:val="00B62951"/>
    <w:rsid w:val="00B65AEC"/>
    <w:rsid w:val="00B66E1D"/>
    <w:rsid w:val="00B8501C"/>
    <w:rsid w:val="00B920DC"/>
    <w:rsid w:val="00B92102"/>
    <w:rsid w:val="00B930E4"/>
    <w:rsid w:val="00B939C6"/>
    <w:rsid w:val="00B9527A"/>
    <w:rsid w:val="00B95545"/>
    <w:rsid w:val="00BB10F5"/>
    <w:rsid w:val="00BC2ED1"/>
    <w:rsid w:val="00BC6E93"/>
    <w:rsid w:val="00BD3ACB"/>
    <w:rsid w:val="00BF375A"/>
    <w:rsid w:val="00BF61AA"/>
    <w:rsid w:val="00C00956"/>
    <w:rsid w:val="00C01BBF"/>
    <w:rsid w:val="00C0209A"/>
    <w:rsid w:val="00C05271"/>
    <w:rsid w:val="00C05F49"/>
    <w:rsid w:val="00C144DE"/>
    <w:rsid w:val="00C20EF1"/>
    <w:rsid w:val="00C26B72"/>
    <w:rsid w:val="00C40D83"/>
    <w:rsid w:val="00C40E7F"/>
    <w:rsid w:val="00C51B63"/>
    <w:rsid w:val="00C52F60"/>
    <w:rsid w:val="00C542FE"/>
    <w:rsid w:val="00C54591"/>
    <w:rsid w:val="00C56446"/>
    <w:rsid w:val="00C60C2D"/>
    <w:rsid w:val="00C62469"/>
    <w:rsid w:val="00C652A3"/>
    <w:rsid w:val="00C65B9C"/>
    <w:rsid w:val="00C72AA3"/>
    <w:rsid w:val="00C76060"/>
    <w:rsid w:val="00C800E8"/>
    <w:rsid w:val="00C94EEA"/>
    <w:rsid w:val="00C9569D"/>
    <w:rsid w:val="00CA057D"/>
    <w:rsid w:val="00CB7E13"/>
    <w:rsid w:val="00CC0323"/>
    <w:rsid w:val="00CC1486"/>
    <w:rsid w:val="00CC3511"/>
    <w:rsid w:val="00CD0C6C"/>
    <w:rsid w:val="00CD0F06"/>
    <w:rsid w:val="00CD5B3B"/>
    <w:rsid w:val="00CE1717"/>
    <w:rsid w:val="00CF306A"/>
    <w:rsid w:val="00D06E9C"/>
    <w:rsid w:val="00D07245"/>
    <w:rsid w:val="00D25CF7"/>
    <w:rsid w:val="00D327AD"/>
    <w:rsid w:val="00D476B7"/>
    <w:rsid w:val="00D5041D"/>
    <w:rsid w:val="00D5160C"/>
    <w:rsid w:val="00D60542"/>
    <w:rsid w:val="00D6243B"/>
    <w:rsid w:val="00D6402E"/>
    <w:rsid w:val="00D71F41"/>
    <w:rsid w:val="00D72DDA"/>
    <w:rsid w:val="00D755EF"/>
    <w:rsid w:val="00D77532"/>
    <w:rsid w:val="00D81306"/>
    <w:rsid w:val="00D86F1D"/>
    <w:rsid w:val="00D90387"/>
    <w:rsid w:val="00D9190B"/>
    <w:rsid w:val="00D92947"/>
    <w:rsid w:val="00D93F53"/>
    <w:rsid w:val="00D95A9C"/>
    <w:rsid w:val="00DA169A"/>
    <w:rsid w:val="00DA5F8B"/>
    <w:rsid w:val="00DA7F32"/>
    <w:rsid w:val="00DB2103"/>
    <w:rsid w:val="00DB2C4A"/>
    <w:rsid w:val="00DB3D92"/>
    <w:rsid w:val="00DB4421"/>
    <w:rsid w:val="00DE7755"/>
    <w:rsid w:val="00DF0575"/>
    <w:rsid w:val="00DF3E11"/>
    <w:rsid w:val="00DF7B2B"/>
    <w:rsid w:val="00E04E0D"/>
    <w:rsid w:val="00E07965"/>
    <w:rsid w:val="00E14D10"/>
    <w:rsid w:val="00E15075"/>
    <w:rsid w:val="00E15104"/>
    <w:rsid w:val="00E2099A"/>
    <w:rsid w:val="00E219D2"/>
    <w:rsid w:val="00E23DC8"/>
    <w:rsid w:val="00E269E6"/>
    <w:rsid w:val="00E311FA"/>
    <w:rsid w:val="00E45D02"/>
    <w:rsid w:val="00E532F8"/>
    <w:rsid w:val="00E538C8"/>
    <w:rsid w:val="00E562FC"/>
    <w:rsid w:val="00E61444"/>
    <w:rsid w:val="00E67401"/>
    <w:rsid w:val="00E70EE2"/>
    <w:rsid w:val="00E7458A"/>
    <w:rsid w:val="00E758D7"/>
    <w:rsid w:val="00E80D5E"/>
    <w:rsid w:val="00E926A9"/>
    <w:rsid w:val="00EA0F6C"/>
    <w:rsid w:val="00EA1D55"/>
    <w:rsid w:val="00EA3EBF"/>
    <w:rsid w:val="00EB247A"/>
    <w:rsid w:val="00EB5296"/>
    <w:rsid w:val="00EB6ABD"/>
    <w:rsid w:val="00EC7E47"/>
    <w:rsid w:val="00EE32F2"/>
    <w:rsid w:val="00F014A9"/>
    <w:rsid w:val="00F067D8"/>
    <w:rsid w:val="00F23EC1"/>
    <w:rsid w:val="00F30363"/>
    <w:rsid w:val="00F42ECB"/>
    <w:rsid w:val="00F4554D"/>
    <w:rsid w:val="00F51808"/>
    <w:rsid w:val="00F5219A"/>
    <w:rsid w:val="00F56471"/>
    <w:rsid w:val="00F570FB"/>
    <w:rsid w:val="00F57D51"/>
    <w:rsid w:val="00F67D20"/>
    <w:rsid w:val="00F72651"/>
    <w:rsid w:val="00F77F30"/>
    <w:rsid w:val="00F80CB8"/>
    <w:rsid w:val="00F87327"/>
    <w:rsid w:val="00F8749C"/>
    <w:rsid w:val="00F97D67"/>
    <w:rsid w:val="00FA7222"/>
    <w:rsid w:val="00FB6D27"/>
    <w:rsid w:val="00FC0C7A"/>
    <w:rsid w:val="00FC4284"/>
    <w:rsid w:val="00FC459F"/>
    <w:rsid w:val="00FD3CB7"/>
    <w:rsid w:val="00FD4578"/>
    <w:rsid w:val="00FD48C3"/>
    <w:rsid w:val="00FD7204"/>
    <w:rsid w:val="00FE05E4"/>
    <w:rsid w:val="00FE1207"/>
    <w:rsid w:val="00FE2F2C"/>
    <w:rsid w:val="00FE3B1B"/>
    <w:rsid w:val="00FE5D25"/>
    <w:rsid w:val="00FF2921"/>
    <w:rsid w:val="00FF554B"/>
    <w:rsid w:val="00FF7BDA"/>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664AE1"/>
  <w14:defaultImageDpi w14:val="300"/>
  <w15:docId w15:val="{032F9377-C645-4EF4-88E6-CC792D84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lang w:val="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rsid w:val="003E750E"/>
    <w:rPr>
      <w:rFonts w:ascii="Trebuchet MS" w:hAnsi="Trebuchet MS"/>
      <w:sz w:val="16"/>
    </w:rPr>
  </w:style>
  <w:style w:type="character" w:styleId="FootnoteReference">
    <w:name w:val="footnote reference"/>
    <w:basedOn w:val="DefaultParagraphFont"/>
    <w:uiPriority w:val="99"/>
    <w:unhideWhenUsed/>
    <w:rsid w:val="00A65CE5"/>
    <w:rPr>
      <w:vertAlign w:val="superscript"/>
    </w:rPr>
  </w:style>
  <w:style w:type="paragraph" w:styleId="ListParagraph">
    <w:name w:val="List Paragraph"/>
    <w:basedOn w:val="Normal"/>
    <w:qFormat/>
    <w:rsid w:val="007B5F53"/>
    <w:pPr>
      <w:ind w:left="720"/>
      <w:contextualSpacing/>
    </w:pPr>
  </w:style>
  <w:style w:type="character" w:customStyle="1" w:styleId="l5def1">
    <w:name w:val="l5def1"/>
    <w:basedOn w:val="DefaultParagraphFont"/>
    <w:rsid w:val="005F66A5"/>
    <w:rPr>
      <w:rFonts w:ascii="Arial" w:hAnsi="Arial" w:cs="Arial" w:hint="default"/>
      <w:color w:val="000000"/>
      <w:sz w:val="26"/>
      <w:szCs w:val="26"/>
    </w:rPr>
  </w:style>
  <w:style w:type="character" w:customStyle="1" w:styleId="Other">
    <w:name w:val="Other_"/>
    <w:link w:val="Other0"/>
    <w:rsid w:val="00A62CD5"/>
    <w:rPr>
      <w:rFonts w:ascii="Arial" w:eastAsia="Arial" w:hAnsi="Arial" w:cs="Arial"/>
      <w:sz w:val="22"/>
      <w:szCs w:val="22"/>
      <w:shd w:val="clear" w:color="auto" w:fill="FFFFFF"/>
    </w:rPr>
  </w:style>
  <w:style w:type="paragraph" w:customStyle="1" w:styleId="Other0">
    <w:name w:val="Other"/>
    <w:basedOn w:val="Normal"/>
    <w:link w:val="Other"/>
    <w:rsid w:val="00A62CD5"/>
    <w:pPr>
      <w:widowControl w:val="0"/>
      <w:shd w:val="clear" w:color="auto" w:fill="FFFFFF"/>
      <w:spacing w:after="60" w:line="254" w:lineRule="auto"/>
      <w:ind w:left="0"/>
      <w:jc w:val="left"/>
    </w:pPr>
    <w:rPr>
      <w:rFonts w:ascii="Arial" w:eastAsia="Arial" w:hAnsi="Arial" w:cs="Arial"/>
      <w:lang w:val="en-US"/>
    </w:rPr>
  </w:style>
  <w:style w:type="paragraph" w:customStyle="1" w:styleId="Style6">
    <w:name w:val="Style6"/>
    <w:basedOn w:val="Normal"/>
    <w:uiPriority w:val="99"/>
    <w:rsid w:val="00751C15"/>
    <w:pPr>
      <w:widowControl w:val="0"/>
      <w:autoSpaceDE w:val="0"/>
      <w:autoSpaceDN w:val="0"/>
      <w:adjustRightInd w:val="0"/>
      <w:spacing w:after="0" w:line="271" w:lineRule="exact"/>
      <w:ind w:left="0" w:firstLine="302"/>
      <w:jc w:val="left"/>
    </w:pPr>
    <w:rPr>
      <w:rFonts w:eastAsiaTheme="minorEastAsia" w:cstheme="minorBidi"/>
      <w:sz w:val="24"/>
      <w:szCs w:val="24"/>
      <w:lang w:eastAsia="ro-RO"/>
    </w:rPr>
  </w:style>
  <w:style w:type="character" w:customStyle="1" w:styleId="FontStyle15">
    <w:name w:val="Font Style15"/>
    <w:basedOn w:val="DefaultParagraphFont"/>
    <w:uiPriority w:val="99"/>
    <w:rsid w:val="00751C15"/>
    <w:rPr>
      <w:rFonts w:ascii="Trebuchet MS" w:hAnsi="Trebuchet MS" w:cs="Trebuchet MS"/>
      <w:sz w:val="22"/>
      <w:szCs w:val="22"/>
    </w:rPr>
  </w:style>
  <w:style w:type="character" w:customStyle="1" w:styleId="FontStyle11">
    <w:name w:val="Font Style11"/>
    <w:basedOn w:val="DefaultParagraphFont"/>
    <w:uiPriority w:val="99"/>
    <w:rsid w:val="00751C15"/>
    <w:rPr>
      <w:rFonts w:ascii="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41887">
      <w:bodyDiv w:val="1"/>
      <w:marLeft w:val="0"/>
      <w:marRight w:val="0"/>
      <w:marTop w:val="0"/>
      <w:marBottom w:val="0"/>
      <w:divBdr>
        <w:top w:val="none" w:sz="0" w:space="0" w:color="auto"/>
        <w:left w:val="none" w:sz="0" w:space="0" w:color="auto"/>
        <w:bottom w:val="none" w:sz="0" w:space="0" w:color="auto"/>
        <w:right w:val="none" w:sz="0" w:space="0" w:color="auto"/>
      </w:divBdr>
    </w:div>
    <w:div w:id="1068921693">
      <w:bodyDiv w:val="1"/>
      <w:marLeft w:val="0"/>
      <w:marRight w:val="0"/>
      <w:marTop w:val="0"/>
      <w:marBottom w:val="0"/>
      <w:divBdr>
        <w:top w:val="none" w:sz="0" w:space="0" w:color="auto"/>
        <w:left w:val="none" w:sz="0" w:space="0" w:color="auto"/>
        <w:bottom w:val="none" w:sz="0" w:space="0" w:color="auto"/>
        <w:right w:val="none" w:sz="0" w:space="0" w:color="auto"/>
      </w:divBdr>
    </w:div>
    <w:div w:id="1094588592">
      <w:bodyDiv w:val="1"/>
      <w:marLeft w:val="0"/>
      <w:marRight w:val="0"/>
      <w:marTop w:val="0"/>
      <w:marBottom w:val="0"/>
      <w:divBdr>
        <w:top w:val="none" w:sz="0" w:space="0" w:color="auto"/>
        <w:left w:val="none" w:sz="0" w:space="0" w:color="auto"/>
        <w:bottom w:val="none" w:sz="0" w:space="0" w:color="auto"/>
        <w:right w:val="none" w:sz="0" w:space="0" w:color="auto"/>
      </w:divBdr>
    </w:div>
    <w:div w:id="1521747070">
      <w:bodyDiv w:val="1"/>
      <w:marLeft w:val="0"/>
      <w:marRight w:val="0"/>
      <w:marTop w:val="0"/>
      <w:marBottom w:val="0"/>
      <w:divBdr>
        <w:top w:val="none" w:sz="0" w:space="0" w:color="auto"/>
        <w:left w:val="none" w:sz="0" w:space="0" w:color="auto"/>
        <w:bottom w:val="none" w:sz="0" w:space="0" w:color="auto"/>
        <w:right w:val="none" w:sz="0" w:space="0" w:color="auto"/>
      </w:divBdr>
    </w:div>
    <w:div w:id="1722317959">
      <w:bodyDiv w:val="1"/>
      <w:marLeft w:val="0"/>
      <w:marRight w:val="0"/>
      <w:marTop w:val="0"/>
      <w:marBottom w:val="0"/>
      <w:divBdr>
        <w:top w:val="none" w:sz="0" w:space="0" w:color="auto"/>
        <w:left w:val="none" w:sz="0" w:space="0" w:color="auto"/>
        <w:bottom w:val="none" w:sz="0" w:space="0" w:color="auto"/>
        <w:right w:val="none" w:sz="0" w:space="0" w:color="auto"/>
      </w:divBdr>
    </w:div>
    <w:div w:id="1924798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9701-492B-4287-A2AF-A9A756C1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10</Pages>
  <Words>2788</Words>
  <Characters>15898</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18649</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Melinda Stoica</cp:lastModifiedBy>
  <cp:revision>2</cp:revision>
  <cp:lastPrinted>2021-05-24T05:27:00Z</cp:lastPrinted>
  <dcterms:created xsi:type="dcterms:W3CDTF">2021-05-24T05:27:00Z</dcterms:created>
  <dcterms:modified xsi:type="dcterms:W3CDTF">2021-05-24T05:27:00Z</dcterms:modified>
</cp:coreProperties>
</file>