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1DAF" w14:textId="77777777" w:rsidR="00ED6BB7" w:rsidRDefault="00ED6BB7" w:rsidP="002123E7">
      <w:pPr>
        <w:ind w:left="720" w:hanging="36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15F0AC7" w14:textId="77777777" w:rsidR="0088088C" w:rsidRDefault="00743119" w:rsidP="00013405">
      <w:pPr>
        <w:ind w:left="720" w:hanging="360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  <w:r>
        <w:rPr>
          <w:rFonts w:ascii="Calibri Light" w:hAnsi="Calibri Light" w:cs="Calibri Light"/>
          <w:b/>
          <w:bCs/>
          <w:sz w:val="24"/>
          <w:szCs w:val="24"/>
          <w:lang w:val="ro-RO"/>
        </w:rPr>
        <w:t>Ecosistemul financiar</w:t>
      </w:r>
      <w:r w:rsidR="00ED6BB7" w:rsidRPr="00ED6BB7">
        <w:rPr>
          <w:rFonts w:ascii="Calibri Light" w:hAnsi="Calibri Light" w:cs="Calibri Light"/>
          <w:b/>
          <w:bCs/>
          <w:sz w:val="24"/>
          <w:szCs w:val="24"/>
          <w:lang w:val="ro-RO"/>
        </w:rPr>
        <w:t>, înainte și după implementarea cadrului TIBER-</w:t>
      </w:r>
      <w:r w:rsidR="0001340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EU în România. </w:t>
      </w:r>
    </w:p>
    <w:p w14:paraId="67BF9DDF" w14:textId="046427FF" w:rsidR="00013405" w:rsidRPr="00ED6BB7" w:rsidRDefault="00013405" w:rsidP="00013405">
      <w:pPr>
        <w:ind w:left="720" w:hanging="360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  <w:r>
        <w:rPr>
          <w:rFonts w:ascii="Calibri Light" w:hAnsi="Calibri Light" w:cs="Calibri Light"/>
          <w:b/>
          <w:bCs/>
          <w:sz w:val="24"/>
          <w:szCs w:val="24"/>
          <w:lang w:val="ro-RO"/>
        </w:rPr>
        <w:t>Care sunt provocările?</w:t>
      </w:r>
    </w:p>
    <w:p w14:paraId="6A2A5FF9" w14:textId="77777777" w:rsidR="00ED6BB7" w:rsidRPr="00EE5B89" w:rsidRDefault="00ED6BB7" w:rsidP="002123E7">
      <w:pPr>
        <w:ind w:left="720" w:hanging="36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08194AF" w14:textId="69030335" w:rsidR="00EE5B89" w:rsidRPr="00EE5B89" w:rsidRDefault="00EE5B89" w:rsidP="002123E7">
      <w:pPr>
        <w:jc w:val="both"/>
        <w:rPr>
          <w:rFonts w:ascii="Calibri Light" w:hAnsi="Calibri Light" w:cs="Calibri Light"/>
          <w:i/>
          <w:iCs/>
          <w:sz w:val="20"/>
          <w:szCs w:val="20"/>
          <w:lang w:val="ro-RO"/>
        </w:rPr>
      </w:pPr>
      <w:r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Articol de opinie de </w:t>
      </w:r>
      <w:r w:rsidR="004D796F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Andrei Ionescu, Partener coordonator, Consultanță și Managementul Riscului, </w:t>
      </w:r>
      <w:r w:rsidR="00837238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și </w:t>
      </w:r>
      <w:r w:rsidR="00ED6BB7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Adrian Ifrim, Senior Manager, </w:t>
      </w:r>
      <w:r w:rsidR="00837238">
        <w:rPr>
          <w:rFonts w:ascii="Calibri Light" w:hAnsi="Calibri Light" w:cs="Calibri Light"/>
          <w:i/>
          <w:iCs/>
          <w:sz w:val="20"/>
          <w:szCs w:val="20"/>
          <w:lang w:val="ro-RO"/>
        </w:rPr>
        <w:t>Managementul Riscului,</w:t>
      </w:r>
      <w:r w:rsidR="00ED6BB7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Deloitte România</w:t>
      </w:r>
    </w:p>
    <w:p w14:paraId="18E86CDE" w14:textId="77777777" w:rsidR="00ED6BB7" w:rsidRDefault="00ED6BB7" w:rsidP="002123E7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606D7D03" w14:textId="6709B030" w:rsidR="00C72B7F" w:rsidRDefault="009071E2" w:rsidP="009071E2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9071E2">
        <w:rPr>
          <w:rFonts w:ascii="Calibri Light" w:hAnsi="Calibri Light" w:cs="Calibri Light"/>
          <w:sz w:val="20"/>
          <w:szCs w:val="20"/>
          <w:lang w:val="ro-RO"/>
        </w:rPr>
        <w:t>Atacurile cibernetice reprezintă o amenințare pentru fiecare dintre noi</w:t>
      </w:r>
      <w:r w:rsidR="009A14BB">
        <w:rPr>
          <w:rFonts w:ascii="Calibri Light" w:hAnsi="Calibri Light" w:cs="Calibri Light"/>
          <w:sz w:val="20"/>
          <w:szCs w:val="20"/>
          <w:lang w:val="ro-RO"/>
        </w:rPr>
        <w:t xml:space="preserve">, iar evenimentele din ultima </w:t>
      </w:r>
      <w:r w:rsidR="003632E8">
        <w:rPr>
          <w:rFonts w:ascii="Calibri Light" w:hAnsi="Calibri Light" w:cs="Calibri Light"/>
          <w:sz w:val="20"/>
          <w:szCs w:val="20"/>
          <w:lang w:val="ro-RO"/>
        </w:rPr>
        <w:t>perioadă</w:t>
      </w:r>
      <w:r w:rsidR="0096447B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A14BB">
        <w:rPr>
          <w:rFonts w:ascii="Calibri Light" w:hAnsi="Calibri Light" w:cs="Calibri Light"/>
          <w:sz w:val="20"/>
          <w:szCs w:val="20"/>
          <w:lang w:val="ro-RO"/>
        </w:rPr>
        <w:t xml:space="preserve">ne-au demonstrat 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>că</w:t>
      </w:r>
      <w:r w:rsidR="0096447B">
        <w:rPr>
          <w:rFonts w:ascii="Calibri Light" w:hAnsi="Calibri Light" w:cs="Calibri Light"/>
          <w:sz w:val="20"/>
          <w:szCs w:val="20"/>
          <w:lang w:val="ro-RO"/>
        </w:rPr>
        <w:t xml:space="preserve"> perturbările produse pot fi considerabile. 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>Riscurile p</w:t>
      </w:r>
      <w:r w:rsidR="00C72B7F">
        <w:rPr>
          <w:rFonts w:ascii="Calibri Light" w:hAnsi="Calibri Light" w:cs="Calibri Light"/>
          <w:sz w:val="20"/>
          <w:szCs w:val="20"/>
          <w:lang w:val="ro-RO"/>
        </w:rPr>
        <w:t>rovocate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 xml:space="preserve"> de aceste perturbări</w:t>
      </w:r>
      <w:r w:rsidR="00860504">
        <w:rPr>
          <w:rFonts w:ascii="Calibri Light" w:hAnsi="Calibri Light" w:cs="Calibri Light"/>
          <w:sz w:val="20"/>
          <w:szCs w:val="20"/>
          <w:lang w:val="ro-RO"/>
        </w:rPr>
        <w:t xml:space="preserve"> trebuie luate în considerare și de către bănci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 xml:space="preserve"> și</w:t>
      </w:r>
      <w:r w:rsidR="00860504">
        <w:rPr>
          <w:rFonts w:ascii="Calibri Light" w:hAnsi="Calibri Light" w:cs="Calibri Light"/>
          <w:sz w:val="20"/>
          <w:szCs w:val="20"/>
          <w:lang w:val="ro-RO"/>
        </w:rPr>
        <w:t xml:space="preserve"> alți actori 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>ai domeniului financiar</w:t>
      </w:r>
      <w:r w:rsidR="00FB55A4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860504">
        <w:rPr>
          <w:rFonts w:ascii="Calibri Light" w:hAnsi="Calibri Light" w:cs="Calibri Light"/>
          <w:sz w:val="20"/>
          <w:szCs w:val="20"/>
          <w:lang w:val="ro-RO"/>
        </w:rPr>
        <w:t>deoarece</w:t>
      </w:r>
      <w:r w:rsidR="0096447B">
        <w:rPr>
          <w:rFonts w:ascii="Calibri Light" w:hAnsi="Calibri Light" w:cs="Calibri Light"/>
          <w:sz w:val="20"/>
          <w:szCs w:val="20"/>
          <w:lang w:val="ro-RO"/>
        </w:rPr>
        <w:t xml:space="preserve"> pot avea un impact nu numai 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 xml:space="preserve">asupra </w:t>
      </w:r>
      <w:r w:rsidR="000A1C00">
        <w:rPr>
          <w:rFonts w:ascii="Calibri Light" w:hAnsi="Calibri Light" w:cs="Calibri Light"/>
          <w:sz w:val="20"/>
          <w:szCs w:val="20"/>
          <w:lang w:val="ro-RO"/>
        </w:rPr>
        <w:t>fiecărei organizații în parte</w:t>
      </w:r>
      <w:r w:rsidR="0096447B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3632E8">
        <w:rPr>
          <w:rFonts w:ascii="Calibri Light" w:hAnsi="Calibri Light" w:cs="Calibri Light"/>
          <w:sz w:val="20"/>
          <w:szCs w:val="20"/>
          <w:lang w:val="ro-RO"/>
        </w:rPr>
        <w:t xml:space="preserve">ci 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 xml:space="preserve">și </w:t>
      </w:r>
      <w:r w:rsidR="00860504">
        <w:rPr>
          <w:rFonts w:ascii="Calibri Light" w:hAnsi="Calibri Light" w:cs="Calibri Light"/>
          <w:sz w:val="20"/>
          <w:szCs w:val="20"/>
          <w:lang w:val="ro-RO"/>
        </w:rPr>
        <w:t>asupra</w:t>
      </w:r>
      <w:r w:rsidR="003632E8" w:rsidRPr="009071E2">
        <w:rPr>
          <w:rFonts w:ascii="Calibri Light" w:hAnsi="Calibri Light" w:cs="Calibri Light"/>
          <w:sz w:val="20"/>
          <w:szCs w:val="20"/>
          <w:lang w:val="ro-RO"/>
        </w:rPr>
        <w:t xml:space="preserve"> stabilității </w:t>
      </w:r>
      <w:r w:rsidR="00860504">
        <w:rPr>
          <w:rFonts w:ascii="Calibri Light" w:hAnsi="Calibri Light" w:cs="Calibri Light"/>
          <w:sz w:val="20"/>
          <w:szCs w:val="20"/>
          <w:lang w:val="ro-RO"/>
        </w:rPr>
        <w:t xml:space="preserve">întregului </w:t>
      </w:r>
      <w:r w:rsidR="003632E8" w:rsidRPr="009071E2">
        <w:rPr>
          <w:rFonts w:ascii="Calibri Light" w:hAnsi="Calibri Light" w:cs="Calibri Light"/>
          <w:sz w:val="20"/>
          <w:szCs w:val="20"/>
          <w:lang w:val="ro-RO"/>
        </w:rPr>
        <w:t>ecosistem</w:t>
      </w:r>
      <w:r w:rsidR="00860504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632E8" w:rsidRPr="009071E2">
        <w:rPr>
          <w:rFonts w:ascii="Calibri Light" w:hAnsi="Calibri Light" w:cs="Calibri Light"/>
          <w:sz w:val="20"/>
          <w:szCs w:val="20"/>
          <w:lang w:val="ro-RO"/>
        </w:rPr>
        <w:t>financiar</w:t>
      </w:r>
      <w:r w:rsidR="003632E8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 xml:space="preserve">Riscul atacurilor cibernetice este accentuat și 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 xml:space="preserve">de folosirea </w:t>
      </w:r>
      <w:r w:rsidR="00F23486" w:rsidRPr="009071E2">
        <w:rPr>
          <w:rFonts w:ascii="Calibri Light" w:hAnsi="Calibri Light" w:cs="Calibri Light"/>
          <w:sz w:val="20"/>
          <w:szCs w:val="20"/>
          <w:lang w:val="ro-RO"/>
        </w:rPr>
        <w:t>tehnologiil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>or</w:t>
      </w:r>
      <w:r w:rsidR="00F23486" w:rsidRPr="009071E2">
        <w:rPr>
          <w:rFonts w:ascii="Calibri Light" w:hAnsi="Calibri Light" w:cs="Calibri Light"/>
          <w:sz w:val="20"/>
          <w:szCs w:val="20"/>
          <w:lang w:val="ro-RO"/>
        </w:rPr>
        <w:t xml:space="preserve"> digitale 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>de către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 xml:space="preserve"> sistemul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>financiar</w:t>
      </w:r>
      <w:r w:rsidR="00F23486">
        <w:rPr>
          <w:rFonts w:ascii="Calibri Light" w:hAnsi="Calibri Light" w:cs="Calibri Light"/>
          <w:sz w:val="20"/>
          <w:szCs w:val="20"/>
          <w:lang w:val="ro-RO"/>
        </w:rPr>
        <w:t xml:space="preserve"> și de provocările 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 xml:space="preserve">generate </w:t>
      </w:r>
      <w:r w:rsidR="00EF1472">
        <w:rPr>
          <w:rFonts w:ascii="Calibri Light" w:hAnsi="Calibri Light" w:cs="Calibri Light"/>
          <w:sz w:val="20"/>
          <w:szCs w:val="20"/>
          <w:lang w:val="ro-RO"/>
        </w:rPr>
        <w:t xml:space="preserve">de viteza 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 xml:space="preserve">cu care evoluează amenințările 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cibernetice. </w:t>
      </w:r>
    </w:p>
    <w:p w14:paraId="0CF89724" w14:textId="2260A5A4" w:rsidR="009071E2" w:rsidRDefault="009071E2" w:rsidP="009071E2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9071E2">
        <w:rPr>
          <w:rFonts w:ascii="Calibri Light" w:hAnsi="Calibri Light" w:cs="Calibri Light"/>
          <w:sz w:val="20"/>
          <w:szCs w:val="20"/>
          <w:lang w:val="ro-RO"/>
        </w:rPr>
        <w:t>Banca Națională a României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 (BNR)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 xml:space="preserve"> a considerat, așadar, că este esențial ca băncile, alte instituții financiare 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>sau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 xml:space="preserve"> infrastructurile pieței financiare aflate sub supravegherea sa 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>să își asigure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 xml:space="preserve"> un nivel adecvat de rezistență cibernetică pentru a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 xml:space="preserve"> se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75BF7" w:rsidRPr="009071E2">
        <w:rPr>
          <w:rFonts w:ascii="Calibri Light" w:hAnsi="Calibri Light" w:cs="Calibri Light"/>
          <w:sz w:val="20"/>
          <w:szCs w:val="20"/>
          <w:lang w:val="ro-RO"/>
        </w:rPr>
        <w:t>prote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>ja atât pe ele însele,</w:t>
      </w:r>
      <w:r w:rsidR="00375BF7" w:rsidRPr="009071E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 xml:space="preserve">cât </w:t>
      </w:r>
      <w:r w:rsidRPr="009071E2">
        <w:rPr>
          <w:rFonts w:ascii="Calibri Light" w:hAnsi="Calibri Light" w:cs="Calibri Light"/>
          <w:sz w:val="20"/>
          <w:szCs w:val="20"/>
          <w:lang w:val="ro-RO"/>
        </w:rPr>
        <w:t>și întregul ecosistem.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>În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75BF7">
        <w:rPr>
          <w:rFonts w:ascii="Calibri Light" w:hAnsi="Calibri Light" w:cs="Calibri Light"/>
          <w:sz w:val="20"/>
          <w:szCs w:val="20"/>
          <w:lang w:val="ro-RO"/>
        </w:rPr>
        <w:t xml:space="preserve">luna 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>mai 2022, BNR a transpus la nivel local c</w:t>
      </w:r>
      <w:r w:rsidR="00FB7FB4" w:rsidRPr="00967BA9">
        <w:rPr>
          <w:rFonts w:ascii="Calibri Light" w:hAnsi="Calibri Light" w:cs="Calibri Light"/>
          <w:sz w:val="20"/>
          <w:szCs w:val="20"/>
          <w:lang w:val="ro-RO"/>
        </w:rPr>
        <w:t>adrul TIBER-EU (</w:t>
      </w:r>
      <w:proofErr w:type="spellStart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>Threat</w:t>
      </w:r>
      <w:proofErr w:type="spellEnd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Intelligence-</w:t>
      </w:r>
      <w:proofErr w:type="spellStart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>based</w:t>
      </w:r>
      <w:proofErr w:type="spellEnd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proofErr w:type="spellStart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>Ethical</w:t>
      </w:r>
      <w:proofErr w:type="spellEnd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proofErr w:type="spellStart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>Red</w:t>
      </w:r>
      <w:proofErr w:type="spellEnd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proofErr w:type="spellStart"/>
      <w:r w:rsidR="00FB7FB4" w:rsidRPr="00967BA9">
        <w:rPr>
          <w:rFonts w:ascii="Calibri Light" w:hAnsi="Calibri Light" w:cs="Calibri Light"/>
          <w:i/>
          <w:iCs/>
          <w:sz w:val="20"/>
          <w:szCs w:val="20"/>
          <w:lang w:val="ro-RO"/>
        </w:rPr>
        <w:t>Teaming</w:t>
      </w:r>
      <w:proofErr w:type="spellEnd"/>
      <w:r w:rsidR="00FB7FB4" w:rsidRPr="00967BA9">
        <w:rPr>
          <w:rFonts w:ascii="Calibri Light" w:hAnsi="Calibri Light" w:cs="Calibri Light"/>
          <w:sz w:val="20"/>
          <w:szCs w:val="20"/>
          <w:lang w:val="ro-RO"/>
        </w:rPr>
        <w:t>)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, un standard de desfășurare a testelor pentru determinarea 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 xml:space="preserve">gradului de reziliență cibernetică 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elaborat de </w:t>
      </w:r>
      <w:r w:rsidR="00FB7FB4" w:rsidRPr="00967BA9">
        <w:rPr>
          <w:rFonts w:ascii="Calibri Light" w:hAnsi="Calibri Light" w:cs="Calibri Light"/>
          <w:sz w:val="20"/>
          <w:szCs w:val="20"/>
          <w:lang w:val="ro-RO"/>
        </w:rPr>
        <w:t xml:space="preserve">Banca Centrală Europeană și celelalte bănci centrale din 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Uniunea Europeană. </w:t>
      </w:r>
    </w:p>
    <w:p w14:paraId="5295709A" w14:textId="1ADFD369" w:rsidR="00FB7FB4" w:rsidRDefault="007D0824" w:rsidP="00FB7FB4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hyperlink r:id="rId7" w:history="1">
        <w:r w:rsidR="00FB7FB4" w:rsidRPr="007D0824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>Cadrul TIBER-RO</w:t>
        </w:r>
      </w:hyperlink>
      <w:r w:rsidR="003C172C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3C172C" w:rsidRPr="00967BA9">
        <w:rPr>
          <w:rFonts w:ascii="Calibri Light" w:hAnsi="Calibri Light" w:cs="Calibri Light"/>
          <w:sz w:val="20"/>
          <w:szCs w:val="20"/>
          <w:lang w:val="ro-RO"/>
        </w:rPr>
        <w:t>publicat în Monitorul Oficial nr. 432/03.05.2022</w:t>
      </w:r>
      <w:r w:rsidR="003C172C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>se aplică instituțiilor financiare aflate sub supravegherea Băncii Naționale a României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>,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 care vor fi nevoite să-și testeze rezistența cibernetică la fiecare trei ani, spre deosebire de alți actori ai ecosistemului financiar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>,</w:t>
      </w:r>
      <w:r w:rsidR="00FB7FB4">
        <w:rPr>
          <w:rFonts w:ascii="Calibri Light" w:hAnsi="Calibri Light" w:cs="Calibri Light"/>
          <w:sz w:val="20"/>
          <w:szCs w:val="20"/>
          <w:lang w:val="ro-RO"/>
        </w:rPr>
        <w:t xml:space="preserve"> care nu vor avea obligativitatea aplicării acestui cadru.</w:t>
      </w:r>
    </w:p>
    <w:p w14:paraId="34F4BEA5" w14:textId="70BF3667" w:rsidR="00C26A4A" w:rsidRDefault="00ED6BB7" w:rsidP="00013405">
      <w:pPr>
        <w:jc w:val="both"/>
        <w:rPr>
          <w:rFonts w:ascii="Calibri Light" w:hAnsi="Calibri Light" w:cs="Calibri Light"/>
          <w:b/>
          <w:bCs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 xml:space="preserve">Înainte de </w:t>
      </w:r>
      <w:r w:rsidR="00922FCE">
        <w:rPr>
          <w:rFonts w:ascii="Calibri Light" w:hAnsi="Calibri Light" w:cs="Calibri Light"/>
          <w:sz w:val="20"/>
          <w:szCs w:val="20"/>
          <w:lang w:val="ro-RO"/>
        </w:rPr>
        <w:t xml:space="preserve">introducerea 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 xml:space="preserve">cadrului </w:t>
      </w:r>
      <w:r>
        <w:rPr>
          <w:rFonts w:ascii="Calibri Light" w:hAnsi="Calibri Light" w:cs="Calibri Light"/>
          <w:sz w:val="20"/>
          <w:szCs w:val="20"/>
          <w:lang w:val="ro-RO"/>
        </w:rPr>
        <w:t>TIBER-RO,</w:t>
      </w:r>
      <w:r w:rsidR="00922FC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46A46">
        <w:rPr>
          <w:rFonts w:ascii="Calibri Light" w:hAnsi="Calibri Light" w:cs="Calibri Light"/>
          <w:sz w:val="20"/>
          <w:szCs w:val="20"/>
          <w:lang w:val="ro-RO"/>
        </w:rPr>
        <w:t xml:space="preserve">testarea 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>rezistenței</w:t>
      </w:r>
      <w:r w:rsidR="00D46A46">
        <w:rPr>
          <w:rFonts w:ascii="Calibri Light" w:hAnsi="Calibri Light" w:cs="Calibri Light"/>
          <w:sz w:val="20"/>
          <w:szCs w:val="20"/>
          <w:lang w:val="ro-RO"/>
        </w:rPr>
        <w:t xml:space="preserve"> cibernetice se realiza fragmentat, prin </w:t>
      </w:r>
      <w:r w:rsidR="00644A6A">
        <w:rPr>
          <w:rFonts w:ascii="Calibri Light" w:hAnsi="Calibri Light" w:cs="Calibri Light"/>
          <w:sz w:val="20"/>
          <w:szCs w:val="20"/>
          <w:lang w:val="ro-RO"/>
        </w:rPr>
        <w:t>verificări</w:t>
      </w:r>
      <w:r w:rsidR="00D46A46">
        <w:rPr>
          <w:rFonts w:ascii="Calibri Light" w:hAnsi="Calibri Light" w:cs="Calibri Light"/>
          <w:sz w:val="20"/>
          <w:szCs w:val="20"/>
          <w:lang w:val="ro-RO"/>
        </w:rPr>
        <w:t xml:space="preserve"> izolat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>e</w:t>
      </w:r>
      <w:r w:rsidR="007E7DB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>sau</w:t>
      </w:r>
      <w:r w:rsidR="00D7662F">
        <w:rPr>
          <w:rFonts w:ascii="Calibri Light" w:hAnsi="Calibri Light" w:cs="Calibri Light"/>
          <w:sz w:val="20"/>
          <w:szCs w:val="20"/>
          <w:lang w:val="ro-RO"/>
        </w:rPr>
        <w:t xml:space="preserve"> separat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>e</w:t>
      </w:r>
      <w:r w:rsidR="00D7662F">
        <w:rPr>
          <w:rFonts w:ascii="Calibri Light" w:hAnsi="Calibri Light" w:cs="Calibri Light"/>
          <w:sz w:val="20"/>
          <w:szCs w:val="20"/>
          <w:lang w:val="ro-RO"/>
        </w:rPr>
        <w:t xml:space="preserve"> a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>supra</w:t>
      </w:r>
      <w:r w:rsidR="00D7662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46A46">
        <w:rPr>
          <w:rFonts w:ascii="Calibri Light" w:hAnsi="Calibri Light" w:cs="Calibri Light"/>
          <w:sz w:val="20"/>
          <w:szCs w:val="20"/>
          <w:lang w:val="ro-RO"/>
        </w:rPr>
        <w:t>aplicațiilor</w:t>
      </w:r>
      <w:r w:rsidR="00644A6A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25E12">
        <w:rPr>
          <w:rFonts w:ascii="Calibri Light" w:hAnsi="Calibri Light" w:cs="Calibri Light"/>
          <w:sz w:val="20"/>
          <w:szCs w:val="20"/>
          <w:lang w:val="ro-RO"/>
        </w:rPr>
        <w:t>folosite în cadrul organizațiilor</w:t>
      </w:r>
      <w:r w:rsidR="00D46A46">
        <w:rPr>
          <w:rFonts w:ascii="Calibri Light" w:hAnsi="Calibri Light" w:cs="Calibri Light"/>
          <w:sz w:val="20"/>
          <w:szCs w:val="20"/>
          <w:lang w:val="ro-RO"/>
        </w:rPr>
        <w:t>, în medii controlate</w:t>
      </w:r>
      <w:bookmarkStart w:id="0" w:name="_Hlk103096342"/>
      <w:r w:rsidR="00125E12">
        <w:rPr>
          <w:rFonts w:ascii="Calibri Light" w:hAnsi="Calibri Light" w:cs="Calibri Light"/>
          <w:sz w:val="20"/>
          <w:szCs w:val="20"/>
          <w:lang w:val="ro-RO"/>
        </w:rPr>
        <w:t xml:space="preserve">, demers care nu oferea o imagine de ansamblu a </w:t>
      </w:r>
      <w:r w:rsidR="004B6D95">
        <w:rPr>
          <w:rFonts w:ascii="Calibri Light" w:hAnsi="Calibri Light" w:cs="Calibri Light"/>
          <w:sz w:val="20"/>
          <w:szCs w:val="20"/>
          <w:lang w:val="ro-RO"/>
        </w:rPr>
        <w:t>riscurilor</w:t>
      </w:r>
      <w:r w:rsidR="005C5256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4B6D95">
        <w:rPr>
          <w:rFonts w:ascii="Calibri Light" w:hAnsi="Calibri Light" w:cs="Calibri Light"/>
          <w:sz w:val="20"/>
          <w:szCs w:val="20"/>
          <w:lang w:val="ro-RO"/>
        </w:rPr>
        <w:t xml:space="preserve">la care </w:t>
      </w:r>
      <w:r w:rsidR="008244C9">
        <w:rPr>
          <w:rFonts w:ascii="Calibri Light" w:hAnsi="Calibri Light" w:cs="Calibri Light"/>
          <w:sz w:val="20"/>
          <w:szCs w:val="20"/>
          <w:lang w:val="ro-RO"/>
        </w:rPr>
        <w:t>băncile</w:t>
      </w:r>
      <w:r w:rsidR="004B6D95">
        <w:rPr>
          <w:rFonts w:ascii="Calibri Light" w:hAnsi="Calibri Light" w:cs="Calibri Light"/>
          <w:sz w:val="20"/>
          <w:szCs w:val="20"/>
          <w:lang w:val="ro-RO"/>
        </w:rPr>
        <w:t xml:space="preserve"> erau supuse din 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 xml:space="preserve">acest </w:t>
      </w:r>
      <w:r w:rsidR="004B6D95">
        <w:rPr>
          <w:rFonts w:ascii="Calibri Light" w:hAnsi="Calibri Light" w:cs="Calibri Light"/>
          <w:sz w:val="20"/>
          <w:szCs w:val="20"/>
          <w:lang w:val="ro-RO"/>
        </w:rPr>
        <w:t>punct de vedere.</w:t>
      </w:r>
      <w:r w:rsidR="005C5256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76543266" w14:textId="673BC6A3" w:rsidR="00C26A4A" w:rsidRDefault="000C3BD5" w:rsidP="00F30903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Derularea unui test care să evidențieze capacitatea</w:t>
      </w:r>
      <w:r w:rsidR="00B576DA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 xml:space="preserve">de ansamblu a </w:t>
      </w:r>
      <w:r w:rsidR="00B576DA">
        <w:rPr>
          <w:rFonts w:ascii="Calibri Light" w:hAnsi="Calibri Light" w:cs="Calibri Light"/>
          <w:sz w:val="20"/>
          <w:szCs w:val="20"/>
          <w:lang w:val="ro-RO"/>
        </w:rPr>
        <w:t xml:space="preserve">unei organizații 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>de a se apăra de atacurile</w:t>
      </w:r>
      <w:r w:rsidR="00B576DA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 xml:space="preserve">cibernetice </w:t>
      </w:r>
      <w:r w:rsidR="00B576DA">
        <w:rPr>
          <w:rFonts w:ascii="Calibri Light" w:hAnsi="Calibri Light" w:cs="Calibri Light"/>
          <w:sz w:val="20"/>
          <w:szCs w:val="20"/>
          <w:lang w:val="ro-RO"/>
        </w:rPr>
        <w:t>este un exercițiu complex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>,</w:t>
      </w:r>
      <w:r w:rsidR="00B576DA">
        <w:rPr>
          <w:rFonts w:ascii="Calibri Light" w:hAnsi="Calibri Light" w:cs="Calibri Light"/>
          <w:sz w:val="20"/>
          <w:szCs w:val="20"/>
          <w:lang w:val="ro-RO"/>
        </w:rPr>
        <w:t xml:space="preserve"> care necesită coordonarea mai multor echipe, nu doar a celor dedicate securității cibernetice</w:t>
      </w:r>
      <w:r w:rsidR="003168F2">
        <w:rPr>
          <w:rFonts w:ascii="Calibri Light" w:hAnsi="Calibri Light" w:cs="Calibri Light"/>
          <w:sz w:val="20"/>
          <w:szCs w:val="20"/>
          <w:lang w:val="ro-RO"/>
        </w:rPr>
        <w:t xml:space="preserve">, ci și a celor de IT și management. </w:t>
      </w:r>
      <w:r w:rsidR="00C26A4A" w:rsidRPr="00C26A4A">
        <w:rPr>
          <w:rFonts w:ascii="Calibri Light" w:hAnsi="Calibri Light" w:cs="Calibri Light"/>
          <w:sz w:val="20"/>
          <w:szCs w:val="20"/>
          <w:lang w:val="ro-RO"/>
        </w:rPr>
        <w:t xml:space="preserve">În contextul </w:t>
      </w:r>
      <w:r w:rsidR="002E3681">
        <w:rPr>
          <w:rFonts w:ascii="Calibri Light" w:hAnsi="Calibri Light" w:cs="Calibri Light"/>
          <w:sz w:val="20"/>
          <w:szCs w:val="20"/>
          <w:lang w:val="ro-RO"/>
        </w:rPr>
        <w:t xml:space="preserve">implementării TIBER-RO, membrii consiliilor de administrație, directorii </w:t>
      </w:r>
      <w:r w:rsidR="00E70F3A">
        <w:rPr>
          <w:rFonts w:ascii="Calibri Light" w:hAnsi="Calibri Light" w:cs="Calibri Light"/>
          <w:sz w:val="20"/>
          <w:szCs w:val="20"/>
          <w:lang w:val="ro-RO"/>
        </w:rPr>
        <w:t xml:space="preserve">și </w:t>
      </w:r>
      <w:r w:rsidR="002E3681">
        <w:rPr>
          <w:rFonts w:ascii="Calibri Light" w:hAnsi="Calibri Light" w:cs="Calibri Light"/>
          <w:sz w:val="20"/>
          <w:szCs w:val="20"/>
          <w:lang w:val="ro-RO"/>
        </w:rPr>
        <w:t>responsabilii în domeniul cibernetic sau IT</w:t>
      </w:r>
      <w:r w:rsidR="00B576DA">
        <w:rPr>
          <w:rFonts w:ascii="Calibri Light" w:hAnsi="Calibri Light" w:cs="Calibri Light"/>
          <w:sz w:val="20"/>
          <w:szCs w:val="20"/>
          <w:lang w:val="ro-RO"/>
        </w:rPr>
        <w:t xml:space="preserve"> vor fi nevoiți să planifice din timp acest tip de exerciții, dar și să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implementeze</w:t>
      </w:r>
      <w:r w:rsidR="000B2473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 xml:space="preserve">metode </w:t>
      </w:r>
      <w:r w:rsidR="00EE3385">
        <w:rPr>
          <w:rFonts w:ascii="Calibri Light" w:hAnsi="Calibri Light" w:cs="Calibri Light"/>
          <w:sz w:val="20"/>
          <w:szCs w:val="20"/>
          <w:lang w:val="ro-RO"/>
        </w:rPr>
        <w:t>de management al riscului cibernetic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,</w:t>
      </w:r>
      <w:r w:rsidR="00EE3385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B2473">
        <w:rPr>
          <w:rFonts w:ascii="Calibri Light" w:hAnsi="Calibri Light" w:cs="Calibri Light"/>
          <w:sz w:val="20"/>
          <w:szCs w:val="20"/>
          <w:lang w:val="ro-RO"/>
        </w:rPr>
        <w:t xml:space="preserve">în vederea atingerii unui punct maxim de eficiență.  </w:t>
      </w:r>
    </w:p>
    <w:p w14:paraId="4BF05650" w14:textId="1EAA4830" w:rsidR="002F1B7C" w:rsidRDefault="00610BEB" w:rsidP="001D4DC7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8425A0">
        <w:rPr>
          <w:rFonts w:ascii="Calibri Light" w:hAnsi="Calibri Light" w:cs="Calibri Light"/>
          <w:sz w:val="20"/>
          <w:szCs w:val="20"/>
          <w:lang w:val="ro-RO"/>
        </w:rPr>
        <w:t xml:space="preserve">În primul rând, </w:t>
      </w:r>
      <w:r w:rsidR="001F59F2" w:rsidRPr="008425A0">
        <w:rPr>
          <w:rFonts w:ascii="Calibri Light" w:hAnsi="Calibri Light" w:cs="Calibri Light"/>
          <w:sz w:val="20"/>
          <w:szCs w:val="20"/>
          <w:lang w:val="ro-RO"/>
        </w:rPr>
        <w:t xml:space="preserve">organizațiile trebuie să conștientizeze faptul că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o</w:t>
      </w:r>
      <w:r w:rsidR="001F59F2" w:rsidRPr="008425A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17031" w:rsidRPr="008425A0">
        <w:rPr>
          <w:rFonts w:ascii="Calibri Light" w:hAnsi="Calibri Light" w:cs="Calibri Light"/>
          <w:sz w:val="20"/>
          <w:szCs w:val="20"/>
          <w:lang w:val="ro-RO"/>
        </w:rPr>
        <w:t>test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are conformă cu</w:t>
      </w:r>
      <w:r w:rsidR="00B17031" w:rsidRPr="008425A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F59F2" w:rsidRPr="008425A0">
        <w:rPr>
          <w:rFonts w:ascii="Calibri Light" w:hAnsi="Calibri Light" w:cs="Calibri Light"/>
          <w:sz w:val="20"/>
          <w:szCs w:val="20"/>
          <w:lang w:val="ro-RO"/>
        </w:rPr>
        <w:t>cadrul TIBER-RO va evidenția atât plusurile, cât și minusurile practicilor de securitate cibernetică pe care le au implementate. De această dată</w:t>
      </w:r>
      <w:r w:rsidR="008D4E93">
        <w:rPr>
          <w:rFonts w:ascii="Calibri Light" w:hAnsi="Calibri Light" w:cs="Calibri Light"/>
          <w:sz w:val="20"/>
          <w:szCs w:val="20"/>
          <w:lang w:val="ro-RO"/>
        </w:rPr>
        <w:t>,</w:t>
      </w:r>
      <w:r w:rsidR="001F59F2" w:rsidRPr="008425A0">
        <w:rPr>
          <w:rFonts w:ascii="Calibri Light" w:hAnsi="Calibri Light" w:cs="Calibri Light"/>
          <w:sz w:val="20"/>
          <w:szCs w:val="20"/>
          <w:lang w:val="ro-RO"/>
        </w:rPr>
        <w:t xml:space="preserve"> companiile vor fi nevoite să facă față unui atac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 xml:space="preserve">care are loc în condiții identice cu cele ale unui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incident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F59F2" w:rsidRPr="008425A0">
        <w:rPr>
          <w:rFonts w:ascii="Calibri Light" w:hAnsi="Calibri Light" w:cs="Calibri Light"/>
          <w:sz w:val="20"/>
          <w:szCs w:val="20"/>
          <w:lang w:val="ro-RO"/>
        </w:rPr>
        <w:t xml:space="preserve">real,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 xml:space="preserve">neanunțat, </w:t>
      </w:r>
      <w:r w:rsidR="001F59F2" w:rsidRPr="008425A0">
        <w:rPr>
          <w:rFonts w:ascii="Calibri Light" w:hAnsi="Calibri Light" w:cs="Calibri Light"/>
          <w:sz w:val="20"/>
          <w:szCs w:val="20"/>
          <w:lang w:val="ro-RO"/>
        </w:rPr>
        <w:lastRenderedPageBreak/>
        <w:t>în mediu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l de producție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în timp real</w:t>
      </w:r>
      <w:r w:rsidR="008425A0" w:rsidRPr="008425A0">
        <w:rPr>
          <w:rFonts w:ascii="Calibri Light" w:hAnsi="Calibri Light" w:cs="Calibri Light"/>
          <w:sz w:val="20"/>
          <w:szCs w:val="20"/>
          <w:lang w:val="ro-RO"/>
        </w:rPr>
        <w:t xml:space="preserve">, la finalul căruia vor putea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aplica</w:t>
      </w:r>
      <w:r w:rsidR="00B17031" w:rsidRPr="008425A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425A0" w:rsidRPr="008425A0">
        <w:rPr>
          <w:rFonts w:ascii="Calibri Light" w:hAnsi="Calibri Light" w:cs="Calibri Light"/>
          <w:sz w:val="20"/>
          <w:szCs w:val="20"/>
          <w:lang w:val="ro-RO"/>
        </w:rPr>
        <w:t xml:space="preserve">măsurile necesare </w:t>
      </w:r>
      <w:r w:rsidR="002F1B7C" w:rsidRPr="008425A0">
        <w:rPr>
          <w:rFonts w:ascii="Calibri Light" w:hAnsi="Calibri Light" w:cs="Calibri Light"/>
          <w:sz w:val="20"/>
          <w:szCs w:val="20"/>
          <w:lang w:val="ro-RO"/>
        </w:rPr>
        <w:t>pentru a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-și</w:t>
      </w:r>
      <w:r w:rsidR="002F1B7C" w:rsidRPr="008425A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17031">
        <w:rPr>
          <w:rFonts w:ascii="Calibri Light" w:hAnsi="Calibri Light" w:cs="Calibri Light"/>
          <w:sz w:val="20"/>
          <w:szCs w:val="20"/>
          <w:lang w:val="ro-RO"/>
        </w:rPr>
        <w:t>îmbunătăți</w:t>
      </w:r>
      <w:r w:rsidR="00B17031" w:rsidRPr="008425A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F1B7C" w:rsidRPr="008425A0">
        <w:rPr>
          <w:rFonts w:ascii="Calibri Light" w:hAnsi="Calibri Light" w:cs="Calibri Light"/>
          <w:sz w:val="20"/>
          <w:szCs w:val="20"/>
          <w:lang w:val="ro-RO"/>
        </w:rPr>
        <w:t xml:space="preserve">nivelul </w:t>
      </w:r>
      <w:r w:rsidR="008425A0" w:rsidRPr="008425A0">
        <w:rPr>
          <w:rFonts w:ascii="Calibri Light" w:hAnsi="Calibri Light" w:cs="Calibri Light"/>
          <w:sz w:val="20"/>
          <w:szCs w:val="20"/>
          <w:lang w:val="ro-RO"/>
        </w:rPr>
        <w:t>de securitate cibernetică</w:t>
      </w:r>
      <w:r w:rsidR="001D4DC7" w:rsidRPr="008425A0">
        <w:rPr>
          <w:rFonts w:ascii="Calibri Light" w:hAnsi="Calibri Light" w:cs="Calibri Light"/>
          <w:sz w:val="20"/>
          <w:szCs w:val="20"/>
          <w:lang w:val="ro-RO"/>
        </w:rPr>
        <w:t>.</w:t>
      </w:r>
      <w:r w:rsidR="001D4DC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1D58720D" w14:textId="24E369EC" w:rsidR="008D4E93" w:rsidRPr="00F5746A" w:rsidRDefault="00A0008A" w:rsidP="001D4DC7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Din punct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ul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de vedere al infrastructurii, aplicarea unui test TIBER-RO</w:t>
      </w:r>
      <w:r w:rsidR="00C02CEE">
        <w:rPr>
          <w:rFonts w:ascii="Calibri Light" w:hAnsi="Calibri Light" w:cs="Calibri Light"/>
          <w:sz w:val="20"/>
          <w:szCs w:val="20"/>
          <w:lang w:val="ro-RO"/>
        </w:rPr>
        <w:t xml:space="preserve"> poate </w:t>
      </w:r>
      <w:r w:rsidR="008244C9">
        <w:rPr>
          <w:rFonts w:ascii="Calibri Light" w:hAnsi="Calibri Light" w:cs="Calibri Light"/>
          <w:sz w:val="20"/>
          <w:szCs w:val="20"/>
          <w:lang w:val="ro-RO"/>
        </w:rPr>
        <w:t>avea un impact semnificativ asupra unei organizații</w:t>
      </w:r>
      <w:r w:rsidR="00831FC6">
        <w:rPr>
          <w:rFonts w:ascii="Calibri Light" w:hAnsi="Calibri Light" w:cs="Calibri Light"/>
          <w:sz w:val="20"/>
          <w:szCs w:val="20"/>
          <w:lang w:val="ro-RO"/>
        </w:rPr>
        <w:t>, de la transformări asupra culturii organizaționale</w:t>
      </w:r>
      <w:r w:rsidR="00010CCF">
        <w:rPr>
          <w:rFonts w:ascii="Calibri Light" w:hAnsi="Calibri Light" w:cs="Calibri Light"/>
          <w:sz w:val="20"/>
          <w:szCs w:val="20"/>
          <w:lang w:val="ro-RO"/>
        </w:rPr>
        <w:t>,</w:t>
      </w:r>
      <w:r w:rsidR="00831FC6">
        <w:rPr>
          <w:rFonts w:ascii="Calibri Light" w:hAnsi="Calibri Light" w:cs="Calibri Light"/>
          <w:sz w:val="20"/>
          <w:szCs w:val="20"/>
          <w:lang w:val="ro-RO"/>
        </w:rPr>
        <w:t xml:space="preserve"> până la procesele companiei sau chiar capital</w:t>
      </w:r>
      <w:r w:rsidR="00010CCF">
        <w:rPr>
          <w:rFonts w:ascii="Calibri Light" w:hAnsi="Calibri Light" w:cs="Calibri Light"/>
          <w:sz w:val="20"/>
          <w:szCs w:val="20"/>
          <w:lang w:val="ro-RO"/>
        </w:rPr>
        <w:t>ul</w:t>
      </w:r>
      <w:r w:rsidR="00831FC6">
        <w:rPr>
          <w:rFonts w:ascii="Calibri Light" w:hAnsi="Calibri Light" w:cs="Calibri Light"/>
          <w:sz w:val="20"/>
          <w:szCs w:val="20"/>
          <w:lang w:val="ro-RO"/>
        </w:rPr>
        <w:t xml:space="preserve"> uman. În funcție de rezultatul </w:t>
      </w:r>
      <w:r w:rsidR="000C3BD5">
        <w:rPr>
          <w:rFonts w:ascii="Calibri Light" w:hAnsi="Calibri Light" w:cs="Calibri Light"/>
          <w:sz w:val="20"/>
          <w:szCs w:val="20"/>
          <w:lang w:val="ro-RO"/>
        </w:rPr>
        <w:t>test</w:t>
      </w:r>
      <w:r w:rsidR="00831FC6">
        <w:rPr>
          <w:rFonts w:ascii="Calibri Light" w:hAnsi="Calibri Light" w:cs="Calibri Light"/>
          <w:sz w:val="20"/>
          <w:szCs w:val="20"/>
          <w:lang w:val="ro-RO"/>
        </w:rPr>
        <w:t>ului,</w:t>
      </w:r>
      <w:r w:rsidR="000C3BD5">
        <w:rPr>
          <w:rFonts w:ascii="Calibri Light" w:hAnsi="Calibri Light" w:cs="Calibri Light"/>
          <w:sz w:val="20"/>
          <w:szCs w:val="20"/>
          <w:lang w:val="ro-RO"/>
        </w:rPr>
        <w:t xml:space="preserve"> companiile vor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lua</w:t>
      </w:r>
      <w:r w:rsidR="00870CFF">
        <w:rPr>
          <w:rFonts w:ascii="Calibri Light" w:hAnsi="Calibri Light" w:cs="Calibri Light"/>
          <w:sz w:val="20"/>
          <w:szCs w:val="20"/>
          <w:lang w:val="ro-RO"/>
        </w:rPr>
        <w:t xml:space="preserve"> în considerare o serie de </w:t>
      </w:r>
      <w:r w:rsidR="00831FC6">
        <w:rPr>
          <w:rFonts w:ascii="Calibri Light" w:hAnsi="Calibri Light" w:cs="Calibri Light"/>
          <w:sz w:val="20"/>
          <w:szCs w:val="20"/>
          <w:lang w:val="ro-RO"/>
        </w:rPr>
        <w:t xml:space="preserve">măsuri care presupun </w:t>
      </w:r>
      <w:r w:rsidR="00C02CEE" w:rsidRPr="00EE5B89">
        <w:rPr>
          <w:rFonts w:ascii="Calibri Light" w:hAnsi="Calibri Light" w:cs="Calibri Light"/>
          <w:sz w:val="20"/>
          <w:szCs w:val="20"/>
          <w:lang w:val="ro-RO"/>
        </w:rPr>
        <w:t xml:space="preserve">investiții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 xml:space="preserve">pentru </w:t>
      </w:r>
      <w:r w:rsidR="00C02CEE">
        <w:rPr>
          <w:rFonts w:ascii="Calibri Light" w:hAnsi="Calibri Light" w:cs="Calibri Light"/>
          <w:sz w:val="20"/>
          <w:szCs w:val="20"/>
          <w:lang w:val="ro-RO"/>
        </w:rPr>
        <w:t>actualizarea</w:t>
      </w:r>
      <w:r w:rsidR="00C02CEE" w:rsidRPr="00EE5B89">
        <w:rPr>
          <w:rFonts w:ascii="Calibri Light" w:hAnsi="Calibri Light" w:cs="Calibri Light"/>
          <w:sz w:val="20"/>
          <w:szCs w:val="20"/>
          <w:lang w:val="ro-RO"/>
        </w:rPr>
        <w:t xml:space="preserve"> sistemel</w:t>
      </w:r>
      <w:r w:rsidR="00C02CEE">
        <w:rPr>
          <w:rFonts w:ascii="Calibri Light" w:hAnsi="Calibri Light" w:cs="Calibri Light"/>
          <w:sz w:val="20"/>
          <w:szCs w:val="20"/>
          <w:lang w:val="ro-RO"/>
        </w:rPr>
        <w:t>or</w:t>
      </w:r>
      <w:r w:rsidR="00C02CEE" w:rsidRPr="00EE5B89">
        <w:rPr>
          <w:rFonts w:ascii="Calibri Light" w:hAnsi="Calibri Light" w:cs="Calibri Light"/>
          <w:sz w:val="20"/>
          <w:szCs w:val="20"/>
          <w:lang w:val="ro-RO"/>
        </w:rPr>
        <w:t xml:space="preserve"> informatice, </w:t>
      </w:r>
      <w:r w:rsidR="00C02CEE">
        <w:rPr>
          <w:rFonts w:ascii="Calibri Light" w:hAnsi="Calibri Light" w:cs="Calibri Light"/>
          <w:sz w:val="20"/>
          <w:szCs w:val="20"/>
          <w:lang w:val="ro-RO"/>
        </w:rPr>
        <w:t>instruirea specialiștilor în securitate cibernetică</w:t>
      </w:r>
      <w:r w:rsidR="00870CF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0CFF" w:rsidRPr="00F5746A">
        <w:rPr>
          <w:rFonts w:ascii="Calibri Light" w:hAnsi="Calibri Light" w:cs="Calibri Light"/>
          <w:sz w:val="20"/>
          <w:szCs w:val="20"/>
          <w:lang w:val="ro-RO"/>
        </w:rPr>
        <w:t>sau chiar</w:t>
      </w:r>
      <w:r w:rsidR="00C02CEE" w:rsidRPr="00F5746A">
        <w:rPr>
          <w:rFonts w:ascii="Calibri Light" w:hAnsi="Calibri Light" w:cs="Calibri Light"/>
          <w:sz w:val="20"/>
          <w:szCs w:val="20"/>
          <w:lang w:val="ro-RO"/>
        </w:rPr>
        <w:t xml:space="preserve"> pregătirea unor campanii de conștientizare </w:t>
      </w:r>
      <w:r w:rsidR="008D4E93" w:rsidRPr="00F5746A">
        <w:rPr>
          <w:rFonts w:ascii="Calibri Light" w:hAnsi="Calibri Light" w:cs="Calibri Light"/>
          <w:sz w:val="20"/>
          <w:szCs w:val="20"/>
          <w:lang w:val="ro-RO"/>
        </w:rPr>
        <w:t>în rândul angajaților privind</w:t>
      </w:r>
      <w:r w:rsidR="00C02CEE" w:rsidRPr="00F5746A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D4E93" w:rsidRPr="00F5746A">
        <w:rPr>
          <w:rFonts w:ascii="Calibri Light" w:hAnsi="Calibri Light" w:cs="Calibri Light"/>
          <w:sz w:val="20"/>
          <w:szCs w:val="20"/>
          <w:lang w:val="ro-RO"/>
        </w:rPr>
        <w:t>amenințările</w:t>
      </w:r>
      <w:r w:rsidR="00C02CEE" w:rsidRPr="00F5746A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870CFF" w:rsidRPr="00F5746A">
        <w:rPr>
          <w:rFonts w:ascii="Calibri Light" w:hAnsi="Calibri Light" w:cs="Calibri Light"/>
          <w:sz w:val="20"/>
          <w:szCs w:val="20"/>
          <w:lang w:val="ro-RO"/>
        </w:rPr>
        <w:t>din</w:t>
      </w:r>
      <w:r w:rsidR="00C02CEE" w:rsidRPr="00F5746A">
        <w:rPr>
          <w:rFonts w:ascii="Calibri Light" w:hAnsi="Calibri Light" w:cs="Calibri Light"/>
          <w:sz w:val="20"/>
          <w:szCs w:val="20"/>
          <w:lang w:val="ro-RO"/>
        </w:rPr>
        <w:t xml:space="preserve"> spațiul virtual</w:t>
      </w:r>
      <w:r w:rsidR="008D4E93" w:rsidRPr="00F5746A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7A8990F5" w14:textId="71B8E117" w:rsidR="00F5746A" w:rsidRPr="00D5436F" w:rsidRDefault="00F5746A" w:rsidP="00470378">
      <w:pPr>
        <w:jc w:val="both"/>
        <w:rPr>
          <w:rFonts w:ascii="Calibri Light" w:hAnsi="Calibri Light" w:cs="Calibri Light"/>
          <w:i/>
          <w:iCs/>
          <w:sz w:val="20"/>
          <w:szCs w:val="20"/>
          <w:lang w:val="ro-RO"/>
        </w:rPr>
      </w:pPr>
      <w:r w:rsidRPr="00F5746A">
        <w:rPr>
          <w:rFonts w:ascii="Calibri Light" w:hAnsi="Calibri Light" w:cs="Calibri Light"/>
          <w:sz w:val="20"/>
          <w:szCs w:val="20"/>
          <w:lang w:val="ro-RO"/>
        </w:rPr>
        <w:t xml:space="preserve">O altă provocare privind implementarea cadrului TIBER-RO o reprezintă și componența echipelor interne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de</w:t>
      </w:r>
      <w:r w:rsidRPr="00F5746A">
        <w:rPr>
          <w:rFonts w:ascii="Calibri Light" w:hAnsi="Calibri Light" w:cs="Calibri Light"/>
          <w:sz w:val="20"/>
          <w:szCs w:val="20"/>
          <w:lang w:val="ro-RO"/>
        </w:rPr>
        <w:t xml:space="preserve"> specialiști în securitate cibernetică.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 xml:space="preserve">Securitatea cibernetică este un domeniu care </w:t>
      </w:r>
      <w:r w:rsidR="00922E16">
        <w:rPr>
          <w:rFonts w:ascii="Calibri Light" w:hAnsi="Calibri Light" w:cs="Calibri Light"/>
          <w:sz w:val="20"/>
          <w:szCs w:val="20"/>
          <w:lang w:val="ro-RO"/>
        </w:rPr>
        <w:t xml:space="preserve">se confruntă cu un deficit de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experți</w:t>
      </w:r>
      <w:r w:rsidR="00764309">
        <w:rPr>
          <w:rFonts w:ascii="Calibri Light" w:hAnsi="Calibri Light" w:cs="Calibri Light"/>
          <w:sz w:val="20"/>
          <w:szCs w:val="20"/>
          <w:lang w:val="ro-RO"/>
        </w:rPr>
        <w:t>.</w:t>
      </w:r>
      <w:r w:rsidR="00922E16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764309">
        <w:rPr>
          <w:rFonts w:ascii="Calibri Light" w:hAnsi="Calibri Light" w:cs="Calibri Light"/>
          <w:sz w:val="20"/>
          <w:szCs w:val="20"/>
          <w:lang w:val="ro-RO"/>
        </w:rPr>
        <w:t>D</w:t>
      </w:r>
      <w:r w:rsidR="00922E16">
        <w:rPr>
          <w:rFonts w:ascii="Calibri Light" w:hAnsi="Calibri Light" w:cs="Calibri Light"/>
          <w:sz w:val="20"/>
          <w:szCs w:val="20"/>
          <w:lang w:val="ro-RO"/>
        </w:rPr>
        <w:t xml:space="preserve">eși numărul </w:t>
      </w:r>
      <w:r w:rsidR="00764309">
        <w:rPr>
          <w:rFonts w:ascii="Calibri Light" w:hAnsi="Calibri Light" w:cs="Calibri Light"/>
          <w:sz w:val="20"/>
          <w:szCs w:val="20"/>
          <w:lang w:val="ro-RO"/>
        </w:rPr>
        <w:t>lor</w:t>
      </w:r>
      <w:r w:rsidR="00922E16">
        <w:rPr>
          <w:rFonts w:ascii="Calibri Light" w:hAnsi="Calibri Light" w:cs="Calibri Light"/>
          <w:sz w:val="20"/>
          <w:szCs w:val="20"/>
          <w:lang w:val="ro-RO"/>
        </w:rPr>
        <w:t xml:space="preserve"> a crescut în ultima perioadă,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 xml:space="preserve">avansul </w:t>
      </w:r>
      <w:r w:rsidR="008244C9">
        <w:rPr>
          <w:rFonts w:ascii="Calibri Light" w:hAnsi="Calibri Light" w:cs="Calibri Light"/>
          <w:sz w:val="20"/>
          <w:szCs w:val="20"/>
          <w:lang w:val="ro-RO"/>
        </w:rPr>
        <w:t>înregistrat</w:t>
      </w:r>
      <w:r w:rsidR="00764309">
        <w:rPr>
          <w:rFonts w:ascii="Calibri Light" w:hAnsi="Calibri Light" w:cs="Calibri Light"/>
          <w:sz w:val="20"/>
          <w:szCs w:val="20"/>
          <w:lang w:val="ro-RO"/>
        </w:rPr>
        <w:t xml:space="preserve"> nu este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suficient</w:t>
      </w:r>
      <w:r w:rsidR="00922E16">
        <w:rPr>
          <w:rFonts w:ascii="Calibri Light" w:hAnsi="Calibri Light" w:cs="Calibri Light"/>
          <w:sz w:val="20"/>
          <w:szCs w:val="20"/>
          <w:lang w:val="ro-RO"/>
        </w:rPr>
        <w:t xml:space="preserve"> pentru </w:t>
      </w:r>
      <w:r w:rsidR="00764309">
        <w:rPr>
          <w:rFonts w:ascii="Calibri Light" w:hAnsi="Calibri Light" w:cs="Calibri Light"/>
          <w:sz w:val="20"/>
          <w:szCs w:val="20"/>
          <w:lang w:val="ro-RO"/>
        </w:rPr>
        <w:t xml:space="preserve">a răspunde nevoilor din piață. </w:t>
      </w:r>
      <w:r w:rsidR="00D5436F" w:rsidRPr="004D796F">
        <w:rPr>
          <w:rFonts w:ascii="Calibri Light" w:hAnsi="Calibri Light" w:cs="Calibri Light"/>
          <w:sz w:val="20"/>
          <w:szCs w:val="20"/>
          <w:lang w:val="ro-RO"/>
        </w:rPr>
        <w:t>Pentru derularea unui exercițiu care stabilește nivelul de rezistență cibernetică a unei organizații, aceasta trebuie să ia în considerarea formarea sau consolidarea echipelor interne de securitate cibernetic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ă</w:t>
      </w:r>
      <w:r w:rsidR="00D5436F" w:rsidRPr="004D796F">
        <w:rPr>
          <w:rFonts w:ascii="Calibri Light" w:hAnsi="Calibri Light" w:cs="Calibri Light"/>
          <w:sz w:val="20"/>
          <w:szCs w:val="20"/>
          <w:lang w:val="ro-RO"/>
        </w:rPr>
        <w:t>.</w:t>
      </w:r>
      <w:r w:rsidR="00D5436F" w:rsidRPr="00D5436F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</w:p>
    <w:p w14:paraId="342B1B54" w14:textId="4638105B" w:rsidR="00D5436F" w:rsidRPr="00D5436F" w:rsidRDefault="002F1B7C" w:rsidP="00D5436F">
      <w:pPr>
        <w:tabs>
          <w:tab w:val="left" w:pos="6030"/>
        </w:tabs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5340BF">
        <w:rPr>
          <w:rFonts w:ascii="Calibri Light" w:hAnsi="Calibri Light" w:cs="Calibri Light"/>
          <w:sz w:val="20"/>
          <w:szCs w:val="20"/>
          <w:lang w:val="ro-RO"/>
        </w:rPr>
        <w:t xml:space="preserve">Procesul de testare </w:t>
      </w:r>
      <w:r w:rsidR="005340BF" w:rsidRPr="005340BF">
        <w:rPr>
          <w:rFonts w:ascii="Calibri Light" w:hAnsi="Calibri Light" w:cs="Calibri Light"/>
          <w:sz w:val="20"/>
          <w:szCs w:val="20"/>
          <w:lang w:val="ro-RO"/>
        </w:rPr>
        <w:t xml:space="preserve">în urma căruia este stabilit nivelul de eficiență a practicilor de management al riscului cibernetic din cadrul unei organizații </w:t>
      </w:r>
      <w:r w:rsidR="00706B85" w:rsidRPr="005340BF">
        <w:rPr>
          <w:rFonts w:ascii="Calibri Light" w:hAnsi="Calibri Light" w:cs="Calibri Light"/>
          <w:sz w:val="20"/>
          <w:szCs w:val="20"/>
          <w:lang w:val="ro-RO"/>
        </w:rPr>
        <w:t xml:space="preserve">trebuie să fie unul </w:t>
      </w:r>
      <w:r w:rsidRPr="005340BF">
        <w:rPr>
          <w:rFonts w:ascii="Calibri Light" w:hAnsi="Calibri Light" w:cs="Calibri Light"/>
          <w:sz w:val="20"/>
          <w:szCs w:val="20"/>
          <w:lang w:val="ro-RO"/>
        </w:rPr>
        <w:t>continuu</w:t>
      </w:r>
      <w:r w:rsidR="005340BF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Pr="005340BF">
        <w:rPr>
          <w:rFonts w:ascii="Calibri Light" w:hAnsi="Calibri Light" w:cs="Calibri Light"/>
          <w:sz w:val="20"/>
          <w:szCs w:val="20"/>
          <w:lang w:val="ro-RO"/>
        </w:rPr>
        <w:t>iar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,</w:t>
      </w:r>
      <w:r w:rsidRPr="005340B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340BF">
        <w:rPr>
          <w:rFonts w:ascii="Calibri Light" w:hAnsi="Calibri Light" w:cs="Calibri Light"/>
          <w:sz w:val="20"/>
          <w:szCs w:val="20"/>
          <w:lang w:val="ro-RO"/>
        </w:rPr>
        <w:t xml:space="preserve">pentru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îmbunătățirea sa</w:t>
      </w:r>
      <w:r w:rsidR="00010CCF">
        <w:rPr>
          <w:rFonts w:ascii="Calibri Light" w:hAnsi="Calibri Light" w:cs="Calibri Light"/>
          <w:sz w:val="20"/>
          <w:szCs w:val="20"/>
          <w:lang w:val="ro-RO"/>
        </w:rPr>
        <w:t>,</w:t>
      </w:r>
      <w:r w:rsidR="005340BF">
        <w:rPr>
          <w:rFonts w:ascii="Calibri Light" w:hAnsi="Calibri Light" w:cs="Calibri Light"/>
          <w:sz w:val="20"/>
          <w:szCs w:val="20"/>
          <w:lang w:val="ro-RO"/>
        </w:rPr>
        <w:t xml:space="preserve"> companiile trebuie să ia în considerare o serie de acțiuni care ar putea avea un impact direct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 xml:space="preserve">semnificativ </w:t>
      </w:r>
      <w:r w:rsidR="005340BF">
        <w:rPr>
          <w:rFonts w:ascii="Calibri Light" w:hAnsi="Calibri Light" w:cs="Calibri Light"/>
          <w:sz w:val="20"/>
          <w:szCs w:val="20"/>
          <w:lang w:val="ro-RO"/>
        </w:rPr>
        <w:t xml:space="preserve">asupra 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 xml:space="preserve">întregii </w:t>
      </w:r>
      <w:r w:rsidR="005340BF">
        <w:rPr>
          <w:rFonts w:ascii="Calibri Light" w:hAnsi="Calibri Light" w:cs="Calibri Light"/>
          <w:sz w:val="20"/>
          <w:szCs w:val="20"/>
          <w:lang w:val="ro-RO"/>
        </w:rPr>
        <w:t>organizați</w:t>
      </w:r>
      <w:r w:rsidR="00673FBB">
        <w:rPr>
          <w:rFonts w:ascii="Calibri Light" w:hAnsi="Calibri Light" w:cs="Calibri Light"/>
          <w:sz w:val="20"/>
          <w:szCs w:val="20"/>
          <w:lang w:val="ro-RO"/>
        </w:rPr>
        <w:t>i</w:t>
      </w:r>
      <w:r w:rsidR="005340BF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 xml:space="preserve">Activitățile efectuate 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î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>n cadrul unui exercițiu bazat pe TIBER-RO trebuie executate de către echipe ai căror membri au atât certificările necesare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,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cât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ș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>i experienț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ă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5436F">
        <w:rPr>
          <w:rFonts w:ascii="Calibri Light" w:hAnsi="Calibri Light" w:cs="Calibri Light"/>
          <w:sz w:val="20"/>
          <w:szCs w:val="20"/>
          <w:lang w:val="ro-RO"/>
        </w:rPr>
        <w:t>î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>n domeniul securității cibernetice conform cerințelor din regulamentul BNR.</w:t>
      </w:r>
      <w:r w:rsidR="00A92D31">
        <w:rPr>
          <w:rFonts w:ascii="Calibri Light" w:hAnsi="Calibri Light" w:cs="Calibri Light"/>
          <w:sz w:val="20"/>
          <w:szCs w:val="20"/>
          <w:lang w:val="ro-RO"/>
        </w:rPr>
        <w:t xml:space="preserve"> În plus, e</w:t>
      </w:r>
      <w:r w:rsidR="00D5436F" w:rsidRPr="00D5436F">
        <w:rPr>
          <w:rFonts w:ascii="Calibri Light" w:hAnsi="Calibri Light" w:cs="Calibri Light"/>
          <w:sz w:val="20"/>
          <w:szCs w:val="20"/>
          <w:lang w:val="ro-RO"/>
        </w:rPr>
        <w:t>xercițiile se desfășoară pe parcursul mai multor luni, aspect care necesită o planificare detaliată și o supraveghere constantă a fiecărei etape.</w:t>
      </w:r>
    </w:p>
    <w:p w14:paraId="691FFE7C" w14:textId="564C1553" w:rsidR="002F1B7C" w:rsidRPr="005A490B" w:rsidRDefault="002F1B7C" w:rsidP="005A490B">
      <w:pPr>
        <w:tabs>
          <w:tab w:val="left" w:pos="6030"/>
        </w:tabs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bookmarkEnd w:id="0"/>
    <w:p w14:paraId="4B743221" w14:textId="77777777" w:rsidR="000C0E78" w:rsidRPr="0096518E" w:rsidRDefault="000C0E78" w:rsidP="002123E7">
      <w:pPr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FAA1FF7" w14:textId="77777777" w:rsidR="0032089B" w:rsidRPr="002123E7" w:rsidRDefault="0032089B" w:rsidP="002123E7">
      <w:pPr>
        <w:jc w:val="both"/>
        <w:rPr>
          <w:rFonts w:ascii="Calibri Light" w:hAnsi="Calibri Light" w:cs="Calibri Light"/>
          <w:sz w:val="20"/>
          <w:szCs w:val="20"/>
        </w:rPr>
      </w:pPr>
    </w:p>
    <w:p w14:paraId="5D1C2F91" w14:textId="77777777" w:rsidR="0032089B" w:rsidRDefault="0032089B" w:rsidP="002123E7">
      <w:pPr>
        <w:ind w:left="720" w:hanging="36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00C1FFDD" w14:textId="77777777" w:rsidR="00EE5B89" w:rsidRPr="00EE5B89" w:rsidRDefault="00EE5B89" w:rsidP="002123E7">
      <w:pPr>
        <w:ind w:left="720" w:hanging="360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sectPr w:rsidR="00EE5B89" w:rsidRPr="00EE5B89" w:rsidSect="00BB0B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982F" w14:textId="77777777" w:rsidR="00530069" w:rsidRDefault="00530069" w:rsidP="00BD72A0">
      <w:pPr>
        <w:spacing w:after="0" w:line="240" w:lineRule="auto"/>
      </w:pPr>
      <w:r>
        <w:separator/>
      </w:r>
    </w:p>
  </w:endnote>
  <w:endnote w:type="continuationSeparator" w:id="0">
    <w:p w14:paraId="21EFD80E" w14:textId="77777777" w:rsidR="00530069" w:rsidRDefault="00530069" w:rsidP="00BD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253D" w14:textId="77777777" w:rsidR="00530069" w:rsidRDefault="00530069" w:rsidP="00BD72A0">
      <w:pPr>
        <w:spacing w:after="0" w:line="240" w:lineRule="auto"/>
      </w:pPr>
      <w:r>
        <w:separator/>
      </w:r>
    </w:p>
  </w:footnote>
  <w:footnote w:type="continuationSeparator" w:id="0">
    <w:p w14:paraId="52109BD6" w14:textId="77777777" w:rsidR="00530069" w:rsidRDefault="00530069" w:rsidP="00BD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765" w14:textId="4B8EA83B" w:rsidR="00EE5B89" w:rsidRDefault="007D0824" w:rsidP="007D082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5D9C28" wp14:editId="6879D352">
          <wp:simplePos x="0" y="0"/>
          <wp:positionH relativeFrom="column">
            <wp:posOffset>0</wp:posOffset>
          </wp:positionH>
          <wp:positionV relativeFrom="paragraph">
            <wp:posOffset>393636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A68768" wp14:editId="28BB72F4">
          <wp:extent cx="2221232" cy="1663700"/>
          <wp:effectExtent l="0" t="0" r="762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570" cy="1681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6C87"/>
    <w:multiLevelType w:val="hybridMultilevel"/>
    <w:tmpl w:val="3B4663E6"/>
    <w:lvl w:ilvl="0" w:tplc="6D2A54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0E1"/>
    <w:multiLevelType w:val="hybridMultilevel"/>
    <w:tmpl w:val="25C6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10DA1"/>
    <w:multiLevelType w:val="hybridMultilevel"/>
    <w:tmpl w:val="26A84FD6"/>
    <w:lvl w:ilvl="0" w:tplc="C92C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4882"/>
    <w:multiLevelType w:val="hybridMultilevel"/>
    <w:tmpl w:val="E1C61FF2"/>
    <w:lvl w:ilvl="0" w:tplc="14DA5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11803">
    <w:abstractNumId w:val="2"/>
  </w:num>
  <w:num w:numId="2" w16cid:durableId="1688411722">
    <w:abstractNumId w:val="1"/>
  </w:num>
  <w:num w:numId="3" w16cid:durableId="432940855">
    <w:abstractNumId w:val="3"/>
  </w:num>
  <w:num w:numId="4" w16cid:durableId="129421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0"/>
    <w:rsid w:val="00010CCF"/>
    <w:rsid w:val="00013405"/>
    <w:rsid w:val="00043B6D"/>
    <w:rsid w:val="00064389"/>
    <w:rsid w:val="000A10C2"/>
    <w:rsid w:val="000A1C00"/>
    <w:rsid w:val="000B2473"/>
    <w:rsid w:val="000C0E78"/>
    <w:rsid w:val="000C3BD5"/>
    <w:rsid w:val="00125E12"/>
    <w:rsid w:val="0015504F"/>
    <w:rsid w:val="00181A33"/>
    <w:rsid w:val="001A7244"/>
    <w:rsid w:val="001D4DC7"/>
    <w:rsid w:val="001F59F2"/>
    <w:rsid w:val="002005FC"/>
    <w:rsid w:val="002123E7"/>
    <w:rsid w:val="00274E58"/>
    <w:rsid w:val="002C1108"/>
    <w:rsid w:val="002C2715"/>
    <w:rsid w:val="002E3681"/>
    <w:rsid w:val="002F1B7C"/>
    <w:rsid w:val="003168F2"/>
    <w:rsid w:val="0032089B"/>
    <w:rsid w:val="00353AE0"/>
    <w:rsid w:val="00356A4E"/>
    <w:rsid w:val="003632E8"/>
    <w:rsid w:val="00375BF7"/>
    <w:rsid w:val="00380698"/>
    <w:rsid w:val="00394B1C"/>
    <w:rsid w:val="003B5872"/>
    <w:rsid w:val="003C172C"/>
    <w:rsid w:val="003E080D"/>
    <w:rsid w:val="00437486"/>
    <w:rsid w:val="00444C6E"/>
    <w:rsid w:val="00451F89"/>
    <w:rsid w:val="004578F0"/>
    <w:rsid w:val="00470378"/>
    <w:rsid w:val="004B134C"/>
    <w:rsid w:val="004B6D95"/>
    <w:rsid w:val="004D796F"/>
    <w:rsid w:val="004E47A4"/>
    <w:rsid w:val="00521385"/>
    <w:rsid w:val="00523AA8"/>
    <w:rsid w:val="00530069"/>
    <w:rsid w:val="00531409"/>
    <w:rsid w:val="005340BF"/>
    <w:rsid w:val="00566F70"/>
    <w:rsid w:val="005A490B"/>
    <w:rsid w:val="005C5256"/>
    <w:rsid w:val="00610BEB"/>
    <w:rsid w:val="00644A6A"/>
    <w:rsid w:val="00673FBB"/>
    <w:rsid w:val="006827FD"/>
    <w:rsid w:val="006A1B98"/>
    <w:rsid w:val="006B38B8"/>
    <w:rsid w:val="00706B85"/>
    <w:rsid w:val="00743119"/>
    <w:rsid w:val="00764309"/>
    <w:rsid w:val="0077030E"/>
    <w:rsid w:val="00795DDB"/>
    <w:rsid w:val="007D0824"/>
    <w:rsid w:val="007E7DBF"/>
    <w:rsid w:val="00806EFA"/>
    <w:rsid w:val="008244C9"/>
    <w:rsid w:val="00831FC6"/>
    <w:rsid w:val="00837238"/>
    <w:rsid w:val="008425A0"/>
    <w:rsid w:val="00860504"/>
    <w:rsid w:val="00870CFF"/>
    <w:rsid w:val="008755FF"/>
    <w:rsid w:val="0088088C"/>
    <w:rsid w:val="008966E7"/>
    <w:rsid w:val="008D4E93"/>
    <w:rsid w:val="00902B6C"/>
    <w:rsid w:val="009071E2"/>
    <w:rsid w:val="0092023A"/>
    <w:rsid w:val="00922E16"/>
    <w:rsid w:val="00922FCE"/>
    <w:rsid w:val="00932FC0"/>
    <w:rsid w:val="00950175"/>
    <w:rsid w:val="0096447B"/>
    <w:rsid w:val="0096518E"/>
    <w:rsid w:val="00967BA9"/>
    <w:rsid w:val="00982149"/>
    <w:rsid w:val="009874F7"/>
    <w:rsid w:val="009A14BB"/>
    <w:rsid w:val="009D3F23"/>
    <w:rsid w:val="00A0008A"/>
    <w:rsid w:val="00A02F93"/>
    <w:rsid w:val="00A92D31"/>
    <w:rsid w:val="00AB06A5"/>
    <w:rsid w:val="00B00D8A"/>
    <w:rsid w:val="00B17031"/>
    <w:rsid w:val="00B4359D"/>
    <w:rsid w:val="00B576DA"/>
    <w:rsid w:val="00BB0B29"/>
    <w:rsid w:val="00BB35B9"/>
    <w:rsid w:val="00BD5C10"/>
    <w:rsid w:val="00BD72A0"/>
    <w:rsid w:val="00C02CEE"/>
    <w:rsid w:val="00C26A4A"/>
    <w:rsid w:val="00C344C8"/>
    <w:rsid w:val="00C51DD0"/>
    <w:rsid w:val="00C72B7F"/>
    <w:rsid w:val="00D31BB0"/>
    <w:rsid w:val="00D46A46"/>
    <w:rsid w:val="00D5436F"/>
    <w:rsid w:val="00D7594A"/>
    <w:rsid w:val="00D7662F"/>
    <w:rsid w:val="00DA29C0"/>
    <w:rsid w:val="00E22E34"/>
    <w:rsid w:val="00E5169B"/>
    <w:rsid w:val="00E70F3A"/>
    <w:rsid w:val="00EA3446"/>
    <w:rsid w:val="00EB4D52"/>
    <w:rsid w:val="00ED6BB7"/>
    <w:rsid w:val="00EE3385"/>
    <w:rsid w:val="00EE5B89"/>
    <w:rsid w:val="00EF1472"/>
    <w:rsid w:val="00EF7A0E"/>
    <w:rsid w:val="00F23486"/>
    <w:rsid w:val="00F30903"/>
    <w:rsid w:val="00F5746A"/>
    <w:rsid w:val="00F61F72"/>
    <w:rsid w:val="00F94FEB"/>
    <w:rsid w:val="00FA7FAD"/>
    <w:rsid w:val="00FB55A4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31F02"/>
  <w15:chartTrackingRefBased/>
  <w15:docId w15:val="{E3827D11-C303-4B98-8215-EBAC7BB2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89"/>
  </w:style>
  <w:style w:type="paragraph" w:styleId="Footer">
    <w:name w:val="footer"/>
    <w:basedOn w:val="Normal"/>
    <w:link w:val="FooterChar"/>
    <w:uiPriority w:val="99"/>
    <w:unhideWhenUsed/>
    <w:rsid w:val="00EE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89"/>
  </w:style>
  <w:style w:type="character" w:customStyle="1" w:styleId="q4iawc">
    <w:name w:val="q4iawc"/>
    <w:basedOn w:val="DefaultParagraphFont"/>
    <w:rsid w:val="00F30903"/>
  </w:style>
  <w:style w:type="character" w:styleId="CommentReference">
    <w:name w:val="annotation reference"/>
    <w:basedOn w:val="DefaultParagraphFont"/>
    <w:uiPriority w:val="99"/>
    <w:semiHidden/>
    <w:unhideWhenUsed/>
    <w:rsid w:val="00C3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4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4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deloitte.com/ro/en/pages/risk/solutions/tiber-ro-framework.html?nc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Marcu, Cristina</dc:creator>
  <cp:keywords/>
  <dc:description/>
  <cp:lastModifiedBy>Marcu, Cristina</cp:lastModifiedBy>
  <cp:revision>4</cp:revision>
  <dcterms:created xsi:type="dcterms:W3CDTF">2022-05-26T11:47:00Z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2022-05-09T13:37:58Z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216986fb-2c5a-48d2-93f8-d119fc83e903</vt:lpwstr>
  </property>
  <property fmtid="{D5CDD505-2E9C-101B-9397-08002B2CF9AE}" pid="8" name="MSIP_Label_ea60d57e-af5b-4752-ac57-3e4f28ca11dc_ContentBits">
    <vt:lpwstr>0</vt:lpwstr>
  </property>
</Properties>
</file>