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BBBC9" w14:textId="2ADA5AE5" w:rsidR="00B70985" w:rsidRPr="00E1101C" w:rsidRDefault="002732A8" w:rsidP="001D7513">
      <w:pPr>
        <w:widowControl w:val="0"/>
        <w:spacing w:after="80" w:line="264" w:lineRule="auto"/>
        <w:jc w:val="center"/>
        <w:rPr>
          <w:rFonts w:asciiTheme="majorHAnsi" w:hAnsiTheme="majorHAnsi" w:cstheme="majorHAnsi"/>
          <w:b/>
          <w:bCs/>
          <w:sz w:val="24"/>
          <w:szCs w:val="24"/>
          <w:lang w:val="ro-RO"/>
        </w:rPr>
      </w:pPr>
      <w:r>
        <w:rPr>
          <w:rFonts w:asciiTheme="majorHAnsi" w:hAnsiTheme="majorHAnsi" w:cstheme="majorHAnsi"/>
          <w:b/>
          <w:bCs/>
          <w:sz w:val="24"/>
          <w:szCs w:val="24"/>
          <w:lang w:val="ro-RO"/>
        </w:rPr>
        <w:t xml:space="preserve">Denunțarea </w:t>
      </w:r>
      <w:r w:rsidR="00250D3F">
        <w:rPr>
          <w:rFonts w:asciiTheme="majorHAnsi" w:hAnsiTheme="majorHAnsi" w:cstheme="majorHAnsi"/>
          <w:b/>
          <w:bCs/>
          <w:sz w:val="24"/>
          <w:szCs w:val="24"/>
          <w:lang w:val="ro-RO"/>
        </w:rPr>
        <w:t>neregulilor</w:t>
      </w:r>
      <w:r w:rsidRPr="002732A8">
        <w:rPr>
          <w:rFonts w:asciiTheme="majorHAnsi" w:hAnsiTheme="majorHAnsi" w:cstheme="majorHAnsi"/>
          <w:b/>
          <w:bCs/>
          <w:sz w:val="24"/>
          <w:szCs w:val="24"/>
          <w:lang w:val="en-US"/>
        </w:rPr>
        <w:t xml:space="preserve">: </w:t>
      </w:r>
      <w:r>
        <w:rPr>
          <w:rFonts w:asciiTheme="majorHAnsi" w:hAnsiTheme="majorHAnsi" w:cstheme="majorHAnsi"/>
          <w:b/>
          <w:bCs/>
          <w:sz w:val="24"/>
          <w:szCs w:val="24"/>
          <w:lang w:val="ro-RO"/>
        </w:rPr>
        <w:t>t</w:t>
      </w:r>
      <w:r w:rsidRPr="002732A8">
        <w:rPr>
          <w:rFonts w:asciiTheme="majorHAnsi" w:hAnsiTheme="majorHAnsi" w:cstheme="majorHAnsi"/>
          <w:b/>
          <w:bCs/>
          <w:sz w:val="24"/>
          <w:szCs w:val="24"/>
          <w:lang w:val="ro-RO"/>
        </w:rPr>
        <w:t xml:space="preserve">ranspunerea directivei UE </w:t>
      </w:r>
      <w:r>
        <w:rPr>
          <w:rFonts w:asciiTheme="majorHAnsi" w:hAnsiTheme="majorHAnsi" w:cstheme="majorHAnsi"/>
          <w:b/>
          <w:bCs/>
          <w:sz w:val="24"/>
          <w:szCs w:val="24"/>
          <w:lang w:val="ro-RO"/>
        </w:rPr>
        <w:t xml:space="preserve">privind </w:t>
      </w:r>
      <w:proofErr w:type="spellStart"/>
      <w:r w:rsidRPr="00155301">
        <w:rPr>
          <w:rFonts w:asciiTheme="majorHAnsi" w:hAnsiTheme="majorHAnsi" w:cstheme="majorHAnsi"/>
          <w:b/>
          <w:bCs/>
          <w:i/>
          <w:iCs/>
          <w:sz w:val="24"/>
          <w:szCs w:val="24"/>
          <w:lang w:val="ro-RO"/>
        </w:rPr>
        <w:t>whistleblowing</w:t>
      </w:r>
      <w:r>
        <w:rPr>
          <w:rFonts w:asciiTheme="majorHAnsi" w:hAnsiTheme="majorHAnsi" w:cstheme="majorHAnsi"/>
          <w:b/>
          <w:bCs/>
          <w:sz w:val="24"/>
          <w:szCs w:val="24"/>
          <w:lang w:val="ro-RO"/>
        </w:rPr>
        <w:t>-ul</w:t>
      </w:r>
      <w:proofErr w:type="spellEnd"/>
      <w:r w:rsidRPr="002732A8">
        <w:rPr>
          <w:rFonts w:asciiTheme="majorHAnsi" w:hAnsiTheme="majorHAnsi" w:cstheme="majorHAnsi"/>
          <w:b/>
          <w:bCs/>
          <w:sz w:val="24"/>
          <w:szCs w:val="24"/>
          <w:lang w:val="ro-RO"/>
        </w:rPr>
        <w:t xml:space="preserve"> și abordarea acesteia cu privire la conduita inadecvată</w:t>
      </w:r>
    </w:p>
    <w:p w14:paraId="7B9079E8" w14:textId="77777777" w:rsidR="00E2232C" w:rsidRDefault="00E2232C" w:rsidP="001D7513">
      <w:pPr>
        <w:spacing w:after="80" w:line="264" w:lineRule="auto"/>
        <w:jc w:val="both"/>
        <w:rPr>
          <w:rFonts w:asciiTheme="majorHAnsi" w:hAnsiTheme="majorHAnsi" w:cstheme="majorHAnsi"/>
          <w:i/>
          <w:lang w:val="ro-RO"/>
        </w:rPr>
      </w:pPr>
    </w:p>
    <w:p w14:paraId="67C2B82A" w14:textId="4751565D" w:rsidR="00D472F7" w:rsidRPr="008F129A" w:rsidRDefault="00D472F7" w:rsidP="001D7513">
      <w:pPr>
        <w:spacing w:after="80" w:line="264" w:lineRule="auto"/>
        <w:jc w:val="both"/>
        <w:rPr>
          <w:rFonts w:asciiTheme="majorHAnsi" w:hAnsiTheme="majorHAnsi" w:cstheme="majorHAnsi"/>
          <w:i/>
          <w:lang w:val="ro-RO"/>
        </w:rPr>
      </w:pPr>
      <w:r>
        <w:rPr>
          <w:rFonts w:asciiTheme="majorHAnsi" w:hAnsiTheme="majorHAnsi" w:cstheme="majorHAnsi"/>
          <w:i/>
          <w:lang w:val="ro-RO"/>
        </w:rPr>
        <w:t xml:space="preserve">Material de opinie de </w:t>
      </w:r>
      <w:r w:rsidR="002732A8">
        <w:rPr>
          <w:rFonts w:asciiTheme="majorHAnsi" w:hAnsiTheme="majorHAnsi" w:cstheme="majorHAnsi"/>
          <w:i/>
        </w:rPr>
        <w:t>Burcin Atakan</w:t>
      </w:r>
      <w:r>
        <w:rPr>
          <w:rFonts w:asciiTheme="majorHAnsi" w:hAnsiTheme="majorHAnsi" w:cstheme="majorHAnsi"/>
          <w:i/>
        </w:rPr>
        <w:t xml:space="preserve">, </w:t>
      </w:r>
      <w:proofErr w:type="spellStart"/>
      <w:r w:rsidR="002732A8">
        <w:rPr>
          <w:rFonts w:asciiTheme="majorHAnsi" w:hAnsiTheme="majorHAnsi" w:cstheme="majorHAnsi"/>
          <w:i/>
        </w:rPr>
        <w:t>Partener</w:t>
      </w:r>
      <w:proofErr w:type="spellEnd"/>
      <w:r w:rsidR="002732A8">
        <w:rPr>
          <w:rFonts w:asciiTheme="majorHAnsi" w:hAnsiTheme="majorHAnsi" w:cstheme="majorHAnsi"/>
          <w:i/>
        </w:rPr>
        <w:t xml:space="preserve"> </w:t>
      </w:r>
      <w:proofErr w:type="spellStart"/>
      <w:r w:rsidR="002732A8">
        <w:rPr>
          <w:rFonts w:asciiTheme="majorHAnsi" w:hAnsiTheme="majorHAnsi" w:cstheme="majorHAnsi"/>
          <w:i/>
        </w:rPr>
        <w:t>Consultanță</w:t>
      </w:r>
      <w:proofErr w:type="spellEnd"/>
      <w:r w:rsidR="002732A8">
        <w:rPr>
          <w:rFonts w:asciiTheme="majorHAnsi" w:hAnsiTheme="majorHAnsi" w:cstheme="majorHAnsi"/>
          <w:i/>
        </w:rPr>
        <w:t xml:space="preserve"> </w:t>
      </w:r>
      <w:proofErr w:type="spellStart"/>
      <w:r w:rsidR="002732A8">
        <w:rPr>
          <w:rFonts w:asciiTheme="majorHAnsi" w:hAnsiTheme="majorHAnsi" w:cstheme="majorHAnsi"/>
          <w:i/>
        </w:rPr>
        <w:t>Financiară</w:t>
      </w:r>
      <w:proofErr w:type="spellEnd"/>
      <w:r>
        <w:rPr>
          <w:rFonts w:asciiTheme="majorHAnsi" w:hAnsiTheme="majorHAnsi" w:cstheme="majorHAnsi"/>
          <w:i/>
        </w:rPr>
        <w:t xml:space="preserve">, </w:t>
      </w:r>
      <w:r>
        <w:rPr>
          <w:rFonts w:asciiTheme="majorHAnsi" w:hAnsiTheme="majorHAnsi" w:cstheme="majorHAnsi"/>
          <w:i/>
          <w:lang w:val="ro-RO"/>
        </w:rPr>
        <w:t xml:space="preserve">și </w:t>
      </w:r>
      <w:r w:rsidR="002732A8">
        <w:rPr>
          <w:rFonts w:asciiTheme="majorHAnsi" w:hAnsiTheme="majorHAnsi" w:cstheme="majorHAnsi"/>
          <w:i/>
          <w:lang w:val="ro-RO"/>
        </w:rPr>
        <w:t>Elton Mata</w:t>
      </w:r>
      <w:r>
        <w:rPr>
          <w:rFonts w:asciiTheme="majorHAnsi" w:hAnsiTheme="majorHAnsi" w:cstheme="majorHAnsi"/>
          <w:i/>
          <w:lang w:val="ro-RO"/>
        </w:rPr>
        <w:t xml:space="preserve">, </w:t>
      </w:r>
      <w:proofErr w:type="spellStart"/>
      <w:r w:rsidR="002732A8">
        <w:rPr>
          <w:rFonts w:asciiTheme="majorHAnsi" w:hAnsiTheme="majorHAnsi" w:cstheme="majorHAnsi"/>
          <w:i/>
          <w:lang w:val="ro-RO"/>
        </w:rPr>
        <w:t>Forensic</w:t>
      </w:r>
      <w:proofErr w:type="spellEnd"/>
      <w:r w:rsidR="002732A8">
        <w:rPr>
          <w:rFonts w:asciiTheme="majorHAnsi" w:hAnsiTheme="majorHAnsi" w:cstheme="majorHAnsi"/>
          <w:i/>
          <w:lang w:val="ro-RO"/>
        </w:rPr>
        <w:t xml:space="preserve"> Senior </w:t>
      </w:r>
      <w:proofErr w:type="spellStart"/>
      <w:r>
        <w:rPr>
          <w:rFonts w:asciiTheme="majorHAnsi" w:hAnsiTheme="majorHAnsi" w:cstheme="majorHAnsi"/>
          <w:i/>
          <w:lang w:val="ro-RO"/>
        </w:rPr>
        <w:t>Associate</w:t>
      </w:r>
      <w:proofErr w:type="spellEnd"/>
      <w:r>
        <w:rPr>
          <w:rFonts w:asciiTheme="majorHAnsi" w:hAnsiTheme="majorHAnsi" w:cstheme="majorHAnsi"/>
          <w:i/>
          <w:lang w:val="ro-RO"/>
        </w:rPr>
        <w:t>,</w:t>
      </w:r>
      <w:r w:rsidRPr="008F129A">
        <w:rPr>
          <w:rFonts w:asciiTheme="majorHAnsi" w:hAnsiTheme="majorHAnsi" w:cstheme="majorHAnsi"/>
          <w:i/>
          <w:lang w:val="ro-RO"/>
        </w:rPr>
        <w:t xml:space="preserve"> </w:t>
      </w:r>
      <w:r w:rsidRPr="008F129A">
        <w:rPr>
          <w:rFonts w:asciiTheme="majorHAnsi" w:hAnsiTheme="majorHAnsi" w:cstheme="majorHAnsi"/>
          <w:i/>
        </w:rPr>
        <w:t xml:space="preserve">Deloitte </w:t>
      </w:r>
      <w:proofErr w:type="spellStart"/>
      <w:r w:rsidR="002732A8">
        <w:rPr>
          <w:rFonts w:asciiTheme="majorHAnsi" w:hAnsiTheme="majorHAnsi" w:cstheme="majorHAnsi"/>
          <w:i/>
        </w:rPr>
        <w:t>România</w:t>
      </w:r>
      <w:proofErr w:type="spellEnd"/>
    </w:p>
    <w:p w14:paraId="34200D82" w14:textId="77777777" w:rsidR="00D472F7" w:rsidRPr="004D5D2E" w:rsidRDefault="00D472F7" w:rsidP="001D7513">
      <w:pPr>
        <w:widowControl w:val="0"/>
        <w:spacing w:after="80" w:line="264" w:lineRule="auto"/>
        <w:jc w:val="both"/>
        <w:rPr>
          <w:rFonts w:asciiTheme="majorHAnsi" w:hAnsiTheme="majorHAnsi" w:cstheme="majorHAnsi"/>
          <w:lang w:val="ro-RO"/>
        </w:rPr>
      </w:pPr>
    </w:p>
    <w:p w14:paraId="4B4BA466" w14:textId="4371BD0F" w:rsidR="002732A8" w:rsidRPr="002732A8" w:rsidRDefault="002732A8" w:rsidP="002732A8">
      <w:pPr>
        <w:widowControl w:val="0"/>
        <w:spacing w:after="80" w:line="264" w:lineRule="auto"/>
        <w:jc w:val="both"/>
        <w:rPr>
          <w:rFonts w:asciiTheme="majorHAnsi" w:hAnsiTheme="majorHAnsi" w:cstheme="majorHAnsi"/>
          <w:lang w:val="ro-RO"/>
        </w:rPr>
      </w:pPr>
      <w:r>
        <w:rPr>
          <w:rFonts w:asciiTheme="majorHAnsi" w:hAnsiTheme="majorHAnsi" w:cstheme="majorHAnsi"/>
          <w:lang w:val="ro-RO"/>
        </w:rPr>
        <w:t>N</w:t>
      </w:r>
      <w:r w:rsidRPr="002732A8">
        <w:rPr>
          <w:rFonts w:asciiTheme="majorHAnsi" w:hAnsiTheme="majorHAnsi" w:cstheme="majorHAnsi"/>
          <w:lang w:val="ro-RO"/>
        </w:rPr>
        <w:t xml:space="preserve">oua </w:t>
      </w:r>
      <w:hyperlink r:id="rId8" w:history="1">
        <w:r w:rsidRPr="00250D3F">
          <w:rPr>
            <w:rStyle w:val="Hyperlink"/>
            <w:rFonts w:asciiTheme="majorHAnsi" w:hAnsiTheme="majorHAnsi" w:cstheme="majorHAnsi"/>
            <w:lang w:val="ro-RO"/>
          </w:rPr>
          <w:t>directivă UE nr. 2019/1937</w:t>
        </w:r>
      </w:hyperlink>
      <w:r>
        <w:rPr>
          <w:rFonts w:asciiTheme="majorHAnsi" w:hAnsiTheme="majorHAnsi" w:cstheme="majorHAnsi"/>
          <w:lang w:val="ro-RO"/>
        </w:rPr>
        <w:t xml:space="preserve"> </w:t>
      </w:r>
      <w:r w:rsidRPr="002732A8">
        <w:rPr>
          <w:rFonts w:asciiTheme="majorHAnsi" w:hAnsiTheme="majorHAnsi" w:cstheme="majorHAnsi"/>
          <w:lang w:val="ro-RO"/>
        </w:rPr>
        <w:t>referitoare la denunțare</w:t>
      </w:r>
      <w:r>
        <w:rPr>
          <w:rFonts w:asciiTheme="majorHAnsi" w:hAnsiTheme="majorHAnsi" w:cstheme="majorHAnsi"/>
          <w:lang w:val="ro-RO"/>
        </w:rPr>
        <w:t xml:space="preserve">a încălcării regulilor </w:t>
      </w:r>
      <w:r w:rsidRPr="002732A8">
        <w:rPr>
          <w:rFonts w:asciiTheme="majorHAnsi" w:hAnsiTheme="majorHAnsi" w:cstheme="majorHAnsi"/>
          <w:lang w:val="ro-RO"/>
        </w:rPr>
        <w:t>a fost transpusă</w:t>
      </w:r>
      <w:r>
        <w:rPr>
          <w:rFonts w:asciiTheme="majorHAnsi" w:hAnsiTheme="majorHAnsi" w:cstheme="majorHAnsi"/>
          <w:lang w:val="ro-RO"/>
        </w:rPr>
        <w:t xml:space="preserve"> începând de la finalul anului trecut în legislația</w:t>
      </w:r>
      <w:r w:rsidRPr="002732A8">
        <w:rPr>
          <w:rFonts w:asciiTheme="majorHAnsi" w:hAnsiTheme="majorHAnsi" w:cstheme="majorHAnsi"/>
          <w:lang w:val="ro-RO"/>
        </w:rPr>
        <w:t xml:space="preserve"> statel</w:t>
      </w:r>
      <w:r>
        <w:rPr>
          <w:rFonts w:asciiTheme="majorHAnsi" w:hAnsiTheme="majorHAnsi" w:cstheme="majorHAnsi"/>
          <w:lang w:val="ro-RO"/>
        </w:rPr>
        <w:t>or</w:t>
      </w:r>
      <w:r w:rsidRPr="002732A8">
        <w:rPr>
          <w:rFonts w:asciiTheme="majorHAnsi" w:hAnsiTheme="majorHAnsi" w:cstheme="majorHAnsi"/>
          <w:lang w:val="ro-RO"/>
        </w:rPr>
        <w:t xml:space="preserve"> membre</w:t>
      </w:r>
      <w:r>
        <w:rPr>
          <w:rFonts w:asciiTheme="majorHAnsi" w:hAnsiTheme="majorHAnsi" w:cstheme="majorHAnsi"/>
          <w:lang w:val="ro-RO"/>
        </w:rPr>
        <w:t>, care sunt</w:t>
      </w:r>
      <w:r w:rsidRPr="002732A8">
        <w:rPr>
          <w:rFonts w:asciiTheme="majorHAnsi" w:hAnsiTheme="majorHAnsi" w:cstheme="majorHAnsi"/>
          <w:lang w:val="ro-RO"/>
        </w:rPr>
        <w:t xml:space="preserve"> obligate să </w:t>
      </w:r>
      <w:r>
        <w:rPr>
          <w:rFonts w:asciiTheme="majorHAnsi" w:hAnsiTheme="majorHAnsi" w:cstheme="majorHAnsi"/>
          <w:lang w:val="ro-RO"/>
        </w:rPr>
        <w:t xml:space="preserve">adopte </w:t>
      </w:r>
      <w:r w:rsidRPr="002732A8">
        <w:rPr>
          <w:rFonts w:asciiTheme="majorHAnsi" w:hAnsiTheme="majorHAnsi" w:cstheme="majorHAnsi"/>
          <w:lang w:val="ro-RO"/>
        </w:rPr>
        <w:t>legi și reglementări care să asigure protecția avertizor</w:t>
      </w:r>
      <w:r>
        <w:rPr>
          <w:rFonts w:asciiTheme="majorHAnsi" w:hAnsiTheme="majorHAnsi" w:cstheme="majorHAnsi"/>
          <w:lang w:val="ro-RO"/>
        </w:rPr>
        <w:t>ilor de integritate (</w:t>
      </w:r>
      <w:proofErr w:type="spellStart"/>
      <w:r w:rsidRPr="00155301">
        <w:rPr>
          <w:rFonts w:asciiTheme="majorHAnsi" w:hAnsiTheme="majorHAnsi" w:cstheme="majorHAnsi"/>
          <w:i/>
          <w:iCs/>
          <w:lang w:val="ro-RO"/>
        </w:rPr>
        <w:t>whistleblowers</w:t>
      </w:r>
      <w:proofErr w:type="spellEnd"/>
      <w:r>
        <w:rPr>
          <w:rFonts w:asciiTheme="majorHAnsi" w:hAnsiTheme="majorHAnsi" w:cstheme="majorHAnsi"/>
          <w:lang w:val="ro-RO"/>
        </w:rPr>
        <w:t xml:space="preserve">) </w:t>
      </w:r>
      <w:r w:rsidRPr="002732A8">
        <w:rPr>
          <w:rFonts w:asciiTheme="majorHAnsi" w:hAnsiTheme="majorHAnsi" w:cstheme="majorHAnsi"/>
          <w:lang w:val="ro-RO"/>
        </w:rPr>
        <w:t xml:space="preserve">și să permită canale sigure de raportare în instituțiile publice și private. Toate entitățile juridice cu mai mult de 50 de angajați sau cu o cifră de afaceri anuală de peste 10 milioane de euro trebuie să implementeze canale interne de raportare, în temeiul </w:t>
      </w:r>
      <w:r>
        <w:rPr>
          <w:rFonts w:asciiTheme="majorHAnsi" w:hAnsiTheme="majorHAnsi" w:cstheme="majorHAnsi"/>
          <w:lang w:val="ro-RO"/>
        </w:rPr>
        <w:t xml:space="preserve">acestei </w:t>
      </w:r>
      <w:r w:rsidRPr="002732A8">
        <w:rPr>
          <w:rFonts w:asciiTheme="majorHAnsi" w:hAnsiTheme="majorHAnsi" w:cstheme="majorHAnsi"/>
          <w:lang w:val="ro-RO"/>
        </w:rPr>
        <w:t>directive UE. Pentru companiile cu peste 250 de angajați, directiva se aplic</w:t>
      </w:r>
      <w:r>
        <w:rPr>
          <w:rFonts w:asciiTheme="majorHAnsi" w:hAnsiTheme="majorHAnsi" w:cstheme="majorHAnsi"/>
          <w:lang w:val="ro-RO"/>
        </w:rPr>
        <w:t>ă</w:t>
      </w:r>
      <w:r w:rsidRPr="002732A8">
        <w:rPr>
          <w:rFonts w:asciiTheme="majorHAnsi" w:hAnsiTheme="majorHAnsi" w:cstheme="majorHAnsi"/>
          <w:lang w:val="ro-RO"/>
        </w:rPr>
        <w:t xml:space="preserve"> începând </w:t>
      </w:r>
      <w:r w:rsidRPr="00155301">
        <w:rPr>
          <w:rFonts w:asciiTheme="majorHAnsi" w:hAnsiTheme="majorHAnsi" w:cstheme="majorHAnsi"/>
          <w:b/>
          <w:bCs/>
          <w:lang w:val="ro-RO"/>
        </w:rPr>
        <w:t>din decembrie 2021</w:t>
      </w:r>
      <w:r w:rsidRPr="002732A8">
        <w:rPr>
          <w:rFonts w:asciiTheme="majorHAnsi" w:hAnsiTheme="majorHAnsi" w:cstheme="majorHAnsi"/>
          <w:lang w:val="ro-RO"/>
        </w:rPr>
        <w:t xml:space="preserve">, iar pentru </w:t>
      </w:r>
      <w:r>
        <w:rPr>
          <w:rFonts w:asciiTheme="majorHAnsi" w:hAnsiTheme="majorHAnsi" w:cstheme="majorHAnsi"/>
          <w:lang w:val="ro-RO"/>
        </w:rPr>
        <w:t>cele</w:t>
      </w:r>
      <w:r w:rsidRPr="002732A8">
        <w:rPr>
          <w:rFonts w:asciiTheme="majorHAnsi" w:hAnsiTheme="majorHAnsi" w:cstheme="majorHAnsi"/>
          <w:lang w:val="ro-RO"/>
        </w:rPr>
        <w:t xml:space="preserve"> c</w:t>
      </w:r>
      <w:r>
        <w:rPr>
          <w:rFonts w:asciiTheme="majorHAnsi" w:hAnsiTheme="majorHAnsi" w:cstheme="majorHAnsi"/>
          <w:lang w:val="ro-RO"/>
        </w:rPr>
        <w:t>are au</w:t>
      </w:r>
      <w:r w:rsidRPr="002732A8">
        <w:rPr>
          <w:rFonts w:asciiTheme="majorHAnsi" w:hAnsiTheme="majorHAnsi" w:cstheme="majorHAnsi"/>
          <w:lang w:val="ro-RO"/>
        </w:rPr>
        <w:t xml:space="preserve"> între 50 și 249 de angajați, directiva se va aplica începând </w:t>
      </w:r>
      <w:r w:rsidRPr="00155301">
        <w:rPr>
          <w:rFonts w:asciiTheme="majorHAnsi" w:hAnsiTheme="majorHAnsi" w:cstheme="majorHAnsi"/>
          <w:b/>
          <w:bCs/>
          <w:lang w:val="ro-RO"/>
        </w:rPr>
        <w:t>din decembrie 2023</w:t>
      </w:r>
      <w:r w:rsidRPr="002732A8">
        <w:rPr>
          <w:rFonts w:asciiTheme="majorHAnsi" w:hAnsiTheme="majorHAnsi" w:cstheme="majorHAnsi"/>
          <w:lang w:val="ro-RO"/>
        </w:rPr>
        <w:t xml:space="preserve">. </w:t>
      </w:r>
      <w:r>
        <w:rPr>
          <w:rFonts w:asciiTheme="majorHAnsi" w:hAnsiTheme="majorHAnsi" w:cstheme="majorHAnsi"/>
          <w:lang w:val="ro-RO"/>
        </w:rPr>
        <w:t>Această d</w:t>
      </w:r>
      <w:r w:rsidRPr="002732A8">
        <w:rPr>
          <w:rFonts w:asciiTheme="majorHAnsi" w:hAnsiTheme="majorHAnsi" w:cstheme="majorHAnsi"/>
          <w:lang w:val="ro-RO"/>
        </w:rPr>
        <w:t>irectiv</w:t>
      </w:r>
      <w:r>
        <w:rPr>
          <w:rFonts w:asciiTheme="majorHAnsi" w:hAnsiTheme="majorHAnsi" w:cstheme="majorHAnsi"/>
          <w:lang w:val="ro-RO"/>
        </w:rPr>
        <w:t>ă</w:t>
      </w:r>
      <w:r w:rsidRPr="002732A8">
        <w:rPr>
          <w:rFonts w:asciiTheme="majorHAnsi" w:hAnsiTheme="majorHAnsi" w:cstheme="majorHAnsi"/>
          <w:lang w:val="ro-RO"/>
        </w:rPr>
        <w:t xml:space="preserve"> privind protecția avertizor</w:t>
      </w:r>
      <w:r>
        <w:rPr>
          <w:rFonts w:asciiTheme="majorHAnsi" w:hAnsiTheme="majorHAnsi" w:cstheme="majorHAnsi"/>
          <w:lang w:val="ro-RO"/>
        </w:rPr>
        <w:t>ilor de integritate</w:t>
      </w:r>
      <w:r w:rsidRPr="002732A8">
        <w:rPr>
          <w:rFonts w:asciiTheme="majorHAnsi" w:hAnsiTheme="majorHAnsi" w:cstheme="majorHAnsi"/>
          <w:lang w:val="ro-RO"/>
        </w:rPr>
        <w:t xml:space="preserve"> a fost inițial adoptată de către Uniunea Europeană în anul 2019, </w:t>
      </w:r>
      <w:r>
        <w:rPr>
          <w:rFonts w:asciiTheme="majorHAnsi" w:hAnsiTheme="majorHAnsi" w:cstheme="majorHAnsi"/>
          <w:lang w:val="ro-RO"/>
        </w:rPr>
        <w:t xml:space="preserve">iar </w:t>
      </w:r>
      <w:r w:rsidRPr="002732A8">
        <w:rPr>
          <w:rFonts w:asciiTheme="majorHAnsi" w:hAnsiTheme="majorHAnsi" w:cstheme="majorHAnsi"/>
          <w:lang w:val="ro-RO"/>
        </w:rPr>
        <w:t>următo</w:t>
      </w:r>
      <w:r>
        <w:rPr>
          <w:rFonts w:asciiTheme="majorHAnsi" w:hAnsiTheme="majorHAnsi" w:cstheme="majorHAnsi"/>
          <w:lang w:val="ro-RO"/>
        </w:rPr>
        <w:t>rii</w:t>
      </w:r>
      <w:r w:rsidRPr="002732A8">
        <w:rPr>
          <w:rFonts w:asciiTheme="majorHAnsi" w:hAnsiTheme="majorHAnsi" w:cstheme="majorHAnsi"/>
          <w:lang w:val="ro-RO"/>
        </w:rPr>
        <w:t xml:space="preserve"> doi ani</w:t>
      </w:r>
      <w:r>
        <w:rPr>
          <w:rFonts w:asciiTheme="majorHAnsi" w:hAnsiTheme="majorHAnsi" w:cstheme="majorHAnsi"/>
          <w:lang w:val="ro-RO"/>
        </w:rPr>
        <w:t xml:space="preserve"> au</w:t>
      </w:r>
      <w:r w:rsidRPr="002732A8">
        <w:rPr>
          <w:rFonts w:asciiTheme="majorHAnsi" w:hAnsiTheme="majorHAnsi" w:cstheme="majorHAnsi"/>
          <w:lang w:val="ro-RO"/>
        </w:rPr>
        <w:t xml:space="preserve"> oferi</w:t>
      </w:r>
      <w:r>
        <w:rPr>
          <w:rFonts w:asciiTheme="majorHAnsi" w:hAnsiTheme="majorHAnsi" w:cstheme="majorHAnsi"/>
          <w:lang w:val="ro-RO"/>
        </w:rPr>
        <w:t xml:space="preserve">t </w:t>
      </w:r>
      <w:r w:rsidRPr="002732A8">
        <w:rPr>
          <w:rFonts w:asciiTheme="majorHAnsi" w:hAnsiTheme="majorHAnsi" w:cstheme="majorHAnsi"/>
          <w:lang w:val="ro-RO"/>
        </w:rPr>
        <w:t>celor 27 de state membre timp pentru a se conforma prevederilor.</w:t>
      </w:r>
    </w:p>
    <w:p w14:paraId="2FEEC5E1" w14:textId="76B2172B" w:rsidR="002732A8" w:rsidRPr="002732A8" w:rsidRDefault="002732A8" w:rsidP="002732A8">
      <w:pPr>
        <w:widowControl w:val="0"/>
        <w:spacing w:after="80" w:line="264" w:lineRule="auto"/>
        <w:jc w:val="both"/>
        <w:rPr>
          <w:rFonts w:asciiTheme="majorHAnsi" w:hAnsiTheme="majorHAnsi" w:cstheme="majorHAnsi"/>
          <w:lang w:val="ro-RO"/>
        </w:rPr>
      </w:pPr>
      <w:r w:rsidRPr="002732A8">
        <w:rPr>
          <w:rFonts w:asciiTheme="majorHAnsi" w:hAnsiTheme="majorHAnsi" w:cstheme="majorHAnsi"/>
          <w:lang w:val="ro-RO"/>
        </w:rPr>
        <w:t>Cu toate acestea, până în mai</w:t>
      </w:r>
      <w:r>
        <w:rPr>
          <w:rFonts w:asciiTheme="majorHAnsi" w:hAnsiTheme="majorHAnsi" w:cstheme="majorHAnsi"/>
          <w:lang w:val="ro-RO"/>
        </w:rPr>
        <w:t xml:space="preserve"> </w:t>
      </w:r>
      <w:r w:rsidRPr="002732A8">
        <w:rPr>
          <w:rFonts w:asciiTheme="majorHAnsi" w:hAnsiTheme="majorHAnsi" w:cstheme="majorHAnsi"/>
          <w:lang w:val="ro-RO"/>
        </w:rPr>
        <w:t xml:space="preserve">2022, doar opt state membre au adoptat legi de transpunere (Cipru, Danemarca, Franța, Suedia, Portugalia, Lituania, Malta și Letonia), în timp ce un număr de 18 state sunt încă menționate ca fiind întârziate. </w:t>
      </w:r>
      <w:r w:rsidR="001A0101">
        <w:rPr>
          <w:rFonts w:asciiTheme="majorHAnsi" w:hAnsiTheme="majorHAnsi" w:cstheme="majorHAnsi"/>
          <w:lang w:val="ro-RO"/>
        </w:rPr>
        <w:t xml:space="preserve">Despre cel de-al 27-lea stat, </w:t>
      </w:r>
      <w:r w:rsidRPr="002732A8">
        <w:rPr>
          <w:rFonts w:asciiTheme="majorHAnsi" w:hAnsiTheme="majorHAnsi" w:cstheme="majorHAnsi"/>
          <w:lang w:val="ro-RO"/>
        </w:rPr>
        <w:t>Ungaria</w:t>
      </w:r>
      <w:r w:rsidR="001A0101">
        <w:rPr>
          <w:rFonts w:asciiTheme="majorHAnsi" w:hAnsiTheme="majorHAnsi" w:cstheme="majorHAnsi"/>
          <w:lang w:val="ro-RO"/>
        </w:rPr>
        <w:t>,</w:t>
      </w:r>
      <w:r w:rsidR="00155301">
        <w:rPr>
          <w:rFonts w:asciiTheme="majorHAnsi" w:hAnsiTheme="majorHAnsi" w:cstheme="majorHAnsi"/>
          <w:lang w:val="ro-RO"/>
        </w:rPr>
        <w:t xml:space="preserve"> </w:t>
      </w:r>
      <w:hyperlink r:id="rId9" w:history="1">
        <w:r w:rsidR="00155301" w:rsidRPr="00155301">
          <w:rPr>
            <w:rStyle w:val="Hyperlink"/>
            <w:rFonts w:asciiTheme="majorHAnsi" w:hAnsiTheme="majorHAnsi" w:cstheme="majorHAnsi"/>
            <w:lang w:val="ro-RO"/>
          </w:rPr>
          <w:t xml:space="preserve">EU </w:t>
        </w:r>
        <w:proofErr w:type="spellStart"/>
        <w:r w:rsidR="00155301" w:rsidRPr="00155301">
          <w:rPr>
            <w:rStyle w:val="Hyperlink"/>
            <w:rFonts w:asciiTheme="majorHAnsi" w:hAnsiTheme="majorHAnsi" w:cstheme="majorHAnsi"/>
            <w:lang w:val="ro-RO"/>
          </w:rPr>
          <w:t>Whistleblowing</w:t>
        </w:r>
        <w:proofErr w:type="spellEnd"/>
        <w:r w:rsidR="00155301" w:rsidRPr="00155301">
          <w:rPr>
            <w:rStyle w:val="Hyperlink"/>
            <w:rFonts w:asciiTheme="majorHAnsi" w:hAnsiTheme="majorHAnsi" w:cstheme="majorHAnsi"/>
            <w:lang w:val="ro-RO"/>
          </w:rPr>
          <w:t xml:space="preserve"> Monitor</w:t>
        </w:r>
      </w:hyperlink>
      <w:r w:rsidRPr="002732A8">
        <w:rPr>
          <w:rFonts w:asciiTheme="majorHAnsi" w:hAnsiTheme="majorHAnsi" w:cstheme="majorHAnsi"/>
          <w:lang w:val="ro-RO"/>
        </w:rPr>
        <w:t xml:space="preserve"> menționează că „nu a început</w:t>
      </w:r>
      <w:r w:rsidRPr="002732A8">
        <w:rPr>
          <w:rFonts w:asciiTheme="majorHAnsi" w:hAnsiTheme="majorHAnsi" w:cstheme="majorHAnsi"/>
          <w:lang w:val="en-US"/>
        </w:rPr>
        <w:t>“</w:t>
      </w:r>
      <w:r w:rsidRPr="002732A8">
        <w:rPr>
          <w:rFonts w:asciiTheme="majorHAnsi" w:hAnsiTheme="majorHAnsi" w:cstheme="majorHAnsi"/>
          <w:lang w:val="ro-RO"/>
        </w:rPr>
        <w:t xml:space="preserve"> demersurile. Observând stadiul din prezent, </w:t>
      </w:r>
      <w:r w:rsidR="001A0101">
        <w:rPr>
          <w:rFonts w:asciiTheme="majorHAnsi" w:hAnsiTheme="majorHAnsi" w:cstheme="majorHAnsi"/>
          <w:lang w:val="ro-RO"/>
        </w:rPr>
        <w:t xml:space="preserve">directiva </w:t>
      </w:r>
      <w:r w:rsidRPr="002732A8">
        <w:rPr>
          <w:rFonts w:asciiTheme="majorHAnsi" w:hAnsiTheme="majorHAnsi" w:cstheme="majorHAnsi"/>
          <w:lang w:val="ro-RO"/>
        </w:rPr>
        <w:t>nu poate fi considerată complet transpusă</w:t>
      </w:r>
      <w:r w:rsidR="001A0101">
        <w:rPr>
          <w:rFonts w:asciiTheme="majorHAnsi" w:hAnsiTheme="majorHAnsi" w:cstheme="majorHAnsi"/>
          <w:lang w:val="ro-RO"/>
        </w:rPr>
        <w:t xml:space="preserve"> în </w:t>
      </w:r>
      <w:r w:rsidR="001A0101" w:rsidRPr="002732A8">
        <w:rPr>
          <w:rFonts w:asciiTheme="majorHAnsi" w:hAnsiTheme="majorHAnsi" w:cstheme="majorHAnsi"/>
          <w:lang w:val="ro-RO"/>
        </w:rPr>
        <w:t>niciuna dintre țări</w:t>
      </w:r>
      <w:r w:rsidRPr="002732A8">
        <w:rPr>
          <w:rFonts w:asciiTheme="majorHAnsi" w:hAnsiTheme="majorHAnsi" w:cstheme="majorHAnsi"/>
          <w:lang w:val="ro-RO"/>
        </w:rPr>
        <w:t xml:space="preserve">, prin urmare, Comisia </w:t>
      </w:r>
      <w:r w:rsidR="001A0101">
        <w:rPr>
          <w:rFonts w:asciiTheme="majorHAnsi" w:hAnsiTheme="majorHAnsi" w:cstheme="majorHAnsi"/>
          <w:lang w:val="ro-RO"/>
        </w:rPr>
        <w:t>Europeană</w:t>
      </w:r>
      <w:r w:rsidR="001A0101" w:rsidRPr="002732A8">
        <w:rPr>
          <w:rFonts w:asciiTheme="majorHAnsi" w:hAnsiTheme="majorHAnsi" w:cstheme="majorHAnsi"/>
          <w:lang w:val="ro-RO"/>
        </w:rPr>
        <w:t xml:space="preserve"> </w:t>
      </w:r>
      <w:r w:rsidRPr="002732A8">
        <w:rPr>
          <w:rFonts w:asciiTheme="majorHAnsi" w:hAnsiTheme="majorHAnsi" w:cstheme="majorHAnsi"/>
          <w:lang w:val="ro-RO"/>
        </w:rPr>
        <w:t xml:space="preserve">a inițiat o serie de </w:t>
      </w:r>
      <w:r w:rsidRPr="00155301">
        <w:rPr>
          <w:rFonts w:asciiTheme="majorHAnsi" w:hAnsiTheme="majorHAnsi" w:cstheme="majorHAnsi"/>
          <w:b/>
          <w:bCs/>
          <w:lang w:val="ro-RO"/>
        </w:rPr>
        <w:t>proceduri privind încălcarea dreptului comunitar</w:t>
      </w:r>
      <w:r w:rsidRPr="002732A8">
        <w:rPr>
          <w:rFonts w:asciiTheme="majorHAnsi" w:hAnsiTheme="majorHAnsi" w:cstheme="majorHAnsi"/>
          <w:lang w:val="ro-RO"/>
        </w:rPr>
        <w:t xml:space="preserve"> (cazurile pot fi urmărite </w:t>
      </w:r>
      <w:r w:rsidR="00250D3F">
        <w:rPr>
          <w:rFonts w:asciiTheme="majorHAnsi" w:hAnsiTheme="majorHAnsi" w:cstheme="majorHAnsi"/>
          <w:lang w:val="ro-RO"/>
        </w:rPr>
        <w:t xml:space="preserve">pe </w:t>
      </w:r>
      <w:hyperlink r:id="rId10" w:history="1">
        <w:r w:rsidR="00250D3F" w:rsidRPr="00250D3F">
          <w:rPr>
            <w:rStyle w:val="Hyperlink"/>
            <w:rFonts w:asciiTheme="majorHAnsi" w:hAnsiTheme="majorHAnsi" w:cstheme="majorHAnsi"/>
            <w:lang w:val="ro-RO"/>
          </w:rPr>
          <w:t xml:space="preserve">secțiunea online dedicată deciziilor </w:t>
        </w:r>
        <w:r w:rsidRPr="00250D3F">
          <w:rPr>
            <w:rStyle w:val="Hyperlink"/>
            <w:rFonts w:asciiTheme="majorHAnsi" w:hAnsiTheme="majorHAnsi" w:cstheme="majorHAnsi"/>
            <w:lang w:val="ro-RO"/>
          </w:rPr>
          <w:t>privind constatarea neîndeplinirii obligațiilor</w:t>
        </w:r>
      </w:hyperlink>
      <w:r w:rsidRPr="002732A8">
        <w:rPr>
          <w:rFonts w:asciiTheme="majorHAnsi" w:hAnsiTheme="majorHAnsi" w:cstheme="majorHAnsi"/>
          <w:lang w:val="ro-RO"/>
        </w:rPr>
        <w:t>).</w:t>
      </w:r>
    </w:p>
    <w:p w14:paraId="165A449D" w14:textId="77777777" w:rsidR="003F7377" w:rsidRDefault="003F7377" w:rsidP="002732A8">
      <w:pPr>
        <w:widowControl w:val="0"/>
        <w:spacing w:after="80" w:line="264" w:lineRule="auto"/>
        <w:jc w:val="both"/>
        <w:rPr>
          <w:rFonts w:asciiTheme="majorHAnsi" w:hAnsiTheme="majorHAnsi" w:cstheme="majorHAnsi"/>
          <w:lang w:val="ro-RO"/>
        </w:rPr>
      </w:pPr>
    </w:p>
    <w:p w14:paraId="43AB7843" w14:textId="173D112C" w:rsidR="003F7377" w:rsidRPr="00155301" w:rsidRDefault="003F7377" w:rsidP="002732A8">
      <w:pPr>
        <w:widowControl w:val="0"/>
        <w:spacing w:after="80" w:line="264" w:lineRule="auto"/>
        <w:jc w:val="both"/>
        <w:rPr>
          <w:rFonts w:asciiTheme="majorHAnsi" w:hAnsiTheme="majorHAnsi" w:cstheme="majorHAnsi"/>
          <w:b/>
          <w:bCs/>
          <w:lang w:val="ro-RO"/>
        </w:rPr>
      </w:pPr>
      <w:r w:rsidRPr="00155301">
        <w:rPr>
          <w:rFonts w:asciiTheme="majorHAnsi" w:hAnsiTheme="majorHAnsi" w:cstheme="majorHAnsi"/>
          <w:b/>
          <w:bCs/>
          <w:lang w:val="ro-RO"/>
        </w:rPr>
        <w:t>Care este situația României?</w:t>
      </w:r>
    </w:p>
    <w:p w14:paraId="2040ECCE" w14:textId="292FBC6A" w:rsidR="003F7377" w:rsidRPr="002F427A" w:rsidRDefault="002F427A" w:rsidP="002732A8">
      <w:pPr>
        <w:widowControl w:val="0"/>
        <w:spacing w:after="80" w:line="264" w:lineRule="auto"/>
        <w:jc w:val="both"/>
        <w:rPr>
          <w:rFonts w:asciiTheme="majorHAnsi" w:hAnsiTheme="majorHAnsi" w:cstheme="majorHAnsi"/>
          <w:lang w:val="ro-RO"/>
        </w:rPr>
      </w:pPr>
      <w:r w:rsidRPr="002F427A">
        <w:rPr>
          <w:rFonts w:asciiTheme="majorHAnsi" w:hAnsiTheme="majorHAnsi" w:cstheme="majorHAnsi"/>
          <w:lang w:val="ro-RO"/>
        </w:rPr>
        <w:t>România</w:t>
      </w:r>
      <w:r w:rsidR="001A0101" w:rsidRPr="002F427A">
        <w:rPr>
          <w:rFonts w:asciiTheme="majorHAnsi" w:hAnsiTheme="majorHAnsi" w:cstheme="majorHAnsi"/>
          <w:lang w:val="ro-RO"/>
        </w:rPr>
        <w:t xml:space="preserve"> a înregistrat un oarecare avans privind </w:t>
      </w:r>
      <w:r w:rsidR="002732A8" w:rsidRPr="002732A8">
        <w:rPr>
          <w:rFonts w:asciiTheme="majorHAnsi" w:hAnsiTheme="majorHAnsi" w:cstheme="majorHAnsi"/>
          <w:lang w:val="ro-RO"/>
        </w:rPr>
        <w:t xml:space="preserve">transpunerea legii, întrucât Guvernul României a adoptat un proiect de lege privind protecția </w:t>
      </w:r>
      <w:r w:rsidR="001A0101" w:rsidRPr="002732A8">
        <w:rPr>
          <w:rFonts w:asciiTheme="majorHAnsi" w:hAnsiTheme="majorHAnsi" w:cstheme="majorHAnsi"/>
          <w:lang w:val="ro-RO"/>
        </w:rPr>
        <w:t>avertizor</w:t>
      </w:r>
      <w:r w:rsidR="001A0101" w:rsidRPr="002F427A">
        <w:rPr>
          <w:rFonts w:asciiTheme="majorHAnsi" w:hAnsiTheme="majorHAnsi" w:cstheme="majorHAnsi"/>
          <w:lang w:val="ro-RO"/>
        </w:rPr>
        <w:t>ilor de integritate</w:t>
      </w:r>
      <w:r w:rsidR="002732A8" w:rsidRPr="002732A8">
        <w:rPr>
          <w:rFonts w:asciiTheme="majorHAnsi" w:hAnsiTheme="majorHAnsi" w:cstheme="majorHAnsi"/>
          <w:lang w:val="ro-RO"/>
        </w:rPr>
        <w:t>,</w:t>
      </w:r>
      <w:r w:rsidR="001A0101" w:rsidRPr="002F427A">
        <w:rPr>
          <w:rFonts w:asciiTheme="majorHAnsi" w:hAnsiTheme="majorHAnsi" w:cstheme="majorHAnsi"/>
          <w:lang w:val="ro-RO"/>
        </w:rPr>
        <w:t xml:space="preserve"> denumit</w:t>
      </w:r>
      <w:r w:rsidR="002732A8" w:rsidRPr="002732A8">
        <w:rPr>
          <w:rFonts w:asciiTheme="majorHAnsi" w:hAnsiTheme="majorHAnsi" w:cstheme="majorHAnsi"/>
          <w:lang w:val="ro-RO"/>
        </w:rPr>
        <w:t xml:space="preserve"> </w:t>
      </w:r>
      <w:r w:rsidR="001A0101" w:rsidRPr="002F427A">
        <w:rPr>
          <w:rFonts w:asciiTheme="majorHAnsi" w:hAnsiTheme="majorHAnsi" w:cstheme="majorHAnsi"/>
          <w:lang w:val="ro-RO"/>
        </w:rPr>
        <w:t>„</w:t>
      </w:r>
      <w:r w:rsidR="002732A8" w:rsidRPr="002732A8">
        <w:rPr>
          <w:rFonts w:asciiTheme="majorHAnsi" w:hAnsiTheme="majorHAnsi" w:cstheme="majorHAnsi"/>
          <w:lang w:val="ro-RO"/>
        </w:rPr>
        <w:t xml:space="preserve">Propunere legislativă privind protecția avertizorilor în interes public”, pe care l-a înaintat Parlamentului pentru a-l transpune ulterior în legislația națională. </w:t>
      </w:r>
      <w:r w:rsidRPr="002F427A">
        <w:rPr>
          <w:rFonts w:asciiTheme="majorHAnsi" w:hAnsiTheme="majorHAnsi" w:cstheme="majorHAnsi"/>
          <w:lang w:val="ro-RO"/>
        </w:rPr>
        <w:t xml:space="preserve">Însă </w:t>
      </w:r>
      <w:r w:rsidR="002732A8" w:rsidRPr="002732A8">
        <w:rPr>
          <w:rFonts w:asciiTheme="majorHAnsi" w:hAnsiTheme="majorHAnsi" w:cstheme="majorHAnsi"/>
          <w:lang w:val="ro-RO"/>
        </w:rPr>
        <w:t>data intrării în vigoare a acesteia</w:t>
      </w:r>
      <w:r w:rsidRPr="002F427A">
        <w:rPr>
          <w:rFonts w:asciiTheme="majorHAnsi" w:hAnsiTheme="majorHAnsi" w:cstheme="majorHAnsi"/>
          <w:lang w:val="ro-RO"/>
        </w:rPr>
        <w:t xml:space="preserve">, </w:t>
      </w:r>
      <w:r w:rsidR="00155301" w:rsidRPr="002F427A">
        <w:rPr>
          <w:rFonts w:asciiTheme="majorHAnsi" w:hAnsiTheme="majorHAnsi" w:cstheme="majorHAnsi"/>
          <w:lang w:val="ro-RO"/>
        </w:rPr>
        <w:t>a</w:t>
      </w:r>
      <w:r w:rsidR="00155301">
        <w:rPr>
          <w:rFonts w:asciiTheme="majorHAnsi" w:hAnsiTheme="majorHAnsi" w:cstheme="majorHAnsi"/>
          <w:lang w:val="ro-RO"/>
        </w:rPr>
        <w:t>ș</w:t>
      </w:r>
      <w:r w:rsidR="00155301" w:rsidRPr="002F427A">
        <w:rPr>
          <w:rFonts w:asciiTheme="majorHAnsi" w:hAnsiTheme="majorHAnsi" w:cstheme="majorHAnsi"/>
          <w:lang w:val="ro-RO"/>
        </w:rPr>
        <w:t xml:space="preserve">a </w:t>
      </w:r>
      <w:r w:rsidRPr="002F427A">
        <w:rPr>
          <w:rFonts w:asciiTheme="majorHAnsi" w:hAnsiTheme="majorHAnsi" w:cstheme="majorHAnsi"/>
          <w:lang w:val="ro-RO"/>
        </w:rPr>
        <w:t>cum prevedea p</w:t>
      </w:r>
      <w:r w:rsidRPr="002732A8">
        <w:rPr>
          <w:rFonts w:asciiTheme="majorHAnsi" w:hAnsiTheme="majorHAnsi" w:cstheme="majorHAnsi"/>
          <w:lang w:val="ro-RO"/>
        </w:rPr>
        <w:t>roiectul de lege</w:t>
      </w:r>
      <w:r w:rsidRPr="002F427A">
        <w:rPr>
          <w:rFonts w:asciiTheme="majorHAnsi" w:hAnsiTheme="majorHAnsi" w:cstheme="majorHAnsi"/>
          <w:lang w:val="ro-RO"/>
        </w:rPr>
        <w:t>, și anume</w:t>
      </w:r>
      <w:r w:rsidR="002732A8" w:rsidRPr="002732A8">
        <w:rPr>
          <w:rFonts w:asciiTheme="majorHAnsi" w:hAnsiTheme="majorHAnsi" w:cstheme="majorHAnsi"/>
          <w:lang w:val="ro-RO"/>
        </w:rPr>
        <w:t xml:space="preserve"> </w:t>
      </w:r>
      <w:r w:rsidR="002732A8" w:rsidRPr="00155301">
        <w:rPr>
          <w:rFonts w:asciiTheme="majorHAnsi" w:hAnsiTheme="majorHAnsi" w:cstheme="majorHAnsi"/>
          <w:b/>
          <w:bCs/>
          <w:lang w:val="ro-RO"/>
        </w:rPr>
        <w:t>31 martie 2022</w:t>
      </w:r>
      <w:r w:rsidRPr="002F427A">
        <w:rPr>
          <w:rStyle w:val="CommentReference"/>
          <w:rFonts w:asciiTheme="majorHAnsi" w:hAnsiTheme="majorHAnsi" w:cstheme="majorHAnsi"/>
          <w:sz w:val="20"/>
          <w:szCs w:val="20"/>
        </w:rPr>
        <w:t xml:space="preserve">, a </w:t>
      </w:r>
      <w:proofErr w:type="spellStart"/>
      <w:r w:rsidRPr="002F427A">
        <w:rPr>
          <w:rStyle w:val="CommentReference"/>
          <w:rFonts w:asciiTheme="majorHAnsi" w:hAnsiTheme="majorHAnsi" w:cstheme="majorHAnsi"/>
          <w:sz w:val="20"/>
          <w:szCs w:val="20"/>
        </w:rPr>
        <w:t>fost</w:t>
      </w:r>
      <w:proofErr w:type="spellEnd"/>
      <w:r w:rsidRPr="002F427A">
        <w:rPr>
          <w:rStyle w:val="CommentReference"/>
          <w:rFonts w:asciiTheme="majorHAnsi" w:hAnsiTheme="majorHAnsi" w:cstheme="majorHAnsi"/>
          <w:sz w:val="20"/>
          <w:szCs w:val="20"/>
        </w:rPr>
        <w:t xml:space="preserve"> cu </w:t>
      </w:r>
      <w:proofErr w:type="spellStart"/>
      <w:r w:rsidRPr="002F427A">
        <w:rPr>
          <w:rStyle w:val="CommentReference"/>
          <w:rFonts w:asciiTheme="majorHAnsi" w:hAnsiTheme="majorHAnsi" w:cstheme="majorHAnsi"/>
          <w:sz w:val="20"/>
          <w:szCs w:val="20"/>
        </w:rPr>
        <w:t>mult</w:t>
      </w:r>
      <w:proofErr w:type="spellEnd"/>
      <w:r w:rsidRPr="002F427A">
        <w:rPr>
          <w:rStyle w:val="CommentReference"/>
          <w:rFonts w:asciiTheme="majorHAnsi" w:hAnsiTheme="majorHAnsi" w:cstheme="majorHAnsi"/>
          <w:sz w:val="20"/>
          <w:szCs w:val="20"/>
        </w:rPr>
        <w:t xml:space="preserve"> </w:t>
      </w:r>
      <w:proofErr w:type="spellStart"/>
      <w:r w:rsidRPr="002F427A">
        <w:rPr>
          <w:rStyle w:val="CommentReference"/>
          <w:rFonts w:asciiTheme="majorHAnsi" w:hAnsiTheme="majorHAnsi" w:cstheme="majorHAnsi"/>
          <w:sz w:val="20"/>
          <w:szCs w:val="20"/>
        </w:rPr>
        <w:t>depășită</w:t>
      </w:r>
      <w:proofErr w:type="spellEnd"/>
      <w:r w:rsidRPr="002F427A">
        <w:rPr>
          <w:rStyle w:val="CommentReference"/>
          <w:rFonts w:asciiTheme="majorHAnsi" w:hAnsiTheme="majorHAnsi" w:cstheme="majorHAnsi"/>
          <w:sz w:val="20"/>
          <w:szCs w:val="20"/>
        </w:rPr>
        <w:t>.</w:t>
      </w:r>
    </w:p>
    <w:p w14:paraId="0A8C47F5" w14:textId="45AFF8D2" w:rsidR="00FA26C3" w:rsidRPr="002732A8" w:rsidRDefault="002732A8" w:rsidP="002732A8">
      <w:pPr>
        <w:widowControl w:val="0"/>
        <w:spacing w:after="80" w:line="264" w:lineRule="auto"/>
        <w:jc w:val="both"/>
        <w:rPr>
          <w:rFonts w:asciiTheme="majorHAnsi" w:hAnsiTheme="majorHAnsi" w:cstheme="majorHAnsi"/>
          <w:lang w:val="ro-RO"/>
        </w:rPr>
      </w:pPr>
      <w:r w:rsidRPr="002732A8">
        <w:rPr>
          <w:rFonts w:asciiTheme="majorHAnsi" w:hAnsiTheme="majorHAnsi" w:cstheme="majorHAnsi"/>
          <w:lang w:val="ro-RO"/>
        </w:rPr>
        <w:t xml:space="preserve">În același timp, </w:t>
      </w:r>
      <w:r w:rsidR="003F7377">
        <w:rPr>
          <w:rFonts w:asciiTheme="majorHAnsi" w:hAnsiTheme="majorHAnsi" w:cstheme="majorHAnsi"/>
          <w:lang w:val="ro-RO"/>
        </w:rPr>
        <w:t xml:space="preserve">este important de subliniat că </w:t>
      </w:r>
      <w:hyperlink r:id="rId11" w:history="1">
        <w:r w:rsidR="00FA26C3" w:rsidRPr="00EA563B">
          <w:rPr>
            <w:rStyle w:val="Hyperlink"/>
            <w:rFonts w:asciiTheme="majorHAnsi" w:hAnsiTheme="majorHAnsi" w:cstheme="majorHAnsi"/>
            <w:lang w:val="ro-RO"/>
          </w:rPr>
          <w:t xml:space="preserve">numeroase </w:t>
        </w:r>
        <w:r w:rsidRPr="00EA563B">
          <w:rPr>
            <w:rStyle w:val="Hyperlink"/>
            <w:rFonts w:asciiTheme="majorHAnsi" w:hAnsiTheme="majorHAnsi" w:cstheme="majorHAnsi"/>
            <w:lang w:val="ro-RO"/>
          </w:rPr>
          <w:t>companii autohtone iau deja măsuri</w:t>
        </w:r>
      </w:hyperlink>
      <w:r w:rsidRPr="002732A8">
        <w:rPr>
          <w:rFonts w:asciiTheme="majorHAnsi" w:hAnsiTheme="majorHAnsi" w:cstheme="majorHAnsi"/>
          <w:lang w:val="ro-RO"/>
        </w:rPr>
        <w:t xml:space="preserve"> pentru </w:t>
      </w:r>
      <w:r w:rsidR="008862DE">
        <w:rPr>
          <w:rFonts w:asciiTheme="majorHAnsi" w:hAnsiTheme="majorHAnsi" w:cstheme="majorHAnsi"/>
          <w:lang w:val="ro-RO"/>
        </w:rPr>
        <w:t>elaborarea</w:t>
      </w:r>
      <w:r w:rsidR="00FA26C3">
        <w:rPr>
          <w:rFonts w:asciiTheme="majorHAnsi" w:hAnsiTheme="majorHAnsi" w:cstheme="majorHAnsi"/>
          <w:lang w:val="ro-RO"/>
        </w:rPr>
        <w:t xml:space="preserve"> unor</w:t>
      </w:r>
      <w:r w:rsidR="00FA26C3" w:rsidRPr="002732A8">
        <w:rPr>
          <w:rFonts w:asciiTheme="majorHAnsi" w:hAnsiTheme="majorHAnsi" w:cstheme="majorHAnsi"/>
          <w:lang w:val="ro-RO"/>
        </w:rPr>
        <w:t xml:space="preserve"> </w:t>
      </w:r>
      <w:r w:rsidRPr="002732A8">
        <w:rPr>
          <w:rFonts w:asciiTheme="majorHAnsi" w:hAnsiTheme="majorHAnsi" w:cstheme="majorHAnsi"/>
          <w:lang w:val="ro-RO"/>
        </w:rPr>
        <w:t xml:space="preserve">politici interne de raportare și pentru </w:t>
      </w:r>
      <w:r w:rsidR="001A0101">
        <w:rPr>
          <w:rFonts w:asciiTheme="majorHAnsi" w:hAnsiTheme="majorHAnsi" w:cstheme="majorHAnsi"/>
          <w:lang w:val="ro-RO"/>
        </w:rPr>
        <w:t>analizarea</w:t>
      </w:r>
      <w:r w:rsidRPr="002732A8">
        <w:rPr>
          <w:rFonts w:asciiTheme="majorHAnsi" w:hAnsiTheme="majorHAnsi" w:cstheme="majorHAnsi"/>
          <w:lang w:val="ro-RO"/>
        </w:rPr>
        <w:t xml:space="preserve"> pieței furnizorilor de </w:t>
      </w:r>
      <w:r w:rsidR="003F7377">
        <w:rPr>
          <w:rFonts w:asciiTheme="majorHAnsi" w:hAnsiTheme="majorHAnsi" w:cstheme="majorHAnsi"/>
          <w:lang w:val="ro-RO"/>
        </w:rPr>
        <w:t>servicii în acest domeniu</w:t>
      </w:r>
      <w:r w:rsidRPr="002732A8">
        <w:rPr>
          <w:rFonts w:asciiTheme="majorHAnsi" w:hAnsiTheme="majorHAnsi" w:cstheme="majorHAnsi"/>
          <w:lang w:val="ro-RO"/>
        </w:rPr>
        <w:t>.</w:t>
      </w:r>
    </w:p>
    <w:p w14:paraId="4A26F1CF" w14:textId="3934D55C" w:rsidR="002732A8" w:rsidRDefault="003F7377" w:rsidP="002732A8">
      <w:pPr>
        <w:widowControl w:val="0"/>
        <w:spacing w:after="80" w:line="264" w:lineRule="auto"/>
        <w:jc w:val="both"/>
        <w:rPr>
          <w:rFonts w:asciiTheme="majorHAnsi" w:hAnsiTheme="majorHAnsi" w:cstheme="majorHAnsi"/>
          <w:lang w:val="ro-RO"/>
        </w:rPr>
      </w:pPr>
      <w:r>
        <w:rPr>
          <w:rFonts w:asciiTheme="majorHAnsi" w:hAnsiTheme="majorHAnsi" w:cstheme="majorHAnsi"/>
          <w:lang w:val="ro-RO"/>
        </w:rPr>
        <w:t>Încălcările</w:t>
      </w:r>
      <w:r w:rsidR="002732A8" w:rsidRPr="002732A8">
        <w:rPr>
          <w:rFonts w:asciiTheme="majorHAnsi" w:hAnsiTheme="majorHAnsi" w:cstheme="majorHAnsi"/>
          <w:lang w:val="ro-RO"/>
        </w:rPr>
        <w:t xml:space="preserve"> neraportate </w:t>
      </w:r>
      <w:r>
        <w:rPr>
          <w:rFonts w:asciiTheme="majorHAnsi" w:hAnsiTheme="majorHAnsi" w:cstheme="majorHAnsi"/>
          <w:lang w:val="ro-RO"/>
        </w:rPr>
        <w:t>devin</w:t>
      </w:r>
      <w:r w:rsidRPr="002732A8">
        <w:rPr>
          <w:rFonts w:asciiTheme="majorHAnsi" w:hAnsiTheme="majorHAnsi" w:cstheme="majorHAnsi"/>
          <w:lang w:val="ro-RO"/>
        </w:rPr>
        <w:t xml:space="preserve"> </w:t>
      </w:r>
      <w:r w:rsidR="002732A8" w:rsidRPr="002732A8">
        <w:rPr>
          <w:rFonts w:asciiTheme="majorHAnsi" w:hAnsiTheme="majorHAnsi" w:cstheme="majorHAnsi"/>
          <w:lang w:val="ro-RO"/>
        </w:rPr>
        <w:t xml:space="preserve">probleme în organizație și </w:t>
      </w:r>
      <w:r>
        <w:rPr>
          <w:rFonts w:asciiTheme="majorHAnsi" w:hAnsiTheme="majorHAnsi" w:cstheme="majorHAnsi"/>
          <w:lang w:val="ro-RO"/>
        </w:rPr>
        <w:t>pot fi</w:t>
      </w:r>
      <w:r w:rsidRPr="002732A8">
        <w:rPr>
          <w:rFonts w:asciiTheme="majorHAnsi" w:hAnsiTheme="majorHAnsi" w:cstheme="majorHAnsi"/>
          <w:lang w:val="ro-RO"/>
        </w:rPr>
        <w:t xml:space="preserve"> dăun</w:t>
      </w:r>
      <w:r>
        <w:rPr>
          <w:rFonts w:asciiTheme="majorHAnsi" w:hAnsiTheme="majorHAnsi" w:cstheme="majorHAnsi"/>
          <w:lang w:val="ro-RO"/>
        </w:rPr>
        <w:t>ătoare</w:t>
      </w:r>
      <w:r w:rsidRPr="002732A8">
        <w:rPr>
          <w:rFonts w:asciiTheme="majorHAnsi" w:hAnsiTheme="majorHAnsi" w:cstheme="majorHAnsi"/>
          <w:lang w:val="ro-RO"/>
        </w:rPr>
        <w:t xml:space="preserve"> </w:t>
      </w:r>
      <w:r w:rsidR="002732A8" w:rsidRPr="002732A8">
        <w:rPr>
          <w:rFonts w:asciiTheme="majorHAnsi" w:hAnsiTheme="majorHAnsi" w:cstheme="majorHAnsi"/>
          <w:lang w:val="ro-RO"/>
        </w:rPr>
        <w:t xml:space="preserve">pe termen lung. </w:t>
      </w:r>
      <w:r>
        <w:rPr>
          <w:rFonts w:asciiTheme="majorHAnsi" w:hAnsiTheme="majorHAnsi" w:cstheme="majorHAnsi"/>
          <w:lang w:val="ro-RO"/>
        </w:rPr>
        <w:t>Este îm</w:t>
      </w:r>
      <w:r w:rsidR="002732A8" w:rsidRPr="002732A8">
        <w:rPr>
          <w:rFonts w:asciiTheme="majorHAnsi" w:hAnsiTheme="majorHAnsi" w:cstheme="majorHAnsi"/>
          <w:lang w:val="ro-RO"/>
        </w:rPr>
        <w:t>bucur</w:t>
      </w:r>
      <w:r>
        <w:rPr>
          <w:rFonts w:asciiTheme="majorHAnsi" w:hAnsiTheme="majorHAnsi" w:cstheme="majorHAnsi"/>
          <w:lang w:val="ro-RO"/>
        </w:rPr>
        <w:t>ător</w:t>
      </w:r>
      <w:r w:rsidR="002732A8" w:rsidRPr="002732A8">
        <w:rPr>
          <w:rFonts w:asciiTheme="majorHAnsi" w:hAnsiTheme="majorHAnsi" w:cstheme="majorHAnsi"/>
          <w:lang w:val="ro-RO"/>
        </w:rPr>
        <w:t xml:space="preserve"> că </w:t>
      </w:r>
      <w:r>
        <w:rPr>
          <w:rFonts w:asciiTheme="majorHAnsi" w:hAnsiTheme="majorHAnsi" w:cstheme="majorHAnsi"/>
          <w:lang w:val="ro-RO"/>
        </w:rPr>
        <w:t xml:space="preserve">numeroase </w:t>
      </w:r>
      <w:r w:rsidR="002732A8" w:rsidRPr="002732A8">
        <w:rPr>
          <w:rFonts w:asciiTheme="majorHAnsi" w:hAnsiTheme="majorHAnsi" w:cstheme="majorHAnsi"/>
          <w:lang w:val="ro-RO"/>
        </w:rPr>
        <w:t xml:space="preserve">companii au curajul </w:t>
      </w:r>
      <w:r>
        <w:rPr>
          <w:rFonts w:asciiTheme="majorHAnsi" w:hAnsiTheme="majorHAnsi" w:cstheme="majorHAnsi"/>
          <w:lang w:val="ro-RO"/>
        </w:rPr>
        <w:t xml:space="preserve">să </w:t>
      </w:r>
      <w:r w:rsidRPr="002732A8">
        <w:rPr>
          <w:rFonts w:asciiTheme="majorHAnsi" w:hAnsiTheme="majorHAnsi" w:cstheme="majorHAnsi"/>
          <w:lang w:val="ro-RO"/>
        </w:rPr>
        <w:t>implement</w:t>
      </w:r>
      <w:r>
        <w:rPr>
          <w:rFonts w:asciiTheme="majorHAnsi" w:hAnsiTheme="majorHAnsi" w:cstheme="majorHAnsi"/>
          <w:lang w:val="ro-RO"/>
        </w:rPr>
        <w:t xml:space="preserve">eze </w:t>
      </w:r>
      <w:r w:rsidR="002732A8" w:rsidRPr="002732A8">
        <w:rPr>
          <w:rFonts w:asciiTheme="majorHAnsi" w:hAnsiTheme="majorHAnsi" w:cstheme="majorHAnsi"/>
          <w:lang w:val="ro-RO"/>
        </w:rPr>
        <w:t>program</w:t>
      </w:r>
      <w:r>
        <w:rPr>
          <w:rFonts w:asciiTheme="majorHAnsi" w:hAnsiTheme="majorHAnsi" w:cstheme="majorHAnsi"/>
          <w:lang w:val="ro-RO"/>
        </w:rPr>
        <w:t>e</w:t>
      </w:r>
      <w:r w:rsidR="002732A8" w:rsidRPr="002732A8">
        <w:rPr>
          <w:rFonts w:asciiTheme="majorHAnsi" w:hAnsiTheme="majorHAnsi" w:cstheme="majorHAnsi"/>
          <w:lang w:val="ro-RO"/>
        </w:rPr>
        <w:t xml:space="preserve"> eficient</w:t>
      </w:r>
      <w:r>
        <w:rPr>
          <w:rFonts w:asciiTheme="majorHAnsi" w:hAnsiTheme="majorHAnsi" w:cstheme="majorHAnsi"/>
          <w:lang w:val="ro-RO"/>
        </w:rPr>
        <w:t>e</w:t>
      </w:r>
      <w:r w:rsidR="002732A8" w:rsidRPr="002732A8">
        <w:rPr>
          <w:rFonts w:asciiTheme="majorHAnsi" w:hAnsiTheme="majorHAnsi" w:cstheme="majorHAnsi"/>
          <w:lang w:val="ro-RO"/>
        </w:rPr>
        <w:t xml:space="preserve"> de avertizare</w:t>
      </w:r>
      <w:r>
        <w:rPr>
          <w:rFonts w:asciiTheme="majorHAnsi" w:hAnsiTheme="majorHAnsi" w:cstheme="majorHAnsi"/>
          <w:lang w:val="ro-RO"/>
        </w:rPr>
        <w:t xml:space="preserve"> pentru a gestiona astfel de chestiuni legat de </w:t>
      </w:r>
      <w:r w:rsidRPr="002732A8">
        <w:rPr>
          <w:rFonts w:asciiTheme="majorHAnsi" w:hAnsiTheme="majorHAnsi" w:cstheme="majorHAnsi"/>
          <w:lang w:val="ro-RO"/>
        </w:rPr>
        <w:t>angajați</w:t>
      </w:r>
      <w:r>
        <w:rPr>
          <w:rFonts w:asciiTheme="majorHAnsi" w:hAnsiTheme="majorHAnsi" w:cstheme="majorHAnsi"/>
          <w:lang w:val="ro-RO"/>
        </w:rPr>
        <w:t>i lor</w:t>
      </w:r>
      <w:r w:rsidRPr="002732A8">
        <w:rPr>
          <w:rFonts w:asciiTheme="majorHAnsi" w:hAnsiTheme="majorHAnsi" w:cstheme="majorHAnsi"/>
          <w:lang w:val="ro-RO"/>
        </w:rPr>
        <w:t xml:space="preserve"> și </w:t>
      </w:r>
      <w:r>
        <w:rPr>
          <w:rFonts w:asciiTheme="majorHAnsi" w:hAnsiTheme="majorHAnsi" w:cstheme="majorHAnsi"/>
          <w:lang w:val="ro-RO"/>
        </w:rPr>
        <w:t xml:space="preserve">de </w:t>
      </w:r>
      <w:r w:rsidRPr="002732A8">
        <w:rPr>
          <w:rFonts w:asciiTheme="majorHAnsi" w:hAnsiTheme="majorHAnsi" w:cstheme="majorHAnsi"/>
          <w:lang w:val="ro-RO"/>
        </w:rPr>
        <w:t>organizații</w:t>
      </w:r>
      <w:r>
        <w:rPr>
          <w:rFonts w:asciiTheme="majorHAnsi" w:hAnsiTheme="majorHAnsi" w:cstheme="majorHAnsi"/>
          <w:lang w:val="ro-RO"/>
        </w:rPr>
        <w:t xml:space="preserve"> în ansamblu</w:t>
      </w:r>
      <w:r w:rsidR="002732A8" w:rsidRPr="002732A8">
        <w:rPr>
          <w:rFonts w:asciiTheme="majorHAnsi" w:hAnsiTheme="majorHAnsi" w:cstheme="majorHAnsi"/>
          <w:lang w:val="ro-RO"/>
        </w:rPr>
        <w:t xml:space="preserve">. </w:t>
      </w:r>
      <w:r>
        <w:rPr>
          <w:rFonts w:asciiTheme="majorHAnsi" w:hAnsiTheme="majorHAnsi" w:cstheme="majorHAnsi"/>
          <w:lang w:val="ro-RO"/>
        </w:rPr>
        <w:t>De asemenea, e</w:t>
      </w:r>
      <w:r w:rsidRPr="002732A8">
        <w:rPr>
          <w:rFonts w:asciiTheme="majorHAnsi" w:hAnsiTheme="majorHAnsi" w:cstheme="majorHAnsi"/>
          <w:lang w:val="ro-RO"/>
        </w:rPr>
        <w:t xml:space="preserve">ste </w:t>
      </w:r>
      <w:r w:rsidR="002732A8" w:rsidRPr="002732A8">
        <w:rPr>
          <w:rFonts w:asciiTheme="majorHAnsi" w:hAnsiTheme="majorHAnsi" w:cstheme="majorHAnsi"/>
          <w:lang w:val="ro-RO"/>
        </w:rPr>
        <w:t xml:space="preserve">promițător faptul că </w:t>
      </w:r>
      <w:r>
        <w:rPr>
          <w:rFonts w:asciiTheme="majorHAnsi" w:hAnsiTheme="majorHAnsi" w:cstheme="majorHAnsi"/>
          <w:lang w:val="ro-RO"/>
        </w:rPr>
        <w:t>noua d</w:t>
      </w:r>
      <w:r w:rsidRPr="002732A8">
        <w:rPr>
          <w:rFonts w:asciiTheme="majorHAnsi" w:hAnsiTheme="majorHAnsi" w:cstheme="majorHAnsi"/>
          <w:lang w:val="ro-RO"/>
        </w:rPr>
        <w:t>irectiv</w:t>
      </w:r>
      <w:r>
        <w:rPr>
          <w:rFonts w:asciiTheme="majorHAnsi" w:hAnsiTheme="majorHAnsi" w:cstheme="majorHAnsi"/>
          <w:lang w:val="ro-RO"/>
        </w:rPr>
        <w:t>ă</w:t>
      </w:r>
      <w:r w:rsidRPr="002732A8">
        <w:rPr>
          <w:rFonts w:asciiTheme="majorHAnsi" w:hAnsiTheme="majorHAnsi" w:cstheme="majorHAnsi"/>
          <w:lang w:val="ro-RO"/>
        </w:rPr>
        <w:t xml:space="preserve"> </w:t>
      </w:r>
      <w:r w:rsidR="002732A8" w:rsidRPr="002732A8">
        <w:rPr>
          <w:rFonts w:asciiTheme="majorHAnsi" w:hAnsiTheme="majorHAnsi" w:cstheme="majorHAnsi"/>
          <w:lang w:val="ro-RO"/>
        </w:rPr>
        <w:t xml:space="preserve">UE pune presiune asupra companiilor </w:t>
      </w:r>
      <w:r>
        <w:rPr>
          <w:rFonts w:asciiTheme="majorHAnsi" w:hAnsiTheme="majorHAnsi" w:cstheme="majorHAnsi"/>
          <w:lang w:val="ro-RO"/>
        </w:rPr>
        <w:t>să înființeze o</w:t>
      </w:r>
      <w:r w:rsidRPr="002732A8">
        <w:rPr>
          <w:rFonts w:asciiTheme="majorHAnsi" w:hAnsiTheme="majorHAnsi" w:cstheme="majorHAnsi"/>
          <w:lang w:val="ro-RO"/>
        </w:rPr>
        <w:t xml:space="preserve"> lini</w:t>
      </w:r>
      <w:r>
        <w:rPr>
          <w:rFonts w:asciiTheme="majorHAnsi" w:hAnsiTheme="majorHAnsi" w:cstheme="majorHAnsi"/>
          <w:lang w:val="ro-RO"/>
        </w:rPr>
        <w:t>e</w:t>
      </w:r>
      <w:r w:rsidRPr="002732A8">
        <w:rPr>
          <w:rFonts w:asciiTheme="majorHAnsi" w:hAnsiTheme="majorHAnsi" w:cstheme="majorHAnsi"/>
          <w:lang w:val="ro-RO"/>
        </w:rPr>
        <w:t xml:space="preserve"> </w:t>
      </w:r>
      <w:r w:rsidR="002732A8" w:rsidRPr="002732A8">
        <w:rPr>
          <w:rFonts w:asciiTheme="majorHAnsi" w:hAnsiTheme="majorHAnsi" w:cstheme="majorHAnsi"/>
          <w:lang w:val="ro-RO"/>
        </w:rPr>
        <w:t>sigură</w:t>
      </w:r>
      <w:r>
        <w:rPr>
          <w:rFonts w:asciiTheme="majorHAnsi" w:hAnsiTheme="majorHAnsi" w:cstheme="majorHAnsi"/>
          <w:lang w:val="ro-RO"/>
        </w:rPr>
        <w:t xml:space="preserve"> </w:t>
      </w:r>
      <w:r w:rsidRPr="002732A8">
        <w:rPr>
          <w:rFonts w:asciiTheme="majorHAnsi" w:hAnsiTheme="majorHAnsi" w:cstheme="majorHAnsi"/>
          <w:lang w:val="ro-RO"/>
        </w:rPr>
        <w:t>de raportare</w:t>
      </w:r>
      <w:r w:rsidR="002732A8" w:rsidRPr="002732A8">
        <w:rPr>
          <w:rFonts w:asciiTheme="majorHAnsi" w:hAnsiTheme="majorHAnsi" w:cstheme="majorHAnsi"/>
          <w:lang w:val="ro-RO"/>
        </w:rPr>
        <w:t xml:space="preserve">. Pe termen mediu și lung, </w:t>
      </w:r>
      <w:r w:rsidR="00CF367C">
        <w:rPr>
          <w:rFonts w:asciiTheme="majorHAnsi" w:hAnsiTheme="majorHAnsi" w:cstheme="majorHAnsi"/>
          <w:lang w:val="ro-RO"/>
        </w:rPr>
        <w:t xml:space="preserve">cu susținere din partea </w:t>
      </w:r>
      <w:r w:rsidR="002732A8" w:rsidRPr="002732A8">
        <w:rPr>
          <w:rFonts w:asciiTheme="majorHAnsi" w:hAnsiTheme="majorHAnsi" w:cstheme="majorHAnsi"/>
          <w:lang w:val="ro-RO"/>
        </w:rPr>
        <w:t>manage</w:t>
      </w:r>
      <w:r w:rsidR="00CF367C">
        <w:rPr>
          <w:rFonts w:asciiTheme="majorHAnsi" w:hAnsiTheme="majorHAnsi" w:cstheme="majorHAnsi"/>
          <w:lang w:val="ro-RO"/>
        </w:rPr>
        <w:t>mentului</w:t>
      </w:r>
      <w:r w:rsidR="002732A8" w:rsidRPr="002732A8">
        <w:rPr>
          <w:rFonts w:asciiTheme="majorHAnsi" w:hAnsiTheme="majorHAnsi" w:cstheme="majorHAnsi"/>
          <w:lang w:val="ro-RO"/>
        </w:rPr>
        <w:t xml:space="preserve">, astfel de linii de raportare </w:t>
      </w:r>
      <w:r>
        <w:rPr>
          <w:rFonts w:asciiTheme="majorHAnsi" w:hAnsiTheme="majorHAnsi" w:cstheme="majorHAnsi"/>
          <w:lang w:val="ro-RO"/>
        </w:rPr>
        <w:t xml:space="preserve">se </w:t>
      </w:r>
      <w:r w:rsidR="002732A8" w:rsidRPr="002732A8">
        <w:rPr>
          <w:rFonts w:asciiTheme="majorHAnsi" w:hAnsiTheme="majorHAnsi" w:cstheme="majorHAnsi"/>
          <w:lang w:val="ro-RO"/>
        </w:rPr>
        <w:t xml:space="preserve">vor </w:t>
      </w:r>
      <w:r>
        <w:rPr>
          <w:rFonts w:asciiTheme="majorHAnsi" w:hAnsiTheme="majorHAnsi" w:cstheme="majorHAnsi"/>
          <w:lang w:val="ro-RO"/>
        </w:rPr>
        <w:t>dovedi</w:t>
      </w:r>
      <w:r w:rsidR="002732A8" w:rsidRPr="002732A8">
        <w:rPr>
          <w:rFonts w:asciiTheme="majorHAnsi" w:hAnsiTheme="majorHAnsi" w:cstheme="majorHAnsi"/>
          <w:lang w:val="ro-RO"/>
        </w:rPr>
        <w:t xml:space="preserve">, cu siguranță, </w:t>
      </w:r>
      <w:r w:rsidRPr="002732A8">
        <w:rPr>
          <w:rFonts w:asciiTheme="majorHAnsi" w:hAnsiTheme="majorHAnsi" w:cstheme="majorHAnsi"/>
          <w:lang w:val="ro-RO"/>
        </w:rPr>
        <w:t>valo</w:t>
      </w:r>
      <w:r>
        <w:rPr>
          <w:rFonts w:asciiTheme="majorHAnsi" w:hAnsiTheme="majorHAnsi" w:cstheme="majorHAnsi"/>
          <w:lang w:val="ro-RO"/>
        </w:rPr>
        <w:t xml:space="preserve">roase pentru businessurile </w:t>
      </w:r>
      <w:r w:rsidR="002732A8" w:rsidRPr="002732A8">
        <w:rPr>
          <w:rFonts w:asciiTheme="majorHAnsi" w:hAnsiTheme="majorHAnsi" w:cstheme="majorHAnsi"/>
          <w:lang w:val="ro-RO"/>
        </w:rPr>
        <w:t>din Uniunea Europeană.</w:t>
      </w:r>
    </w:p>
    <w:p w14:paraId="76482D2C" w14:textId="49F9EC04" w:rsidR="00FA26C3" w:rsidRDefault="00FA26C3" w:rsidP="002732A8">
      <w:pPr>
        <w:widowControl w:val="0"/>
        <w:spacing w:after="80" w:line="264" w:lineRule="auto"/>
        <w:jc w:val="both"/>
        <w:rPr>
          <w:rFonts w:asciiTheme="majorHAnsi" w:hAnsiTheme="majorHAnsi" w:cstheme="majorHAnsi"/>
          <w:lang w:val="ro-RO"/>
        </w:rPr>
      </w:pPr>
    </w:p>
    <w:p w14:paraId="13E03930" w14:textId="01EB093F" w:rsidR="00FA26C3" w:rsidRPr="00155301" w:rsidRDefault="00FA26C3" w:rsidP="002732A8">
      <w:pPr>
        <w:widowControl w:val="0"/>
        <w:spacing w:after="80" w:line="264" w:lineRule="auto"/>
        <w:jc w:val="both"/>
        <w:rPr>
          <w:rFonts w:asciiTheme="majorHAnsi" w:hAnsiTheme="majorHAnsi" w:cstheme="majorHAnsi"/>
          <w:b/>
          <w:bCs/>
          <w:lang w:val="ro-RO"/>
        </w:rPr>
      </w:pPr>
      <w:r w:rsidRPr="00155301">
        <w:rPr>
          <w:rFonts w:asciiTheme="majorHAnsi" w:hAnsiTheme="majorHAnsi" w:cstheme="majorHAnsi"/>
          <w:b/>
          <w:bCs/>
          <w:lang w:val="ro-RO"/>
        </w:rPr>
        <w:t>Ce este</w:t>
      </w:r>
      <w:r>
        <w:rPr>
          <w:rFonts w:asciiTheme="majorHAnsi" w:hAnsiTheme="majorHAnsi" w:cstheme="majorHAnsi"/>
          <w:b/>
          <w:bCs/>
          <w:lang w:val="ro-RO"/>
        </w:rPr>
        <w:t>, de fapt,</w:t>
      </w:r>
      <w:r w:rsidRPr="00155301">
        <w:rPr>
          <w:rFonts w:asciiTheme="majorHAnsi" w:hAnsiTheme="majorHAnsi" w:cstheme="majorHAnsi"/>
          <w:b/>
          <w:bCs/>
          <w:lang w:val="ro-RO"/>
        </w:rPr>
        <w:t xml:space="preserve"> un </w:t>
      </w:r>
      <w:proofErr w:type="spellStart"/>
      <w:r w:rsidRPr="00155301">
        <w:rPr>
          <w:rFonts w:asciiTheme="majorHAnsi" w:hAnsiTheme="majorHAnsi" w:cstheme="majorHAnsi"/>
          <w:b/>
          <w:bCs/>
          <w:i/>
          <w:iCs/>
          <w:lang w:val="ro-RO"/>
        </w:rPr>
        <w:t>whistleblower</w:t>
      </w:r>
      <w:proofErr w:type="spellEnd"/>
      <w:r w:rsidRPr="00155301">
        <w:rPr>
          <w:rFonts w:asciiTheme="majorHAnsi" w:hAnsiTheme="majorHAnsi" w:cstheme="majorHAnsi"/>
          <w:b/>
          <w:bCs/>
          <w:lang w:val="ro-RO"/>
        </w:rPr>
        <w:t>?</w:t>
      </w:r>
    </w:p>
    <w:p w14:paraId="53175EB3" w14:textId="3CCF8358" w:rsidR="002732A8" w:rsidRPr="002732A8" w:rsidRDefault="00FA26C3" w:rsidP="002732A8">
      <w:pPr>
        <w:widowControl w:val="0"/>
        <w:spacing w:after="80" w:line="264" w:lineRule="auto"/>
        <w:jc w:val="both"/>
        <w:rPr>
          <w:rFonts w:asciiTheme="majorHAnsi" w:hAnsiTheme="majorHAnsi" w:cstheme="majorHAnsi"/>
          <w:lang w:val="ro-RO"/>
        </w:rPr>
      </w:pPr>
      <w:r>
        <w:rPr>
          <w:rFonts w:asciiTheme="majorHAnsi" w:hAnsiTheme="majorHAnsi" w:cstheme="majorHAnsi"/>
          <w:lang w:val="ro-RO"/>
        </w:rPr>
        <w:t>A</w:t>
      </w:r>
      <w:r w:rsidR="002732A8" w:rsidRPr="002732A8">
        <w:rPr>
          <w:rFonts w:asciiTheme="majorHAnsi" w:hAnsiTheme="majorHAnsi" w:cstheme="majorHAnsi"/>
          <w:lang w:val="ro-RO"/>
        </w:rPr>
        <w:t>vertizor</w:t>
      </w:r>
      <w:r>
        <w:rPr>
          <w:rFonts w:asciiTheme="majorHAnsi" w:hAnsiTheme="majorHAnsi" w:cstheme="majorHAnsi"/>
          <w:lang w:val="ro-RO"/>
        </w:rPr>
        <w:t>ul este persoana care</w:t>
      </w:r>
      <w:r w:rsidR="002732A8" w:rsidRPr="002732A8">
        <w:rPr>
          <w:rFonts w:asciiTheme="majorHAnsi" w:hAnsiTheme="majorHAnsi" w:cstheme="majorHAnsi"/>
          <w:lang w:val="ro-RO"/>
        </w:rPr>
        <w:t xml:space="preserve"> dezvăluie informații referitoare la </w:t>
      </w:r>
      <w:r w:rsidRPr="002732A8">
        <w:rPr>
          <w:rFonts w:asciiTheme="majorHAnsi" w:hAnsiTheme="majorHAnsi" w:cstheme="majorHAnsi"/>
          <w:lang w:val="ro-RO"/>
        </w:rPr>
        <w:t>neregul</w:t>
      </w:r>
      <w:r>
        <w:rPr>
          <w:rFonts w:asciiTheme="majorHAnsi" w:hAnsiTheme="majorHAnsi" w:cstheme="majorHAnsi"/>
          <w:lang w:val="ro-RO"/>
        </w:rPr>
        <w:t xml:space="preserve">i </w:t>
      </w:r>
      <w:r w:rsidR="002732A8" w:rsidRPr="002732A8">
        <w:rPr>
          <w:rFonts w:asciiTheme="majorHAnsi" w:hAnsiTheme="majorHAnsi" w:cstheme="majorHAnsi"/>
          <w:lang w:val="ro-RO"/>
        </w:rPr>
        <w:t xml:space="preserve">ce ar putea dăuna organizației sau </w:t>
      </w:r>
      <w:r>
        <w:rPr>
          <w:rFonts w:asciiTheme="majorHAnsi" w:hAnsiTheme="majorHAnsi" w:cstheme="majorHAnsi"/>
          <w:lang w:val="ro-RO"/>
        </w:rPr>
        <w:t xml:space="preserve">sentimentului de </w:t>
      </w:r>
      <w:r w:rsidRPr="002732A8">
        <w:rPr>
          <w:rFonts w:asciiTheme="majorHAnsi" w:hAnsiTheme="majorHAnsi" w:cstheme="majorHAnsi"/>
          <w:lang w:val="ro-RO"/>
        </w:rPr>
        <w:t>încreder</w:t>
      </w:r>
      <w:r>
        <w:rPr>
          <w:rFonts w:asciiTheme="majorHAnsi" w:hAnsiTheme="majorHAnsi" w:cstheme="majorHAnsi"/>
          <w:lang w:val="ro-RO"/>
        </w:rPr>
        <w:t>e</w:t>
      </w:r>
      <w:r w:rsidRPr="002732A8">
        <w:rPr>
          <w:rFonts w:asciiTheme="majorHAnsi" w:hAnsiTheme="majorHAnsi" w:cstheme="majorHAnsi"/>
          <w:lang w:val="ro-RO"/>
        </w:rPr>
        <w:t xml:space="preserve"> </w:t>
      </w:r>
      <w:r w:rsidR="002732A8" w:rsidRPr="002732A8">
        <w:rPr>
          <w:rFonts w:asciiTheme="majorHAnsi" w:hAnsiTheme="majorHAnsi" w:cstheme="majorHAnsi"/>
          <w:lang w:val="ro-RO"/>
        </w:rPr>
        <w:t>din cadrul acesteia</w:t>
      </w:r>
      <w:r>
        <w:rPr>
          <w:rFonts w:asciiTheme="majorHAnsi" w:hAnsiTheme="majorHAnsi" w:cstheme="majorHAnsi"/>
          <w:lang w:val="ro-RO"/>
        </w:rPr>
        <w:t xml:space="preserve"> ori </w:t>
      </w:r>
      <w:r w:rsidR="002732A8" w:rsidRPr="002732A8">
        <w:rPr>
          <w:rFonts w:asciiTheme="majorHAnsi" w:hAnsiTheme="majorHAnsi" w:cstheme="majorHAnsi"/>
          <w:lang w:val="ro-RO"/>
        </w:rPr>
        <w:t xml:space="preserve">chiar încrederii în </w:t>
      </w:r>
      <w:r w:rsidRPr="002732A8">
        <w:rPr>
          <w:rFonts w:asciiTheme="majorHAnsi" w:hAnsiTheme="majorHAnsi" w:cstheme="majorHAnsi"/>
          <w:lang w:val="ro-RO"/>
        </w:rPr>
        <w:t>organizați</w:t>
      </w:r>
      <w:r>
        <w:rPr>
          <w:rFonts w:asciiTheme="majorHAnsi" w:hAnsiTheme="majorHAnsi" w:cstheme="majorHAnsi"/>
          <w:lang w:val="ro-RO"/>
        </w:rPr>
        <w:t>e</w:t>
      </w:r>
      <w:r w:rsidRPr="002732A8">
        <w:rPr>
          <w:rFonts w:asciiTheme="majorHAnsi" w:hAnsiTheme="majorHAnsi" w:cstheme="majorHAnsi"/>
          <w:lang w:val="ro-RO"/>
        </w:rPr>
        <w:t xml:space="preserve"> în</w:t>
      </w:r>
      <w:r>
        <w:rPr>
          <w:rFonts w:asciiTheme="majorHAnsi" w:hAnsiTheme="majorHAnsi" w:cstheme="majorHAnsi"/>
          <w:lang w:val="ro-RO"/>
        </w:rPr>
        <w:t xml:space="preserve"> ansamblu</w:t>
      </w:r>
      <w:r w:rsidR="002732A8" w:rsidRPr="002732A8">
        <w:rPr>
          <w:rFonts w:asciiTheme="majorHAnsi" w:hAnsiTheme="majorHAnsi" w:cstheme="majorHAnsi"/>
          <w:lang w:val="ro-RO"/>
        </w:rPr>
        <w:t xml:space="preserve">. Astfel de dezvăluiri sunt făcute fie intern, reprezentanților independenți ai organizației, fie extern, autorităților guvernamentale relevante. </w:t>
      </w:r>
      <w:r>
        <w:rPr>
          <w:rFonts w:asciiTheme="majorHAnsi" w:hAnsiTheme="majorHAnsi" w:cstheme="majorHAnsi"/>
          <w:lang w:val="ro-RO"/>
        </w:rPr>
        <w:t xml:space="preserve">Mai trebuie menționat un aspect de care companiile </w:t>
      </w:r>
      <w:r w:rsidR="002732A8" w:rsidRPr="002732A8">
        <w:rPr>
          <w:rFonts w:asciiTheme="majorHAnsi" w:hAnsiTheme="majorHAnsi" w:cstheme="majorHAnsi"/>
          <w:lang w:val="ro-RO"/>
        </w:rPr>
        <w:t>trebuie să țină cont</w:t>
      </w:r>
      <w:r>
        <w:rPr>
          <w:rFonts w:asciiTheme="majorHAnsi" w:hAnsiTheme="majorHAnsi" w:cstheme="majorHAnsi"/>
          <w:lang w:val="ro-RO"/>
        </w:rPr>
        <w:t>:</w:t>
      </w:r>
      <w:r w:rsidR="002732A8" w:rsidRPr="002732A8">
        <w:rPr>
          <w:rFonts w:asciiTheme="majorHAnsi" w:hAnsiTheme="majorHAnsi" w:cstheme="majorHAnsi"/>
          <w:lang w:val="ro-RO"/>
        </w:rPr>
        <w:t xml:space="preserve"> în absența unui canal sigur de raportare, există </w:t>
      </w:r>
      <w:r w:rsidR="002732A8" w:rsidRPr="002732A8">
        <w:rPr>
          <w:rFonts w:asciiTheme="majorHAnsi" w:hAnsiTheme="majorHAnsi" w:cstheme="majorHAnsi"/>
          <w:lang w:val="ro-RO"/>
        </w:rPr>
        <w:lastRenderedPageBreak/>
        <w:t>riscul ca</w:t>
      </w:r>
      <w:r w:rsidR="007B5114">
        <w:rPr>
          <w:rFonts w:asciiTheme="majorHAnsi" w:hAnsiTheme="majorHAnsi" w:cstheme="majorHAnsi"/>
          <w:lang w:val="ro-RO"/>
        </w:rPr>
        <w:t xml:space="preserve"> avertizorii care ar dori să denunțe</w:t>
      </w:r>
      <w:r w:rsidR="002732A8" w:rsidRPr="002732A8">
        <w:rPr>
          <w:rFonts w:asciiTheme="majorHAnsi" w:hAnsiTheme="majorHAnsi" w:cstheme="majorHAnsi"/>
          <w:lang w:val="ro-RO"/>
        </w:rPr>
        <w:t xml:space="preserve"> abater</w:t>
      </w:r>
      <w:r>
        <w:rPr>
          <w:rFonts w:asciiTheme="majorHAnsi" w:hAnsiTheme="majorHAnsi" w:cstheme="majorHAnsi"/>
          <w:lang w:val="ro-RO"/>
        </w:rPr>
        <w:t>i</w:t>
      </w:r>
      <w:r w:rsidR="002732A8" w:rsidRPr="002732A8">
        <w:rPr>
          <w:rFonts w:asciiTheme="majorHAnsi" w:hAnsiTheme="majorHAnsi" w:cstheme="majorHAnsi"/>
          <w:lang w:val="ro-RO"/>
        </w:rPr>
        <w:t xml:space="preserve"> </w:t>
      </w:r>
      <w:r w:rsidRPr="002732A8">
        <w:rPr>
          <w:rFonts w:asciiTheme="majorHAnsi" w:hAnsiTheme="majorHAnsi" w:cstheme="majorHAnsi"/>
          <w:lang w:val="ro-RO"/>
        </w:rPr>
        <w:t>grav</w:t>
      </w:r>
      <w:r>
        <w:rPr>
          <w:rFonts w:asciiTheme="majorHAnsi" w:hAnsiTheme="majorHAnsi" w:cstheme="majorHAnsi"/>
          <w:lang w:val="ro-RO"/>
        </w:rPr>
        <w:t>e</w:t>
      </w:r>
      <w:r w:rsidRPr="002732A8">
        <w:rPr>
          <w:rFonts w:asciiTheme="majorHAnsi" w:hAnsiTheme="majorHAnsi" w:cstheme="majorHAnsi"/>
          <w:lang w:val="ro-RO"/>
        </w:rPr>
        <w:t xml:space="preserve"> </w:t>
      </w:r>
      <w:r w:rsidR="002732A8" w:rsidRPr="002732A8">
        <w:rPr>
          <w:rFonts w:asciiTheme="majorHAnsi" w:hAnsiTheme="majorHAnsi" w:cstheme="majorHAnsi"/>
          <w:lang w:val="ro-RO"/>
        </w:rPr>
        <w:t xml:space="preserve">să </w:t>
      </w:r>
      <w:r w:rsidR="007B5114">
        <w:rPr>
          <w:rFonts w:asciiTheme="majorHAnsi" w:hAnsiTheme="majorHAnsi" w:cstheme="majorHAnsi"/>
          <w:lang w:val="ro-RO"/>
        </w:rPr>
        <w:t xml:space="preserve">decidă să le </w:t>
      </w:r>
      <w:r>
        <w:rPr>
          <w:rFonts w:asciiTheme="majorHAnsi" w:hAnsiTheme="majorHAnsi" w:cstheme="majorHAnsi"/>
          <w:lang w:val="ro-RO"/>
        </w:rPr>
        <w:t>f</w:t>
      </w:r>
      <w:r w:rsidR="007B5114">
        <w:rPr>
          <w:rFonts w:asciiTheme="majorHAnsi" w:hAnsiTheme="majorHAnsi" w:cstheme="majorHAnsi"/>
          <w:lang w:val="ro-RO"/>
        </w:rPr>
        <w:t xml:space="preserve">acă </w:t>
      </w:r>
      <w:r w:rsidR="002732A8" w:rsidRPr="002732A8">
        <w:rPr>
          <w:rFonts w:asciiTheme="majorHAnsi" w:hAnsiTheme="majorHAnsi" w:cstheme="majorHAnsi"/>
          <w:lang w:val="ro-RO"/>
        </w:rPr>
        <w:t>publice</w:t>
      </w:r>
      <w:r>
        <w:rPr>
          <w:rFonts w:asciiTheme="majorHAnsi" w:hAnsiTheme="majorHAnsi" w:cstheme="majorHAnsi"/>
          <w:lang w:val="ro-RO"/>
        </w:rPr>
        <w:t>, prin intermediul mass-media</w:t>
      </w:r>
      <w:r w:rsidR="007B5114">
        <w:rPr>
          <w:rFonts w:asciiTheme="majorHAnsi" w:hAnsiTheme="majorHAnsi" w:cstheme="majorHAnsi"/>
          <w:lang w:val="ro-RO"/>
        </w:rPr>
        <w:t xml:space="preserve">, </w:t>
      </w:r>
      <w:r w:rsidR="0075401C">
        <w:rPr>
          <w:rFonts w:asciiTheme="majorHAnsi" w:hAnsiTheme="majorHAnsi" w:cstheme="majorHAnsi"/>
          <w:lang w:val="ro-RO"/>
        </w:rPr>
        <w:t xml:space="preserve">pentru că simt că nu au </w:t>
      </w:r>
      <w:r w:rsidR="007B5114">
        <w:rPr>
          <w:rFonts w:asciiTheme="majorHAnsi" w:hAnsiTheme="majorHAnsi" w:cstheme="majorHAnsi"/>
          <w:lang w:val="ro-RO"/>
        </w:rPr>
        <w:t>altă opțiune</w:t>
      </w:r>
      <w:r w:rsidR="002732A8" w:rsidRPr="002732A8">
        <w:rPr>
          <w:rFonts w:asciiTheme="majorHAnsi" w:hAnsiTheme="majorHAnsi" w:cstheme="majorHAnsi"/>
          <w:lang w:val="ro-RO"/>
        </w:rPr>
        <w:t>.</w:t>
      </w:r>
    </w:p>
    <w:p w14:paraId="4298E453" w14:textId="35A2A228" w:rsidR="002732A8" w:rsidRPr="002732A8" w:rsidRDefault="007B5114" w:rsidP="002732A8">
      <w:pPr>
        <w:widowControl w:val="0"/>
        <w:spacing w:after="80" w:line="264" w:lineRule="auto"/>
        <w:jc w:val="both"/>
        <w:rPr>
          <w:rFonts w:asciiTheme="majorHAnsi" w:hAnsiTheme="majorHAnsi" w:cstheme="majorHAnsi"/>
          <w:lang w:val="ro-RO"/>
        </w:rPr>
      </w:pPr>
      <w:r>
        <w:rPr>
          <w:rFonts w:asciiTheme="majorHAnsi" w:hAnsiTheme="majorHAnsi" w:cstheme="majorHAnsi"/>
          <w:lang w:val="ro-RO"/>
        </w:rPr>
        <w:t>A</w:t>
      </w:r>
      <w:r w:rsidR="002732A8" w:rsidRPr="002732A8">
        <w:rPr>
          <w:rFonts w:asciiTheme="majorHAnsi" w:hAnsiTheme="majorHAnsi" w:cstheme="majorHAnsi"/>
          <w:lang w:val="ro-RO"/>
        </w:rPr>
        <w:t>vertizori</w:t>
      </w:r>
      <w:r>
        <w:rPr>
          <w:rFonts w:asciiTheme="majorHAnsi" w:hAnsiTheme="majorHAnsi" w:cstheme="majorHAnsi"/>
          <w:lang w:val="ro-RO"/>
        </w:rPr>
        <w:t>i de integritate au un r</w:t>
      </w:r>
      <w:r w:rsidRPr="002732A8">
        <w:rPr>
          <w:rFonts w:asciiTheme="majorHAnsi" w:hAnsiTheme="majorHAnsi" w:cstheme="majorHAnsi"/>
          <w:lang w:val="ro-RO"/>
        </w:rPr>
        <w:t>ol important</w:t>
      </w:r>
      <w:r w:rsidR="002732A8" w:rsidRPr="002732A8">
        <w:rPr>
          <w:rFonts w:asciiTheme="majorHAnsi" w:hAnsiTheme="majorHAnsi" w:cstheme="majorHAnsi"/>
          <w:lang w:val="ro-RO"/>
        </w:rPr>
        <w:t xml:space="preserve"> în protejarea </w:t>
      </w:r>
      <w:r>
        <w:rPr>
          <w:rFonts w:asciiTheme="majorHAnsi" w:hAnsiTheme="majorHAnsi" w:cstheme="majorHAnsi"/>
          <w:lang w:val="ro-RO"/>
        </w:rPr>
        <w:t xml:space="preserve">interesului </w:t>
      </w:r>
      <w:r w:rsidR="002732A8" w:rsidRPr="002732A8">
        <w:rPr>
          <w:rFonts w:asciiTheme="majorHAnsi" w:hAnsiTheme="majorHAnsi" w:cstheme="majorHAnsi"/>
          <w:lang w:val="ro-RO"/>
        </w:rPr>
        <w:t>public</w:t>
      </w:r>
      <w:r>
        <w:rPr>
          <w:rFonts w:asciiTheme="majorHAnsi" w:hAnsiTheme="majorHAnsi" w:cstheme="majorHAnsi"/>
          <w:lang w:val="ro-RO"/>
        </w:rPr>
        <w:t>, aspect</w:t>
      </w:r>
      <w:r w:rsidR="002732A8" w:rsidRPr="002732A8">
        <w:rPr>
          <w:rFonts w:asciiTheme="majorHAnsi" w:hAnsiTheme="majorHAnsi" w:cstheme="majorHAnsi"/>
          <w:lang w:val="ro-RO"/>
        </w:rPr>
        <w:t xml:space="preserve"> dovedit prin </w:t>
      </w:r>
      <w:r>
        <w:rPr>
          <w:rFonts w:asciiTheme="majorHAnsi" w:hAnsiTheme="majorHAnsi" w:cstheme="majorHAnsi"/>
          <w:lang w:val="ro-RO"/>
        </w:rPr>
        <w:t xml:space="preserve">situațiile grave </w:t>
      </w:r>
      <w:r w:rsidR="002732A8" w:rsidRPr="002732A8">
        <w:rPr>
          <w:rFonts w:asciiTheme="majorHAnsi" w:hAnsiTheme="majorHAnsi" w:cstheme="majorHAnsi"/>
          <w:lang w:val="ro-RO"/>
        </w:rPr>
        <w:t>dezvăluit</w:t>
      </w:r>
      <w:r>
        <w:rPr>
          <w:rFonts w:asciiTheme="majorHAnsi" w:hAnsiTheme="majorHAnsi" w:cstheme="majorHAnsi"/>
          <w:lang w:val="ro-RO"/>
        </w:rPr>
        <w:t>e în trecut</w:t>
      </w:r>
      <w:r w:rsidR="002732A8" w:rsidRPr="002732A8">
        <w:rPr>
          <w:rFonts w:asciiTheme="majorHAnsi" w:hAnsiTheme="majorHAnsi" w:cstheme="majorHAnsi"/>
          <w:lang w:val="ro-RO"/>
        </w:rPr>
        <w:t xml:space="preserve">, cum ar fi cazurile de evaziune fiscală (spre exemplu </w:t>
      </w:r>
      <w:proofErr w:type="spellStart"/>
      <w:r w:rsidR="002732A8" w:rsidRPr="002732A8">
        <w:rPr>
          <w:rFonts w:asciiTheme="majorHAnsi" w:hAnsiTheme="majorHAnsi" w:cstheme="majorHAnsi"/>
          <w:lang w:val="ro-RO"/>
        </w:rPr>
        <w:t>LuxLeaks</w:t>
      </w:r>
      <w:proofErr w:type="spellEnd"/>
      <w:r w:rsidR="002732A8" w:rsidRPr="002732A8">
        <w:rPr>
          <w:rFonts w:asciiTheme="majorHAnsi" w:hAnsiTheme="majorHAnsi" w:cstheme="majorHAnsi"/>
          <w:lang w:val="ro-RO"/>
        </w:rPr>
        <w:t xml:space="preserve"> și Panama </w:t>
      </w:r>
      <w:proofErr w:type="spellStart"/>
      <w:r w:rsidR="002732A8" w:rsidRPr="002732A8">
        <w:rPr>
          <w:rFonts w:asciiTheme="majorHAnsi" w:hAnsiTheme="majorHAnsi" w:cstheme="majorHAnsi"/>
          <w:lang w:val="ro-RO"/>
        </w:rPr>
        <w:t>Papers</w:t>
      </w:r>
      <w:proofErr w:type="spellEnd"/>
      <w:r w:rsidR="002732A8" w:rsidRPr="002732A8">
        <w:rPr>
          <w:rFonts w:asciiTheme="majorHAnsi" w:hAnsiTheme="majorHAnsi" w:cstheme="majorHAnsi"/>
          <w:lang w:val="ro-RO"/>
        </w:rPr>
        <w:t xml:space="preserve">) și cazurile de spălare de bani (de exemplu, scandalul </w:t>
      </w:r>
      <w:proofErr w:type="spellStart"/>
      <w:r w:rsidR="002732A8" w:rsidRPr="002732A8">
        <w:rPr>
          <w:rFonts w:asciiTheme="majorHAnsi" w:hAnsiTheme="majorHAnsi" w:cstheme="majorHAnsi"/>
          <w:lang w:val="ro-RO"/>
        </w:rPr>
        <w:t>Danske</w:t>
      </w:r>
      <w:proofErr w:type="spellEnd"/>
      <w:r w:rsidR="002732A8" w:rsidRPr="002732A8">
        <w:rPr>
          <w:rFonts w:asciiTheme="majorHAnsi" w:hAnsiTheme="majorHAnsi" w:cstheme="majorHAnsi"/>
          <w:lang w:val="ro-RO"/>
        </w:rPr>
        <w:t xml:space="preserve"> Bank). Denunțarea este una dintre cele mai eficiente modalități de a detecta și de a preveni corupția, precum și cazuri de malpraxis. Prin urmare, este esențial ca anonimatul avertizorului să fie protejat, nu numai în vederea prevenirii represaliilor împotriva acestuia, </w:t>
      </w:r>
      <w:r w:rsidRPr="002732A8">
        <w:rPr>
          <w:rFonts w:asciiTheme="majorHAnsi" w:hAnsiTheme="majorHAnsi" w:cstheme="majorHAnsi"/>
          <w:lang w:val="ro-RO"/>
        </w:rPr>
        <w:t>c</w:t>
      </w:r>
      <w:r>
        <w:rPr>
          <w:rFonts w:asciiTheme="majorHAnsi" w:hAnsiTheme="majorHAnsi" w:cstheme="majorHAnsi"/>
          <w:lang w:val="ro-RO"/>
        </w:rPr>
        <w:t>i</w:t>
      </w:r>
      <w:r w:rsidRPr="002732A8">
        <w:rPr>
          <w:rFonts w:asciiTheme="majorHAnsi" w:hAnsiTheme="majorHAnsi" w:cstheme="majorHAnsi"/>
          <w:lang w:val="ro-RO"/>
        </w:rPr>
        <w:t xml:space="preserve"> </w:t>
      </w:r>
      <w:r w:rsidR="002732A8" w:rsidRPr="002732A8">
        <w:rPr>
          <w:rFonts w:asciiTheme="majorHAnsi" w:hAnsiTheme="majorHAnsi" w:cstheme="majorHAnsi"/>
          <w:lang w:val="ro-RO"/>
        </w:rPr>
        <w:t xml:space="preserve">și </w:t>
      </w:r>
      <w:r>
        <w:rPr>
          <w:rFonts w:asciiTheme="majorHAnsi" w:hAnsiTheme="majorHAnsi" w:cstheme="majorHAnsi"/>
          <w:lang w:val="ro-RO"/>
        </w:rPr>
        <w:t>pentru</w:t>
      </w:r>
      <w:r w:rsidR="002732A8" w:rsidRPr="002732A8">
        <w:rPr>
          <w:rFonts w:asciiTheme="majorHAnsi" w:hAnsiTheme="majorHAnsi" w:cstheme="majorHAnsi"/>
          <w:lang w:val="ro-RO"/>
        </w:rPr>
        <w:t xml:space="preserve"> </w:t>
      </w:r>
      <w:r>
        <w:rPr>
          <w:rFonts w:asciiTheme="majorHAnsi" w:hAnsiTheme="majorHAnsi" w:cstheme="majorHAnsi"/>
          <w:lang w:val="ro-RO"/>
        </w:rPr>
        <w:t xml:space="preserve">a-i da </w:t>
      </w:r>
      <w:r w:rsidR="002732A8" w:rsidRPr="002732A8">
        <w:rPr>
          <w:rFonts w:asciiTheme="majorHAnsi" w:hAnsiTheme="majorHAnsi" w:cstheme="majorHAnsi"/>
          <w:lang w:val="ro-RO"/>
        </w:rPr>
        <w:t>încreder</w:t>
      </w:r>
      <w:r>
        <w:rPr>
          <w:rFonts w:asciiTheme="majorHAnsi" w:hAnsiTheme="majorHAnsi" w:cstheme="majorHAnsi"/>
          <w:lang w:val="ro-RO"/>
        </w:rPr>
        <w:t>e</w:t>
      </w:r>
      <w:r w:rsidR="002732A8" w:rsidRPr="002732A8">
        <w:rPr>
          <w:rFonts w:asciiTheme="majorHAnsi" w:hAnsiTheme="majorHAnsi" w:cstheme="majorHAnsi"/>
          <w:lang w:val="ro-RO"/>
        </w:rPr>
        <w:t xml:space="preserve"> că vocea sa va fi auzită.</w:t>
      </w:r>
    </w:p>
    <w:p w14:paraId="7E7C222F" w14:textId="36BFA89E" w:rsidR="002732A8" w:rsidRPr="002732A8" w:rsidRDefault="002732A8" w:rsidP="002732A8">
      <w:pPr>
        <w:widowControl w:val="0"/>
        <w:spacing w:after="80" w:line="264" w:lineRule="auto"/>
        <w:jc w:val="both"/>
        <w:rPr>
          <w:rFonts w:asciiTheme="majorHAnsi" w:hAnsiTheme="majorHAnsi" w:cstheme="majorHAnsi"/>
          <w:lang w:val="ro-RO"/>
        </w:rPr>
      </w:pPr>
      <w:r w:rsidRPr="002732A8">
        <w:rPr>
          <w:rFonts w:asciiTheme="majorHAnsi" w:hAnsiTheme="majorHAnsi" w:cstheme="majorHAnsi"/>
          <w:lang w:val="ro-RO"/>
        </w:rPr>
        <w:t>Din nefericire, avertizorul se confruntă adesea cu represalii din partea angajatorului după ce semnal</w:t>
      </w:r>
      <w:r w:rsidR="007B5114">
        <w:rPr>
          <w:rFonts w:asciiTheme="majorHAnsi" w:hAnsiTheme="majorHAnsi" w:cstheme="majorHAnsi"/>
          <w:lang w:val="ro-RO"/>
        </w:rPr>
        <w:t>ează</w:t>
      </w:r>
      <w:r w:rsidRPr="002732A8">
        <w:rPr>
          <w:rFonts w:asciiTheme="majorHAnsi" w:hAnsiTheme="majorHAnsi" w:cstheme="majorHAnsi"/>
          <w:lang w:val="ro-RO"/>
        </w:rPr>
        <w:t xml:space="preserve"> nereguli. Potrivit unui </w:t>
      </w:r>
      <w:hyperlink r:id="rId12" w:history="1">
        <w:r w:rsidRPr="0075401C">
          <w:rPr>
            <w:rStyle w:val="Hyperlink"/>
            <w:rFonts w:asciiTheme="majorHAnsi" w:hAnsiTheme="majorHAnsi" w:cstheme="majorHAnsi"/>
            <w:lang w:val="ro-RO"/>
          </w:rPr>
          <w:t>studiu</w:t>
        </w:r>
      </w:hyperlink>
      <w:r w:rsidRPr="002732A8">
        <w:rPr>
          <w:rFonts w:asciiTheme="majorHAnsi" w:hAnsiTheme="majorHAnsi" w:cstheme="majorHAnsi"/>
          <w:lang w:val="ro-RO"/>
        </w:rPr>
        <w:t xml:space="preserve"> efectuat de profesorii de la Universitatea Bradley, aproape două treimi dintre avertizori au suferit următoarele forme de represalii</w:t>
      </w:r>
      <w:r w:rsidRPr="002732A8">
        <w:rPr>
          <w:rFonts w:asciiTheme="majorHAnsi" w:hAnsiTheme="majorHAnsi" w:cstheme="majorHAnsi"/>
          <w:lang w:val="en-US"/>
        </w:rPr>
        <w:t xml:space="preserve">: </w:t>
      </w:r>
      <w:r w:rsidRPr="002732A8">
        <w:rPr>
          <w:rFonts w:asciiTheme="majorHAnsi" w:hAnsiTheme="majorHAnsi" w:cstheme="majorHAnsi"/>
          <w:lang w:val="ro-RO"/>
        </w:rPr>
        <w:t xml:space="preserve">69% și-au pierdut locul de muncă sau au fost forțați să demisioneze, 64% au primit evaluări negative privind performanța lor la locul de muncă, 68% au </w:t>
      </w:r>
      <w:r w:rsidR="006F5739">
        <w:rPr>
          <w:rFonts w:asciiTheme="majorHAnsi" w:hAnsiTheme="majorHAnsi" w:cstheme="majorHAnsi"/>
          <w:lang w:val="ro-RO"/>
        </w:rPr>
        <w:t>fost</w:t>
      </w:r>
      <w:r w:rsidRPr="002732A8">
        <w:rPr>
          <w:rFonts w:asciiTheme="majorHAnsi" w:hAnsiTheme="majorHAnsi" w:cstheme="majorHAnsi"/>
          <w:lang w:val="ro-RO"/>
        </w:rPr>
        <w:t xml:space="preserve"> </w:t>
      </w:r>
      <w:r w:rsidR="006F5739" w:rsidRPr="002732A8">
        <w:rPr>
          <w:rFonts w:asciiTheme="majorHAnsi" w:hAnsiTheme="majorHAnsi" w:cstheme="majorHAnsi"/>
          <w:lang w:val="ro-RO"/>
        </w:rPr>
        <w:t>monitoriza</w:t>
      </w:r>
      <w:r w:rsidR="006F5739">
        <w:rPr>
          <w:rFonts w:asciiTheme="majorHAnsi" w:hAnsiTheme="majorHAnsi" w:cstheme="majorHAnsi"/>
          <w:lang w:val="ro-RO"/>
        </w:rPr>
        <w:t>ți</w:t>
      </w:r>
      <w:r w:rsidR="006F5739" w:rsidRPr="002732A8">
        <w:rPr>
          <w:rFonts w:asciiTheme="majorHAnsi" w:hAnsiTheme="majorHAnsi" w:cstheme="majorHAnsi"/>
          <w:lang w:val="ro-RO"/>
        </w:rPr>
        <w:t xml:space="preserve"> </w:t>
      </w:r>
      <w:r w:rsidRPr="002732A8">
        <w:rPr>
          <w:rFonts w:asciiTheme="majorHAnsi" w:hAnsiTheme="majorHAnsi" w:cstheme="majorHAnsi"/>
          <w:lang w:val="ro-RO"/>
        </w:rPr>
        <w:t xml:space="preserve">mai îndeaproape de către supraveghetori, 69% au fost criticați sau ostracizați de către colegii de lucru, iar 64% au fost puși pe „lista neagră” în </w:t>
      </w:r>
      <w:r w:rsidR="006F5739">
        <w:rPr>
          <w:rFonts w:asciiTheme="majorHAnsi" w:hAnsiTheme="majorHAnsi" w:cstheme="majorHAnsi"/>
          <w:lang w:val="ro-RO"/>
        </w:rPr>
        <w:t xml:space="preserve">tentativa de a </w:t>
      </w:r>
      <w:r w:rsidRPr="002732A8">
        <w:rPr>
          <w:rFonts w:asciiTheme="majorHAnsi" w:hAnsiTheme="majorHAnsi" w:cstheme="majorHAnsi"/>
          <w:lang w:val="ro-RO"/>
        </w:rPr>
        <w:t xml:space="preserve">obține un alt loc de muncă. </w:t>
      </w:r>
    </w:p>
    <w:p w14:paraId="7B3863B3" w14:textId="7C3F4F9A" w:rsidR="002732A8" w:rsidRPr="002732A8" w:rsidRDefault="002732A8" w:rsidP="002732A8">
      <w:pPr>
        <w:widowControl w:val="0"/>
        <w:spacing w:after="80" w:line="264" w:lineRule="auto"/>
        <w:jc w:val="both"/>
        <w:rPr>
          <w:rFonts w:asciiTheme="majorHAnsi" w:hAnsiTheme="majorHAnsi" w:cstheme="majorHAnsi"/>
          <w:lang w:val="ro-RO"/>
        </w:rPr>
      </w:pPr>
      <w:r w:rsidRPr="002732A8">
        <w:rPr>
          <w:rFonts w:asciiTheme="majorHAnsi" w:hAnsiTheme="majorHAnsi" w:cstheme="majorHAnsi"/>
          <w:lang w:val="ro-RO"/>
        </w:rPr>
        <w:t xml:space="preserve">Ținând cont de noua directivă UE, ce servește drept catalizator, mult mai mulți avertizori se vor simți mai în siguranță și încurajați să </w:t>
      </w:r>
      <w:r w:rsidR="006F5739">
        <w:rPr>
          <w:rFonts w:asciiTheme="majorHAnsi" w:hAnsiTheme="majorHAnsi" w:cstheme="majorHAnsi"/>
          <w:lang w:val="ro-RO"/>
        </w:rPr>
        <w:t>ia poziție</w:t>
      </w:r>
      <w:r w:rsidR="006F5739" w:rsidRPr="002732A8">
        <w:rPr>
          <w:rFonts w:asciiTheme="majorHAnsi" w:hAnsiTheme="majorHAnsi" w:cstheme="majorHAnsi"/>
          <w:lang w:val="ro-RO"/>
        </w:rPr>
        <w:t xml:space="preserve"> </w:t>
      </w:r>
      <w:r w:rsidRPr="002732A8">
        <w:rPr>
          <w:rFonts w:asciiTheme="majorHAnsi" w:hAnsiTheme="majorHAnsi" w:cstheme="majorHAnsi"/>
          <w:lang w:val="ro-RO"/>
        </w:rPr>
        <w:t>și să expună abaterile, în timp ce organizațiile sunt sprijinite</w:t>
      </w:r>
      <w:r w:rsidR="006F5739">
        <w:rPr>
          <w:rFonts w:asciiTheme="majorHAnsi" w:hAnsiTheme="majorHAnsi" w:cstheme="majorHAnsi"/>
          <w:lang w:val="ro-RO"/>
        </w:rPr>
        <w:t xml:space="preserve"> </w:t>
      </w:r>
      <w:r w:rsidRPr="002732A8">
        <w:rPr>
          <w:rFonts w:asciiTheme="majorHAnsi" w:hAnsiTheme="majorHAnsi" w:cstheme="majorHAnsi"/>
          <w:lang w:val="ro-RO"/>
        </w:rPr>
        <w:t xml:space="preserve">în vederea constituirii </w:t>
      </w:r>
      <w:r w:rsidR="006F5739" w:rsidRPr="002732A8">
        <w:rPr>
          <w:rFonts w:asciiTheme="majorHAnsi" w:hAnsiTheme="majorHAnsi" w:cstheme="majorHAnsi"/>
          <w:lang w:val="ro-RO"/>
        </w:rPr>
        <w:t>infrastructuri</w:t>
      </w:r>
      <w:r w:rsidR="006F5739">
        <w:rPr>
          <w:rFonts w:asciiTheme="majorHAnsi" w:hAnsiTheme="majorHAnsi" w:cstheme="majorHAnsi"/>
          <w:lang w:val="ro-RO"/>
        </w:rPr>
        <w:t>i</w:t>
      </w:r>
      <w:r w:rsidR="006F5739" w:rsidRPr="002732A8">
        <w:rPr>
          <w:rFonts w:asciiTheme="majorHAnsi" w:hAnsiTheme="majorHAnsi" w:cstheme="majorHAnsi"/>
          <w:lang w:val="ro-RO"/>
        </w:rPr>
        <w:t xml:space="preserve"> </w:t>
      </w:r>
      <w:r w:rsidRPr="002732A8">
        <w:rPr>
          <w:rFonts w:asciiTheme="majorHAnsi" w:hAnsiTheme="majorHAnsi" w:cstheme="majorHAnsi"/>
          <w:lang w:val="ro-RO"/>
        </w:rPr>
        <w:t xml:space="preserve">ce facilitează integrarea acestui nou regulament, Directiva UE nr. 2019/1937 privind denunțarea.  </w:t>
      </w:r>
    </w:p>
    <w:p w14:paraId="7EE85DCB" w14:textId="37441E50" w:rsidR="0082741F" w:rsidRPr="00D472F7" w:rsidRDefault="0082741F" w:rsidP="001D7513">
      <w:pPr>
        <w:widowControl w:val="0"/>
        <w:spacing w:after="80" w:line="264" w:lineRule="auto"/>
        <w:jc w:val="both"/>
        <w:rPr>
          <w:lang w:val="ro-RO"/>
        </w:rPr>
      </w:pPr>
    </w:p>
    <w:sectPr w:rsidR="0082741F" w:rsidRPr="00D472F7" w:rsidSect="007D0E79">
      <w:headerReference w:type="default" r:id="rId13"/>
      <w:headerReference w:type="first" r:id="rId14"/>
      <w:footerReference w:type="first" r:id="rId15"/>
      <w:pgSz w:w="11901" w:h="16840" w:code="9"/>
      <w:pgMar w:top="1440" w:right="1134" w:bottom="810" w:left="1418" w:header="0" w:footer="14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318E2" w14:textId="77777777" w:rsidR="00F54AC7" w:rsidRDefault="00F54AC7" w:rsidP="003A3259">
      <w:pPr>
        <w:spacing w:line="240" w:lineRule="auto"/>
      </w:pPr>
      <w:r>
        <w:separator/>
      </w:r>
    </w:p>
  </w:endnote>
  <w:endnote w:type="continuationSeparator" w:id="0">
    <w:p w14:paraId="656F88BE" w14:textId="77777777" w:rsidR="00F54AC7" w:rsidRDefault="00F54AC7" w:rsidP="003A32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45 Light">
    <w:altName w:val="Times New Roman"/>
    <w:charset w:val="00"/>
    <w:family w:val="auto"/>
    <w:pitch w:val="variable"/>
    <w:sig w:usb0="03000000" w:usb1="00000000" w:usb2="00000000" w:usb3="00000000" w:csb0="00000001" w:csb1="00000000"/>
  </w:font>
  <w:font w:name="ArialMT">
    <w:altName w:val="Times New Roman"/>
    <w:panose1 w:val="00000000000000000000"/>
    <w:charset w:val="4D"/>
    <w:family w:val="auto"/>
    <w:notTrueType/>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NextPro-Light">
    <w:altName w:val="Leelawadee UI Semi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35C6" w14:textId="77777777" w:rsidR="001615F5" w:rsidRPr="001615F5" w:rsidRDefault="00F54AC7" w:rsidP="005D4A30">
    <w:pPr>
      <w:pStyle w:val="Footer"/>
      <w:ind w:right="-7"/>
      <w:rPr>
        <w:rFonts w:ascii="Verdana" w:hAnsi="Verdana"/>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829B4" w14:textId="77777777" w:rsidR="00F54AC7" w:rsidRDefault="00F54AC7" w:rsidP="003A3259">
      <w:pPr>
        <w:spacing w:line="240" w:lineRule="auto"/>
      </w:pPr>
      <w:r>
        <w:separator/>
      </w:r>
    </w:p>
  </w:footnote>
  <w:footnote w:type="continuationSeparator" w:id="0">
    <w:p w14:paraId="41E88785" w14:textId="77777777" w:rsidR="00F54AC7" w:rsidRDefault="00F54AC7" w:rsidP="003A32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4557" w14:textId="77777777" w:rsidR="003A0D61" w:rsidRDefault="00BF6F11" w:rsidP="005443B3">
    <w:pPr>
      <w:pStyle w:val="Legalentity"/>
      <w:spacing w:after="140" w:line="240" w:lineRule="auto"/>
      <w:rPr>
        <w:sz w:val="18"/>
      </w:rPr>
    </w:pPr>
    <w:r>
      <w:rPr>
        <w:noProof/>
        <w:lang w:val="en-US" w:eastAsia="en-US"/>
      </w:rPr>
      <w:drawing>
        <wp:anchor distT="0" distB="0" distL="114300" distR="114300" simplePos="0" relativeHeight="251659264" behindDoc="0" locked="0" layoutInCell="1" allowOverlap="1" wp14:anchorId="49708EFF" wp14:editId="7E2AA87F">
          <wp:simplePos x="0" y="0"/>
          <wp:positionH relativeFrom="column">
            <wp:posOffset>0</wp:posOffset>
          </wp:positionH>
          <wp:positionV relativeFrom="paragraph">
            <wp:posOffset>368300</wp:posOffset>
          </wp:positionV>
          <wp:extent cx="1630680" cy="304800"/>
          <wp:effectExtent l="0" t="0" r="7620" b="0"/>
          <wp:wrapNone/>
          <wp:docPr id="8" name="Picture 8" descr="DEL_PRI_GREY_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_PRI_GREY_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2663" w14:textId="1DF7A8A9" w:rsidR="006A0423" w:rsidRDefault="00F54AC7" w:rsidP="003023E6">
    <w:pPr>
      <w:pStyle w:val="Legalentity"/>
      <w:spacing w:after="140" w:line="240" w:lineRule="auto"/>
      <w:rPr>
        <w:rFonts w:ascii="FrutigerNextPro-Light" w:hAnsi="FrutigerNextPro-Light"/>
        <w:color w:val="002776"/>
      </w:rPr>
    </w:pPr>
  </w:p>
  <w:p w14:paraId="0C23A914" w14:textId="3135AB88" w:rsidR="006A0423" w:rsidRDefault="00F54AC7" w:rsidP="001D7513">
    <w:pPr>
      <w:pStyle w:val="Legalentity"/>
      <w:spacing w:after="140" w:line="240" w:lineRule="auto"/>
      <w:ind w:firstLine="720"/>
      <w:rPr>
        <w:rFonts w:ascii="FrutigerNextPro-Light" w:hAnsi="FrutigerNextPro-Light"/>
        <w:color w:val="002776"/>
      </w:rPr>
    </w:pPr>
  </w:p>
  <w:p w14:paraId="38219948" w14:textId="56A5CBB7" w:rsidR="005443B3" w:rsidRPr="001615F5" w:rsidRDefault="00E2232C" w:rsidP="001D7513">
    <w:pPr>
      <w:pStyle w:val="Legalentity"/>
      <w:spacing w:after="140" w:line="240" w:lineRule="auto"/>
      <w:ind w:left="5040" w:firstLine="720"/>
      <w:jc w:val="right"/>
      <w:rPr>
        <w:sz w:val="11"/>
        <w:szCs w:val="11"/>
      </w:rPr>
    </w:pPr>
    <w:r>
      <w:rPr>
        <w:noProof/>
        <w:lang w:val="en-US" w:eastAsia="en-US"/>
      </w:rPr>
      <w:drawing>
        <wp:anchor distT="0" distB="0" distL="114300" distR="114300" simplePos="0" relativeHeight="251661312" behindDoc="1" locked="0" layoutInCell="1" allowOverlap="1" wp14:anchorId="458F0480" wp14:editId="4B73F580">
          <wp:simplePos x="0" y="0"/>
          <wp:positionH relativeFrom="column">
            <wp:posOffset>-173874</wp:posOffset>
          </wp:positionH>
          <wp:positionV relativeFrom="paragraph">
            <wp:posOffset>350001</wp:posOffset>
          </wp:positionV>
          <wp:extent cx="2216150" cy="901700"/>
          <wp:effectExtent l="0" t="0" r="0" b="0"/>
          <wp:wrapNone/>
          <wp:docPr id="9" name="Picture 1" descr="C:\Users\iciuca\AppData\Local\Microsoft\Windows\INetCache\Content.Word\DEL_PR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iuca\AppData\Local\Microsoft\Windows\INetCache\Content.Word\DEL_PRI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NextPro-Light" w:hAnsi="FrutigerNextPro-Light"/>
        <w:noProof/>
        <w:color w:val="002776"/>
      </w:rPr>
      <w:drawing>
        <wp:inline distT="0" distB="0" distL="0" distR="0" wp14:anchorId="6CD541CB" wp14:editId="32F892D9">
          <wp:extent cx="2387571" cy="1788287"/>
          <wp:effectExtent l="0" t="0" r="0" b="254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13785" cy="1807921"/>
                  </a:xfrm>
                  <a:prstGeom prst="rect">
                    <a:avLst/>
                  </a:prstGeom>
                </pic:spPr>
              </pic:pic>
            </a:graphicData>
          </a:graphic>
        </wp:inline>
      </w:drawing>
    </w:r>
    <w:r w:rsidR="00BF6F11">
      <w:rPr>
        <w:noProof/>
        <w:lang w:val="en-US" w:eastAsia="en-US"/>
      </w:rPr>
      <mc:AlternateContent>
        <mc:Choice Requires="wps">
          <w:drawing>
            <wp:anchor distT="0" distB="0" distL="114300" distR="114300" simplePos="0" relativeHeight="251660288" behindDoc="1" locked="1" layoutInCell="0" allowOverlap="1" wp14:anchorId="66AF2154" wp14:editId="679E6F27">
              <wp:simplePos x="0" y="0"/>
              <wp:positionH relativeFrom="page">
                <wp:posOffset>5507355</wp:posOffset>
              </wp:positionH>
              <wp:positionV relativeFrom="page">
                <wp:posOffset>549275</wp:posOffset>
              </wp:positionV>
              <wp:extent cx="1334135" cy="450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56AC4" w14:textId="77777777" w:rsidR="006679A3" w:rsidRPr="00E57B68" w:rsidRDefault="00F54AC7" w:rsidP="006679A3">
                          <w:pPr>
                            <w:autoSpaceDE w:val="0"/>
                            <w:autoSpaceDN w:val="0"/>
                            <w:adjustRightInd w:val="0"/>
                            <w:spacing w:line="18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F2154" id="_x0000_t202" coordsize="21600,21600" o:spt="202" path="m,l,21600r21600,l21600,xe">
              <v:stroke joinstyle="miter"/>
              <v:path gradientshapeok="t" o:connecttype="rect"/>
            </v:shapetype>
            <v:shape id="Text Box 9" o:spid="_x0000_s1026" type="#_x0000_t202" style="position:absolute;left:0;text-align:left;margin-left:433.65pt;margin-top:43.25pt;width:105.05pt;height:3.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" o:allowincell="f" stroked="f">
              <v:textbox inset="0,0,0,0">
                <w:txbxContent>
                  <w:p w14:paraId="07D56AC4" w14:textId="77777777" w:rsidR="006679A3" w:rsidRPr="00E57B68" w:rsidRDefault="008862DE" w:rsidP="006679A3">
                    <w:pPr>
                      <w:autoSpaceDE w:val="0"/>
                      <w:autoSpaceDN w:val="0"/>
                      <w:adjustRightInd w:val="0"/>
                      <w:spacing w:line="180" w:lineRule="atLeast"/>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70400"/>
    <w:multiLevelType w:val="hybridMultilevel"/>
    <w:tmpl w:val="3A789876"/>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259"/>
    <w:rsid w:val="000166DC"/>
    <w:rsid w:val="0002198B"/>
    <w:rsid w:val="00036422"/>
    <w:rsid w:val="00063273"/>
    <w:rsid w:val="00083F3B"/>
    <w:rsid w:val="0009201A"/>
    <w:rsid w:val="000A0454"/>
    <w:rsid w:val="000A2FDB"/>
    <w:rsid w:val="000C2B7D"/>
    <w:rsid w:val="000C71B2"/>
    <w:rsid w:val="00107E88"/>
    <w:rsid w:val="0011442D"/>
    <w:rsid w:val="00134B2B"/>
    <w:rsid w:val="00151C2E"/>
    <w:rsid w:val="00155301"/>
    <w:rsid w:val="001574D7"/>
    <w:rsid w:val="001808C5"/>
    <w:rsid w:val="00191A92"/>
    <w:rsid w:val="001953CB"/>
    <w:rsid w:val="001A0101"/>
    <w:rsid w:val="001D7513"/>
    <w:rsid w:val="001E1C67"/>
    <w:rsid w:val="00206A10"/>
    <w:rsid w:val="00206DCB"/>
    <w:rsid w:val="0021386E"/>
    <w:rsid w:val="00246AAA"/>
    <w:rsid w:val="002476C3"/>
    <w:rsid w:val="00250D3F"/>
    <w:rsid w:val="002567F7"/>
    <w:rsid w:val="00260584"/>
    <w:rsid w:val="002732A8"/>
    <w:rsid w:val="00283F9D"/>
    <w:rsid w:val="00293AD6"/>
    <w:rsid w:val="002A67B3"/>
    <w:rsid w:val="002C4ED8"/>
    <w:rsid w:val="002D4356"/>
    <w:rsid w:val="002F427A"/>
    <w:rsid w:val="00304B59"/>
    <w:rsid w:val="00317F8E"/>
    <w:rsid w:val="00351172"/>
    <w:rsid w:val="003543E2"/>
    <w:rsid w:val="003A1A2A"/>
    <w:rsid w:val="003A3259"/>
    <w:rsid w:val="003A6E43"/>
    <w:rsid w:val="003B4DB9"/>
    <w:rsid w:val="003B6EE3"/>
    <w:rsid w:val="003D2A67"/>
    <w:rsid w:val="003E532A"/>
    <w:rsid w:val="003F5C8C"/>
    <w:rsid w:val="003F7377"/>
    <w:rsid w:val="00412EE7"/>
    <w:rsid w:val="004418BD"/>
    <w:rsid w:val="00460F11"/>
    <w:rsid w:val="00470046"/>
    <w:rsid w:val="00480C31"/>
    <w:rsid w:val="00491A32"/>
    <w:rsid w:val="004B61A1"/>
    <w:rsid w:val="004D14A7"/>
    <w:rsid w:val="004D5D2E"/>
    <w:rsid w:val="004E55C8"/>
    <w:rsid w:val="0050290A"/>
    <w:rsid w:val="00503B24"/>
    <w:rsid w:val="0059067F"/>
    <w:rsid w:val="005A6CC3"/>
    <w:rsid w:val="005B0EA8"/>
    <w:rsid w:val="005D6823"/>
    <w:rsid w:val="005F2162"/>
    <w:rsid w:val="00613561"/>
    <w:rsid w:val="0061556C"/>
    <w:rsid w:val="006263DC"/>
    <w:rsid w:val="00640FD1"/>
    <w:rsid w:val="00655086"/>
    <w:rsid w:val="00677CE3"/>
    <w:rsid w:val="00685C11"/>
    <w:rsid w:val="00691A9C"/>
    <w:rsid w:val="00692C98"/>
    <w:rsid w:val="006A3E4E"/>
    <w:rsid w:val="006A55E8"/>
    <w:rsid w:val="006D2345"/>
    <w:rsid w:val="006D6D1C"/>
    <w:rsid w:val="006F5739"/>
    <w:rsid w:val="00726497"/>
    <w:rsid w:val="007350CC"/>
    <w:rsid w:val="00736E5C"/>
    <w:rsid w:val="00741235"/>
    <w:rsid w:val="00752C36"/>
    <w:rsid w:val="0075401C"/>
    <w:rsid w:val="007B5114"/>
    <w:rsid w:val="007B5FF3"/>
    <w:rsid w:val="007B7654"/>
    <w:rsid w:val="007E3C43"/>
    <w:rsid w:val="007E46E5"/>
    <w:rsid w:val="007E51DD"/>
    <w:rsid w:val="007F13AD"/>
    <w:rsid w:val="007F33E8"/>
    <w:rsid w:val="00801945"/>
    <w:rsid w:val="0080698A"/>
    <w:rsid w:val="00825413"/>
    <w:rsid w:val="0082741F"/>
    <w:rsid w:val="00844A21"/>
    <w:rsid w:val="00845380"/>
    <w:rsid w:val="008862DE"/>
    <w:rsid w:val="00895D4F"/>
    <w:rsid w:val="008B060B"/>
    <w:rsid w:val="008D3B1B"/>
    <w:rsid w:val="008F180B"/>
    <w:rsid w:val="008F30EE"/>
    <w:rsid w:val="008F3992"/>
    <w:rsid w:val="00973C00"/>
    <w:rsid w:val="009752B5"/>
    <w:rsid w:val="00990C0D"/>
    <w:rsid w:val="009A7C05"/>
    <w:rsid w:val="009B2425"/>
    <w:rsid w:val="009B7519"/>
    <w:rsid w:val="009D2C89"/>
    <w:rsid w:val="009E7175"/>
    <w:rsid w:val="00A01553"/>
    <w:rsid w:val="00A024ED"/>
    <w:rsid w:val="00A1358B"/>
    <w:rsid w:val="00A37E13"/>
    <w:rsid w:val="00A42D19"/>
    <w:rsid w:val="00A47F54"/>
    <w:rsid w:val="00A516B6"/>
    <w:rsid w:val="00A52B86"/>
    <w:rsid w:val="00A57D81"/>
    <w:rsid w:val="00A75BA4"/>
    <w:rsid w:val="00A825B4"/>
    <w:rsid w:val="00A85147"/>
    <w:rsid w:val="00A958A4"/>
    <w:rsid w:val="00AA244A"/>
    <w:rsid w:val="00AB5B8B"/>
    <w:rsid w:val="00AC7AA0"/>
    <w:rsid w:val="00AF5DF6"/>
    <w:rsid w:val="00B002C2"/>
    <w:rsid w:val="00B008DD"/>
    <w:rsid w:val="00B11962"/>
    <w:rsid w:val="00B149EA"/>
    <w:rsid w:val="00B52A85"/>
    <w:rsid w:val="00B70985"/>
    <w:rsid w:val="00B8720F"/>
    <w:rsid w:val="00BA3BB2"/>
    <w:rsid w:val="00BD51A0"/>
    <w:rsid w:val="00BE78E0"/>
    <w:rsid w:val="00BF6F11"/>
    <w:rsid w:val="00C039E4"/>
    <w:rsid w:val="00C1331C"/>
    <w:rsid w:val="00C1494C"/>
    <w:rsid w:val="00C43E42"/>
    <w:rsid w:val="00C71D17"/>
    <w:rsid w:val="00CB2B48"/>
    <w:rsid w:val="00CB5B4F"/>
    <w:rsid w:val="00CE2CAC"/>
    <w:rsid w:val="00CF367C"/>
    <w:rsid w:val="00CF4502"/>
    <w:rsid w:val="00CF5217"/>
    <w:rsid w:val="00D05DC4"/>
    <w:rsid w:val="00D30F59"/>
    <w:rsid w:val="00D472F7"/>
    <w:rsid w:val="00D74992"/>
    <w:rsid w:val="00D835BA"/>
    <w:rsid w:val="00D85B02"/>
    <w:rsid w:val="00D9024A"/>
    <w:rsid w:val="00D942F0"/>
    <w:rsid w:val="00DA0BF6"/>
    <w:rsid w:val="00DA4FDE"/>
    <w:rsid w:val="00DB78F5"/>
    <w:rsid w:val="00DC7452"/>
    <w:rsid w:val="00DF462A"/>
    <w:rsid w:val="00E1101C"/>
    <w:rsid w:val="00E2232C"/>
    <w:rsid w:val="00E42B0B"/>
    <w:rsid w:val="00E508A4"/>
    <w:rsid w:val="00E7415F"/>
    <w:rsid w:val="00E915DA"/>
    <w:rsid w:val="00E91B49"/>
    <w:rsid w:val="00EA563B"/>
    <w:rsid w:val="00EA75CD"/>
    <w:rsid w:val="00EC1981"/>
    <w:rsid w:val="00EC1F4F"/>
    <w:rsid w:val="00ED0658"/>
    <w:rsid w:val="00ED1495"/>
    <w:rsid w:val="00EE5233"/>
    <w:rsid w:val="00EF29A6"/>
    <w:rsid w:val="00F02195"/>
    <w:rsid w:val="00F06865"/>
    <w:rsid w:val="00F116BF"/>
    <w:rsid w:val="00F172E4"/>
    <w:rsid w:val="00F35CF2"/>
    <w:rsid w:val="00F36A1C"/>
    <w:rsid w:val="00F4456F"/>
    <w:rsid w:val="00F54AC7"/>
    <w:rsid w:val="00F57D61"/>
    <w:rsid w:val="00F64332"/>
    <w:rsid w:val="00F75397"/>
    <w:rsid w:val="00F94745"/>
    <w:rsid w:val="00FA26C3"/>
    <w:rsid w:val="00FA34F8"/>
    <w:rsid w:val="00FB5141"/>
    <w:rsid w:val="00FB5611"/>
    <w:rsid w:val="00FC3C76"/>
    <w:rsid w:val="00FD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936EA"/>
  <w15:chartTrackingRefBased/>
  <w15:docId w15:val="{4E97EDAB-B3CD-4733-9B60-BE9EEACC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2F7"/>
    <w:pPr>
      <w:tabs>
        <w:tab w:val="left" w:pos="284"/>
        <w:tab w:val="left" w:pos="567"/>
        <w:tab w:val="left" w:pos="851"/>
        <w:tab w:val="left" w:pos="1985"/>
        <w:tab w:val="left" w:pos="3119"/>
        <w:tab w:val="left" w:pos="4253"/>
        <w:tab w:val="right" w:pos="7655"/>
      </w:tabs>
      <w:spacing w:after="0" w:line="280" w:lineRule="exact"/>
    </w:pPr>
    <w:rPr>
      <w:rFonts w:ascii="Verdana" w:eastAsia="Times" w:hAnsi="Verdana"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B5B4F"/>
    <w:pPr>
      <w:spacing w:after="0" w:line="240" w:lineRule="auto"/>
    </w:pPr>
  </w:style>
  <w:style w:type="character" w:styleId="CommentReference">
    <w:name w:val="annotation reference"/>
    <w:basedOn w:val="DefaultParagraphFont"/>
    <w:uiPriority w:val="99"/>
    <w:semiHidden/>
    <w:unhideWhenUsed/>
    <w:rsid w:val="003B4DB9"/>
    <w:rPr>
      <w:sz w:val="16"/>
      <w:szCs w:val="16"/>
    </w:rPr>
  </w:style>
  <w:style w:type="paragraph" w:styleId="CommentText">
    <w:name w:val="annotation text"/>
    <w:basedOn w:val="Normal"/>
    <w:link w:val="CommentTextChar"/>
    <w:uiPriority w:val="99"/>
    <w:semiHidden/>
    <w:unhideWhenUsed/>
    <w:rsid w:val="003B4DB9"/>
    <w:pPr>
      <w:spacing w:line="240" w:lineRule="auto"/>
    </w:pPr>
  </w:style>
  <w:style w:type="character" w:customStyle="1" w:styleId="CommentTextChar">
    <w:name w:val="Comment Text Char"/>
    <w:basedOn w:val="DefaultParagraphFont"/>
    <w:link w:val="CommentText"/>
    <w:uiPriority w:val="99"/>
    <w:semiHidden/>
    <w:rsid w:val="003B4DB9"/>
    <w:rPr>
      <w:sz w:val="20"/>
      <w:szCs w:val="20"/>
    </w:rPr>
  </w:style>
  <w:style w:type="paragraph" w:styleId="CommentSubject">
    <w:name w:val="annotation subject"/>
    <w:basedOn w:val="CommentText"/>
    <w:next w:val="CommentText"/>
    <w:link w:val="CommentSubjectChar"/>
    <w:uiPriority w:val="99"/>
    <w:semiHidden/>
    <w:unhideWhenUsed/>
    <w:rsid w:val="003B4DB9"/>
    <w:rPr>
      <w:b/>
      <w:bCs/>
    </w:rPr>
  </w:style>
  <w:style w:type="character" w:customStyle="1" w:styleId="CommentSubjectChar">
    <w:name w:val="Comment Subject Char"/>
    <w:basedOn w:val="CommentTextChar"/>
    <w:link w:val="CommentSubject"/>
    <w:uiPriority w:val="99"/>
    <w:semiHidden/>
    <w:rsid w:val="003B4DB9"/>
    <w:rPr>
      <w:b/>
      <w:bCs/>
      <w:sz w:val="20"/>
      <w:szCs w:val="20"/>
    </w:rPr>
  </w:style>
  <w:style w:type="paragraph" w:styleId="ListParagraph">
    <w:name w:val="List Paragraph"/>
    <w:basedOn w:val="Normal"/>
    <w:uiPriority w:val="34"/>
    <w:qFormat/>
    <w:rsid w:val="0082741F"/>
    <w:pPr>
      <w:ind w:left="720"/>
      <w:contextualSpacing/>
    </w:pPr>
  </w:style>
  <w:style w:type="paragraph" w:styleId="Footer">
    <w:name w:val="footer"/>
    <w:basedOn w:val="Normal"/>
    <w:link w:val="FooterChar"/>
    <w:semiHidden/>
    <w:rsid w:val="00D472F7"/>
    <w:pPr>
      <w:tabs>
        <w:tab w:val="clear" w:pos="284"/>
        <w:tab w:val="clear" w:pos="567"/>
        <w:tab w:val="clear" w:pos="851"/>
        <w:tab w:val="clear" w:pos="7655"/>
      </w:tabs>
      <w:spacing w:line="160" w:lineRule="exact"/>
    </w:pPr>
    <w:rPr>
      <w:rFonts w:ascii="Helvetica 45 Light" w:hAnsi="Helvetica 45 Light"/>
      <w:sz w:val="12"/>
    </w:rPr>
  </w:style>
  <w:style w:type="character" w:customStyle="1" w:styleId="FooterChar">
    <w:name w:val="Footer Char"/>
    <w:basedOn w:val="DefaultParagraphFont"/>
    <w:link w:val="Footer"/>
    <w:semiHidden/>
    <w:rsid w:val="00D472F7"/>
    <w:rPr>
      <w:rFonts w:ascii="Helvetica 45 Light" w:eastAsia="Times" w:hAnsi="Helvetica 45 Light" w:cs="Times New Roman"/>
      <w:sz w:val="12"/>
      <w:szCs w:val="20"/>
      <w:lang w:val="en-GB" w:eastAsia="en-GB"/>
    </w:rPr>
  </w:style>
  <w:style w:type="paragraph" w:styleId="Header">
    <w:name w:val="header"/>
    <w:basedOn w:val="Normal"/>
    <w:link w:val="HeaderChar"/>
    <w:semiHidden/>
    <w:rsid w:val="00D472F7"/>
    <w:pPr>
      <w:tabs>
        <w:tab w:val="clear" w:pos="284"/>
        <w:tab w:val="clear" w:pos="567"/>
        <w:tab w:val="clear" w:pos="851"/>
        <w:tab w:val="clear" w:pos="1985"/>
        <w:tab w:val="clear" w:pos="3119"/>
        <w:tab w:val="clear" w:pos="4253"/>
        <w:tab w:val="clear" w:pos="7655"/>
        <w:tab w:val="center" w:pos="4320"/>
        <w:tab w:val="right" w:pos="8640"/>
      </w:tabs>
    </w:pPr>
    <w:rPr>
      <w:rFonts w:ascii="Helvetica 45 Light" w:hAnsi="Helvetica 45 Light"/>
    </w:rPr>
  </w:style>
  <w:style w:type="character" w:customStyle="1" w:styleId="HeaderChar">
    <w:name w:val="Header Char"/>
    <w:basedOn w:val="DefaultParagraphFont"/>
    <w:link w:val="Header"/>
    <w:semiHidden/>
    <w:rsid w:val="00D472F7"/>
    <w:rPr>
      <w:rFonts w:ascii="Helvetica 45 Light" w:eastAsia="Times" w:hAnsi="Helvetica 45 Light" w:cs="Times New Roman"/>
      <w:sz w:val="20"/>
      <w:szCs w:val="20"/>
      <w:lang w:val="en-GB" w:eastAsia="en-GB"/>
    </w:rPr>
  </w:style>
  <w:style w:type="paragraph" w:customStyle="1" w:styleId="Legalentity">
    <w:name w:val="Legal entity"/>
    <w:basedOn w:val="Normal"/>
    <w:rsid w:val="00D472F7"/>
    <w:pPr>
      <w:widowControl w:val="0"/>
      <w:tabs>
        <w:tab w:val="clear" w:pos="284"/>
        <w:tab w:val="clear" w:pos="567"/>
        <w:tab w:val="clear" w:pos="851"/>
        <w:tab w:val="clear" w:pos="1985"/>
        <w:tab w:val="clear" w:pos="3119"/>
        <w:tab w:val="clear" w:pos="4253"/>
        <w:tab w:val="clear" w:pos="7655"/>
      </w:tabs>
      <w:suppressAutoHyphens/>
      <w:autoSpaceDE w:val="0"/>
      <w:autoSpaceDN w:val="0"/>
      <w:adjustRightInd w:val="0"/>
      <w:spacing w:after="90" w:line="180" w:lineRule="atLeast"/>
      <w:textAlignment w:val="center"/>
    </w:pPr>
    <w:rPr>
      <w:rFonts w:ascii="ArialMT" w:eastAsia="Times New Roman" w:hAnsi="ArialMT"/>
      <w:color w:val="000000"/>
      <w:sz w:val="15"/>
    </w:rPr>
  </w:style>
  <w:style w:type="paragraph" w:styleId="BalloonText">
    <w:name w:val="Balloon Text"/>
    <w:basedOn w:val="Normal"/>
    <w:link w:val="BalloonTextChar"/>
    <w:uiPriority w:val="99"/>
    <w:semiHidden/>
    <w:unhideWhenUsed/>
    <w:rsid w:val="00134B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B2B"/>
    <w:rPr>
      <w:rFonts w:ascii="Segoe UI" w:eastAsia="Times" w:hAnsi="Segoe UI" w:cs="Segoe UI"/>
      <w:sz w:val="18"/>
      <w:szCs w:val="18"/>
      <w:lang w:val="en-GB" w:eastAsia="en-GB"/>
    </w:rPr>
  </w:style>
  <w:style w:type="character" w:styleId="Hyperlink">
    <w:name w:val="Hyperlink"/>
    <w:basedOn w:val="DefaultParagraphFont"/>
    <w:uiPriority w:val="99"/>
    <w:unhideWhenUsed/>
    <w:rsid w:val="00250D3F"/>
    <w:rPr>
      <w:color w:val="0563C1" w:themeColor="hyperlink"/>
      <w:u w:val="single"/>
    </w:rPr>
  </w:style>
  <w:style w:type="character" w:styleId="UnresolvedMention">
    <w:name w:val="Unresolved Mention"/>
    <w:basedOn w:val="DefaultParagraphFont"/>
    <w:uiPriority w:val="99"/>
    <w:semiHidden/>
    <w:unhideWhenUsed/>
    <w:rsid w:val="00250D3F"/>
    <w:rPr>
      <w:color w:val="605E5C"/>
      <w:shd w:val="clear" w:color="auto" w:fill="E1DFDD"/>
    </w:rPr>
  </w:style>
  <w:style w:type="character" w:styleId="FollowedHyperlink">
    <w:name w:val="FollowedHyperlink"/>
    <w:basedOn w:val="DefaultParagraphFont"/>
    <w:uiPriority w:val="99"/>
    <w:semiHidden/>
    <w:unhideWhenUsed/>
    <w:rsid w:val="001553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19L193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istleblowers.org/wp-content/uploads/2019/10/Marcum-Young-2019-Blowing-the-Whistle-in-the-Digital-Ag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deloitte.com/ro/ro/pages/about-deloitte/events/avertizarea-de-integritate-contextul-legislativ-actual.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atwork/applying-eu-law/infringements-proceedings/infringement_decisions/index.cfm?lang_code=EN&amp;typeOfSearch=true&amp;active_only=0&amp;noncom=0&amp;r_dossier=&amp;decision_date_from=&amp;decision_date_to=&amp;DG=JUST&amp;title=32019L1937&amp;submit=Search" TargetMode="External"/><Relationship Id="rId4" Type="http://schemas.openxmlformats.org/officeDocument/2006/relationships/settings" Target="settings.xml"/><Relationship Id="rId9" Type="http://schemas.openxmlformats.org/officeDocument/2006/relationships/hyperlink" Target="https://whistleblowingmonitor.e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34FD5-BFE1-4C89-A243-5FDE66FA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Anghel</dc:creator>
  <cp:keywords/>
  <dc:description/>
  <cp:lastModifiedBy>Anghel, Oana</cp:lastModifiedBy>
  <cp:revision>4</cp:revision>
  <dcterms:created xsi:type="dcterms:W3CDTF">2022-05-13T08:48:00Z</dcterms:created>
  <dcterms:modified xsi:type="dcterms:W3CDTF">2022-05-16T14:20:00Z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2022-03-07T05:27:46Z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870a40e8-7b40-4373-9a9a-569efca10a70</vt:lpwstr>
  </property>
  <property fmtid="{D5CDD505-2E9C-101B-9397-08002B2CF9AE}" pid="8" name="MSIP_Label_ea60d57e-af5b-4752-ac57-3e4f28ca11dc_ContentBits">
    <vt:lpwstr>0</vt:lpwstr>
  </property>
</Properties>
</file>