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63E17191" w:rsidR="000A30C3" w:rsidRPr="00BF3CC1" w:rsidRDefault="00730721" w:rsidP="00650B62">
            <w:pPr>
              <w:pStyle w:val="EYDocumenttitle"/>
              <w:rPr>
                <w:rFonts w:cs="Arial"/>
              </w:rPr>
            </w:pPr>
            <w:r>
              <w:rPr>
                <w:rFonts w:cs="Arial"/>
              </w:rPr>
              <w:t>Punct de vedere</w:t>
            </w:r>
          </w:p>
        </w:tc>
      </w:tr>
      <w:tr w:rsidR="00EF0554" w:rsidRPr="00BF3CC1" w14:paraId="0DA76760" w14:textId="77777777" w:rsidTr="00650B62">
        <w:trPr>
          <w:trHeight w:val="902"/>
        </w:trPr>
        <w:tc>
          <w:tcPr>
            <w:tcW w:w="9271" w:type="dxa"/>
            <w:gridSpan w:val="2"/>
            <w:tcMar>
              <w:top w:w="0" w:type="dxa"/>
              <w:left w:w="0" w:type="dxa"/>
              <w:bottom w:w="0" w:type="dxa"/>
              <w:right w:w="0" w:type="dxa"/>
            </w:tcMar>
          </w:tcPr>
          <w:p w14:paraId="001DADF6" w14:textId="77777777" w:rsidR="00EF0554" w:rsidRDefault="00EF0554" w:rsidP="00650B62">
            <w:pPr>
              <w:pStyle w:val="EYDocumenttitle"/>
              <w:rPr>
                <w:rFonts w:cs="Arial"/>
              </w:rPr>
            </w:pP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4791C287" w:rsidR="000A30C3" w:rsidRPr="00BF3CC1" w:rsidRDefault="00EF0554" w:rsidP="00650B62">
            <w:pPr>
              <w:pStyle w:val="EYDocumentpromptsbold"/>
              <w:rPr>
                <w:rFonts w:ascii="Arial" w:hAnsi="Arial" w:cs="Arial"/>
                <w:highlight w:val="yellow"/>
              </w:rPr>
            </w:pPr>
            <w:r>
              <w:rPr>
                <w:rFonts w:ascii="Arial" w:hAnsi="Arial" w:cs="Arial"/>
              </w:rPr>
              <w:t xml:space="preserve">26 </w:t>
            </w:r>
            <w:r w:rsidR="00816F0C">
              <w:rPr>
                <w:rFonts w:ascii="Arial" w:hAnsi="Arial" w:cs="Arial"/>
              </w:rPr>
              <w:t>mai</w:t>
            </w:r>
            <w:r w:rsidR="00CE2368">
              <w:rPr>
                <w:rFonts w:ascii="Arial" w:hAnsi="Arial" w:cs="Arial"/>
              </w:rPr>
              <w:t xml:space="preserve"> </w:t>
            </w:r>
            <w:r w:rsidR="000A30C3">
              <w:rPr>
                <w:rFonts w:ascii="Arial" w:hAnsi="Arial" w:cs="Arial"/>
              </w:rPr>
              <w:t>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3ECFA144" w14:textId="77777777" w:rsidR="000A30C3" w:rsidRPr="00BF3CC1" w:rsidRDefault="009215F3" w:rsidP="00650B62">
            <w:pPr>
              <w:pStyle w:val="EYDocumentprompts"/>
              <w:rPr>
                <w:rFonts w:cs="Arial"/>
                <w:color w:val="0000FF"/>
                <w:u w:val="single"/>
                <w:lang w:val="ro-RO"/>
              </w:rPr>
            </w:pPr>
            <w:hyperlink r:id="rId10" w:history="1">
              <w:r w:rsidR="000A30C3" w:rsidRPr="00D539DF">
                <w:rPr>
                  <w:rStyle w:val="Hyperlink"/>
                  <w:rFonts w:cs="Arial"/>
                  <w:lang w:val="ro-RO"/>
                </w:rPr>
                <w:t>anda.hutanu@ro.ey.com</w:t>
              </w:r>
            </w:hyperlink>
          </w:p>
        </w:tc>
      </w:tr>
    </w:tbl>
    <w:p w14:paraId="17CD71F2" w14:textId="0DE12A2B" w:rsidR="00A37BE0" w:rsidRPr="00A57603" w:rsidRDefault="00A37BE0" w:rsidP="00D21E69">
      <w:pPr>
        <w:pStyle w:val="EYBodytextwithparaspace"/>
        <w:spacing w:after="0" w:line="240" w:lineRule="auto"/>
        <w:contextualSpacing/>
        <w:rPr>
          <w:rFonts w:cs="Arial"/>
          <w:szCs w:val="22"/>
        </w:rPr>
      </w:pPr>
    </w:p>
    <w:p w14:paraId="0CACAB42" w14:textId="7476BFE5" w:rsidR="003E5C9A" w:rsidRDefault="00E64A80" w:rsidP="00D21E69">
      <w:pPr>
        <w:pStyle w:val="EYBodytextwithparaspace"/>
        <w:spacing w:after="240" w:line="240" w:lineRule="auto"/>
        <w:contextualSpacing/>
        <w:rPr>
          <w:rFonts w:cs="Arial"/>
          <w:b/>
          <w:bCs/>
          <w:sz w:val="28"/>
          <w:szCs w:val="28"/>
        </w:rPr>
      </w:pPr>
      <w:r w:rsidRPr="00E64A80">
        <w:rPr>
          <w:rFonts w:cs="Arial"/>
          <w:b/>
          <w:bCs/>
          <w:sz w:val="28"/>
          <w:szCs w:val="28"/>
        </w:rPr>
        <w:t>Sistem electronic de licențiere pentru produsele cu dublă utilizare. Alte noutăți</w:t>
      </w:r>
    </w:p>
    <w:p w14:paraId="0AAC9740" w14:textId="77777777" w:rsidR="00E64A80" w:rsidRPr="00730721" w:rsidRDefault="00E64A80" w:rsidP="00D21E69">
      <w:pPr>
        <w:pStyle w:val="EYBodytextwithparaspace"/>
        <w:spacing w:after="240" w:line="240" w:lineRule="auto"/>
        <w:contextualSpacing/>
        <w:rPr>
          <w:rFonts w:cs="Arial"/>
          <w:szCs w:val="22"/>
        </w:rPr>
      </w:pPr>
    </w:p>
    <w:p w14:paraId="1D2B66AE" w14:textId="24FED03D" w:rsidR="00DD34D0" w:rsidRDefault="00730721" w:rsidP="00D21E69">
      <w:pPr>
        <w:pStyle w:val="EYBodytextwithparaspace"/>
        <w:spacing w:after="240" w:line="240" w:lineRule="auto"/>
        <w:contextualSpacing/>
        <w:rPr>
          <w:rFonts w:cs="Arial"/>
          <w:i/>
          <w:iCs/>
          <w:szCs w:val="22"/>
        </w:rPr>
      </w:pPr>
      <w:r w:rsidRPr="00C21EAC">
        <w:rPr>
          <w:rFonts w:cs="Arial"/>
          <w:i/>
          <w:iCs/>
          <w:szCs w:val="22"/>
        </w:rPr>
        <w:t>Autor:</w:t>
      </w:r>
      <w:r w:rsidR="00C21EAC">
        <w:rPr>
          <w:rFonts w:cs="Arial"/>
          <w:i/>
          <w:iCs/>
          <w:szCs w:val="22"/>
        </w:rPr>
        <w:t xml:space="preserve"> </w:t>
      </w:r>
      <w:r w:rsidR="00E64A80">
        <w:rPr>
          <w:rFonts w:cs="Arial"/>
          <w:i/>
          <w:iCs/>
          <w:szCs w:val="22"/>
        </w:rPr>
        <w:t>Daniela Neagoe</w:t>
      </w:r>
      <w:r w:rsidR="00A258D6">
        <w:rPr>
          <w:rFonts w:cs="Arial"/>
          <w:i/>
          <w:iCs/>
          <w:szCs w:val="22"/>
        </w:rPr>
        <w:t xml:space="preserve">, </w:t>
      </w:r>
      <w:r w:rsidR="00DB53C4">
        <w:rPr>
          <w:rFonts w:cs="Arial"/>
          <w:i/>
          <w:iCs/>
          <w:szCs w:val="22"/>
        </w:rPr>
        <w:t>Senior Manager</w:t>
      </w:r>
      <w:r w:rsidR="00A24BCA">
        <w:rPr>
          <w:rFonts w:cs="Arial"/>
          <w:i/>
          <w:iCs/>
          <w:szCs w:val="22"/>
        </w:rPr>
        <w:t>,</w:t>
      </w:r>
      <w:r w:rsidR="00DB53C4">
        <w:rPr>
          <w:rFonts w:cs="Arial"/>
          <w:i/>
          <w:iCs/>
          <w:szCs w:val="22"/>
        </w:rPr>
        <w:t xml:space="preserve"> Comerţ internaţional</w:t>
      </w:r>
      <w:r w:rsidR="00BE2877">
        <w:rPr>
          <w:rFonts w:cs="Arial"/>
          <w:i/>
          <w:iCs/>
          <w:szCs w:val="22"/>
        </w:rPr>
        <w:t>,</w:t>
      </w:r>
      <w:r w:rsidR="00A24BCA">
        <w:rPr>
          <w:rFonts w:cs="Arial"/>
          <w:i/>
          <w:iCs/>
          <w:szCs w:val="22"/>
        </w:rPr>
        <w:t xml:space="preserve"> EY România</w:t>
      </w:r>
    </w:p>
    <w:p w14:paraId="49338606" w14:textId="392C0EFC" w:rsidR="009C38EB" w:rsidRDefault="00BC4501" w:rsidP="00D21E69">
      <w:pPr>
        <w:rPr>
          <w:rFonts w:cs="Arial"/>
          <w:sz w:val="22"/>
          <w:szCs w:val="22"/>
        </w:rPr>
      </w:pPr>
      <w:r>
        <w:rPr>
          <w:rFonts w:cs="Arial"/>
          <w:sz w:val="22"/>
          <w:szCs w:val="22"/>
        </w:rPr>
        <w:t>Au apărut m</w:t>
      </w:r>
      <w:r w:rsidR="009C38EB" w:rsidRPr="009C38EB">
        <w:rPr>
          <w:rFonts w:cs="Arial"/>
          <w:sz w:val="22"/>
          <w:szCs w:val="22"/>
        </w:rPr>
        <w:t xml:space="preserve">odificări importante ale regimului de control al operațiunilor cu produse cu dublă utilizare, într-o Ordonanță de Urgență adoptată recent. Practic, actul normativ vine să transpună în legislația națională un Regulament european și introduce noi prevederi referitoare la modul de obținere a licențelor, la valabilitatea lor sau la asistența tehnică oferită pentru produsele cu dublă utilizare. Ordonanța conține și prevederi naționale, ce modifică termene, valabilități și mărește  amenda maximă. </w:t>
      </w:r>
    </w:p>
    <w:p w14:paraId="7F4ED825" w14:textId="77777777" w:rsidR="009C38EB" w:rsidRPr="009C38EB" w:rsidRDefault="009C38EB" w:rsidP="00D21E69">
      <w:pPr>
        <w:rPr>
          <w:rFonts w:cs="Arial"/>
          <w:sz w:val="22"/>
          <w:szCs w:val="22"/>
        </w:rPr>
      </w:pPr>
    </w:p>
    <w:p w14:paraId="58A9798E" w14:textId="44D9062A" w:rsidR="009C38EB" w:rsidRDefault="009C38EB" w:rsidP="00D21E69">
      <w:pPr>
        <w:rPr>
          <w:rFonts w:cs="Arial"/>
          <w:sz w:val="22"/>
          <w:szCs w:val="22"/>
        </w:rPr>
      </w:pPr>
      <w:r w:rsidRPr="009C38EB">
        <w:rPr>
          <w:rFonts w:cs="Arial"/>
          <w:bCs/>
          <w:sz w:val="22"/>
          <w:szCs w:val="22"/>
        </w:rPr>
        <w:t xml:space="preserve">Noua Ordonanță de urgență privind regimul de control al operațiunilor cu produse cu dublă utilizare (43/2022) </w:t>
      </w:r>
      <w:r w:rsidRPr="009C38EB">
        <w:rPr>
          <w:rFonts w:cs="Arial"/>
          <w:sz w:val="22"/>
          <w:szCs w:val="22"/>
        </w:rPr>
        <w:t>transpune în legislația națională Regulamentul (UE) 2021/821 al Parlamentului European, privind instituirea unui regim al Uniunii pentru controlul exporturilor, serviciilor de intermediere, asistenței tehnice, tranzitului și transferului de produse cu dublă utilizare. Atunci când vorbim despre produse cu dublă utilizare ne referim la acele produse și tehnologii care au în mod normal utilizări civile, însă, datorită caracteristicilor lor, pot avea și aplicații militare. În plus, acestea au un regim special, unele tranzac</w:t>
      </w:r>
      <w:r w:rsidR="00D21E69">
        <w:rPr>
          <w:rFonts w:cs="Arial"/>
          <w:sz w:val="22"/>
          <w:szCs w:val="22"/>
        </w:rPr>
        <w:t>ţ</w:t>
      </w:r>
      <w:r w:rsidRPr="009C38EB">
        <w:rPr>
          <w:rFonts w:cs="Arial"/>
          <w:sz w:val="22"/>
          <w:szCs w:val="22"/>
        </w:rPr>
        <w:t>ii cu astfel de produse fiind condiționate de obținerea unor licențe de la ANCEX – Departamentul pentru controlul exporturilor.</w:t>
      </w:r>
    </w:p>
    <w:p w14:paraId="05B54DBE" w14:textId="77777777" w:rsidR="009C38EB" w:rsidRPr="009C38EB" w:rsidRDefault="009C38EB" w:rsidP="00D21E69">
      <w:pPr>
        <w:rPr>
          <w:rFonts w:cs="Arial"/>
          <w:sz w:val="22"/>
          <w:szCs w:val="22"/>
        </w:rPr>
      </w:pPr>
    </w:p>
    <w:p w14:paraId="78A93392" w14:textId="1C32C89E" w:rsidR="009C38EB" w:rsidRPr="009C38EB" w:rsidRDefault="009C38EB" w:rsidP="00D21E69">
      <w:pPr>
        <w:rPr>
          <w:rFonts w:cs="Arial"/>
          <w:bCs/>
          <w:sz w:val="22"/>
          <w:szCs w:val="22"/>
        </w:rPr>
      </w:pPr>
      <w:r w:rsidRPr="009C38EB">
        <w:rPr>
          <w:rFonts w:cs="Arial"/>
          <w:sz w:val="22"/>
          <w:szCs w:val="22"/>
        </w:rPr>
        <w:t>Iată cinci dintre cele mai importante modific</w:t>
      </w:r>
      <w:r w:rsidR="003A19E1">
        <w:rPr>
          <w:rFonts w:cs="Arial"/>
          <w:sz w:val="22"/>
          <w:szCs w:val="22"/>
        </w:rPr>
        <w:t>ări</w:t>
      </w:r>
      <w:r w:rsidRPr="009C38EB">
        <w:rPr>
          <w:rFonts w:cs="Arial"/>
          <w:sz w:val="22"/>
          <w:szCs w:val="22"/>
        </w:rPr>
        <w:t xml:space="preserve"> preluate din Regulament:</w:t>
      </w:r>
    </w:p>
    <w:p w14:paraId="0E2C52F7" w14:textId="77777777" w:rsidR="009C38EB" w:rsidRPr="009C38EB" w:rsidRDefault="009C38EB" w:rsidP="00D21E69">
      <w:pPr>
        <w:pStyle w:val="ListParagraph"/>
        <w:numPr>
          <w:ilvl w:val="0"/>
          <w:numId w:val="7"/>
        </w:numPr>
        <w:spacing w:after="240" w:line="240" w:lineRule="auto"/>
        <w:rPr>
          <w:rFonts w:ascii="Arial" w:hAnsi="Arial" w:cs="Arial"/>
          <w:lang w:val="ro-RO"/>
        </w:rPr>
      </w:pPr>
      <w:r w:rsidRPr="009C38EB">
        <w:rPr>
          <w:rFonts w:ascii="Arial" w:hAnsi="Arial" w:cs="Arial"/>
          <w:bCs/>
          <w:lang w:val="ro-RO"/>
        </w:rPr>
        <w:t xml:space="preserve">O nouă procedură de licențiere. Cererile de licență se vor completa și transmite Ministerului Afacerilor Externe (MAE) prin ANCEX, via sistemul informatic eLicensing. </w:t>
      </w:r>
      <w:r w:rsidRPr="009C38EB">
        <w:rPr>
          <w:rFonts w:ascii="Arial" w:hAnsi="Arial" w:cs="Arial"/>
          <w:lang w:val="ro-RO"/>
        </w:rPr>
        <w:t xml:space="preserve">Această nouă procedură de licențiere electronică facilitează accesul agenților economici la obținerea licențelor, scurtând timpul necesar pentru corespondența cu reprezentanții ANCEX și obținerea licențelor. De asemenea, prin intermediul acestei noi proceduri, se extinde schimbul de informații între statele membre, platforma având doua interfețe: una pentru agenții economici și una pentru autoritățile competente. </w:t>
      </w:r>
    </w:p>
    <w:p w14:paraId="557788FF" w14:textId="77777777" w:rsidR="009C38EB" w:rsidRPr="009C38EB" w:rsidRDefault="009C38EB" w:rsidP="00D21E69">
      <w:pPr>
        <w:pStyle w:val="ListParagraph"/>
        <w:spacing w:after="240"/>
        <w:rPr>
          <w:rFonts w:ascii="Arial" w:hAnsi="Arial" w:cs="Arial"/>
          <w:bCs/>
          <w:lang w:val="ro-RO"/>
        </w:rPr>
      </w:pPr>
    </w:p>
    <w:p w14:paraId="65CF9279" w14:textId="54B3A8B4" w:rsidR="009C38EB" w:rsidRPr="009C38EB" w:rsidRDefault="009C38EB" w:rsidP="00D21E69">
      <w:pPr>
        <w:pStyle w:val="ListParagraph"/>
        <w:numPr>
          <w:ilvl w:val="0"/>
          <w:numId w:val="7"/>
        </w:numPr>
        <w:spacing w:after="240" w:line="240" w:lineRule="auto"/>
        <w:rPr>
          <w:rFonts w:ascii="Arial" w:hAnsi="Arial" w:cs="Arial"/>
          <w:bCs/>
          <w:lang w:val="ro-RO"/>
        </w:rPr>
      </w:pPr>
      <w:r w:rsidRPr="009C38EB">
        <w:rPr>
          <w:rFonts w:ascii="Arial" w:hAnsi="Arial" w:cs="Arial"/>
          <w:bCs/>
          <w:lang w:val="ro-RO"/>
        </w:rPr>
        <w:t xml:space="preserve">Noi licențe. Actul normativ introduce două noi licențe generale de export ale Uniunii EU007 sau EU008 (produse software și tehnologii intra-grup, Criptare) cu mențiunea că exportatorul trebuie </w:t>
      </w:r>
      <w:r w:rsidR="007E6A51" w:rsidRPr="009C38EB">
        <w:rPr>
          <w:rFonts w:ascii="Arial" w:hAnsi="Arial" w:cs="Arial"/>
          <w:bCs/>
          <w:lang w:val="ro-RO"/>
        </w:rPr>
        <w:t>s</w:t>
      </w:r>
      <w:r w:rsidR="007E6A51">
        <w:rPr>
          <w:rFonts w:ascii="Arial" w:hAnsi="Arial" w:cs="Arial"/>
          <w:bCs/>
          <w:lang w:val="ro-RO"/>
        </w:rPr>
        <w:t>ă</w:t>
      </w:r>
      <w:r w:rsidR="007E6A51" w:rsidRPr="009C38EB">
        <w:rPr>
          <w:rFonts w:ascii="Arial" w:hAnsi="Arial" w:cs="Arial"/>
          <w:bCs/>
          <w:lang w:val="ro-RO"/>
        </w:rPr>
        <w:t xml:space="preserve"> </w:t>
      </w:r>
      <w:r w:rsidRPr="009C38EB">
        <w:rPr>
          <w:rFonts w:ascii="Arial" w:hAnsi="Arial" w:cs="Arial"/>
          <w:bCs/>
          <w:lang w:val="ro-RO"/>
        </w:rPr>
        <w:t xml:space="preserve">notifice MAE prin ANCEX prima utilizare a acestor licențe cu cel puțin 30 de zile, respectiv 10 zile, înainte de data primului export. Astfel de licențe </w:t>
      </w:r>
      <w:r w:rsidRPr="009C38EB">
        <w:rPr>
          <w:rFonts w:ascii="Arial" w:hAnsi="Arial" w:cs="Arial"/>
          <w:bCs/>
          <w:lang w:val="ro-RO"/>
        </w:rPr>
        <w:lastRenderedPageBreak/>
        <w:t>reduc semnificativ timpul de obținere</w:t>
      </w:r>
      <w:r w:rsidR="001F51D7">
        <w:rPr>
          <w:rFonts w:ascii="Arial" w:hAnsi="Arial" w:cs="Arial"/>
          <w:bCs/>
          <w:lang w:val="ro-RO"/>
        </w:rPr>
        <w:t xml:space="preserve"> </w:t>
      </w:r>
      <w:r w:rsidRPr="009C38EB">
        <w:rPr>
          <w:rFonts w:ascii="Arial" w:hAnsi="Arial" w:cs="Arial"/>
          <w:bCs/>
          <w:lang w:val="ro-RO"/>
        </w:rPr>
        <w:t>și ușurează, în același timp, și sarcina administrativă</w:t>
      </w:r>
      <w:r w:rsidR="001F51D7">
        <w:rPr>
          <w:rFonts w:ascii="Arial" w:hAnsi="Arial" w:cs="Arial"/>
          <w:bCs/>
          <w:lang w:val="ro-RO"/>
        </w:rPr>
        <w:t xml:space="preserve"> a </w:t>
      </w:r>
      <w:r w:rsidRPr="009C38EB">
        <w:rPr>
          <w:rFonts w:ascii="Arial" w:hAnsi="Arial" w:cs="Arial"/>
          <w:bCs/>
          <w:lang w:val="ro-RO"/>
        </w:rPr>
        <w:t xml:space="preserve"> </w:t>
      </w:r>
      <w:r w:rsidR="001F51D7" w:rsidRPr="009C38EB">
        <w:rPr>
          <w:rFonts w:ascii="Arial" w:hAnsi="Arial" w:cs="Arial"/>
          <w:bCs/>
          <w:lang w:val="ro-RO"/>
        </w:rPr>
        <w:t xml:space="preserve">autorităților </w:t>
      </w:r>
      <w:r w:rsidRPr="009C38EB">
        <w:rPr>
          <w:rFonts w:ascii="Arial" w:hAnsi="Arial" w:cs="Arial"/>
          <w:bCs/>
          <w:lang w:val="ro-RO"/>
        </w:rPr>
        <w:t>de acordare a lor. Aceste autorizații generale sunt aplicabile exporturilor de anumite produse către țările de destinație și sunt disponibile tuturor exportatorilor care îndeplinesc condițiile din autorizația emisă.</w:t>
      </w:r>
    </w:p>
    <w:p w14:paraId="6733251D" w14:textId="77777777" w:rsidR="009C38EB" w:rsidRPr="009C38EB" w:rsidRDefault="009C38EB" w:rsidP="00D21E69">
      <w:pPr>
        <w:pStyle w:val="ListParagraph"/>
        <w:rPr>
          <w:rFonts w:ascii="Arial" w:hAnsi="Arial" w:cs="Arial"/>
          <w:bCs/>
          <w:lang w:val="ro-RO"/>
        </w:rPr>
      </w:pPr>
    </w:p>
    <w:p w14:paraId="3023BEB9" w14:textId="0B5BEABE" w:rsidR="009C38EB" w:rsidRPr="009C38EB" w:rsidRDefault="009C38EB" w:rsidP="00D21E69">
      <w:pPr>
        <w:pStyle w:val="ListParagraph"/>
        <w:numPr>
          <w:ilvl w:val="0"/>
          <w:numId w:val="7"/>
        </w:numPr>
        <w:spacing w:after="240" w:line="240" w:lineRule="auto"/>
        <w:rPr>
          <w:rFonts w:ascii="Arial" w:hAnsi="Arial" w:cs="Arial"/>
          <w:bCs/>
          <w:lang w:val="ro-RO"/>
        </w:rPr>
      </w:pPr>
      <w:r w:rsidRPr="009C38EB">
        <w:rPr>
          <w:rFonts w:ascii="Arial" w:hAnsi="Arial" w:cs="Arial"/>
          <w:bCs/>
          <w:lang w:val="ro-RO"/>
        </w:rPr>
        <w:t xml:space="preserve">Noi termene de valabilitate. Valabilitatea licenței globale </w:t>
      </w:r>
      <w:r w:rsidR="007E6A51">
        <w:rPr>
          <w:rFonts w:ascii="Arial" w:hAnsi="Arial" w:cs="Arial"/>
          <w:bCs/>
          <w:lang w:val="ro-RO"/>
        </w:rPr>
        <w:t>ș</w:t>
      </w:r>
      <w:r w:rsidR="007E6A51" w:rsidRPr="009C38EB">
        <w:rPr>
          <w:rFonts w:ascii="Arial" w:hAnsi="Arial" w:cs="Arial"/>
          <w:bCs/>
          <w:lang w:val="ro-RO"/>
        </w:rPr>
        <w:t xml:space="preserve">i </w:t>
      </w:r>
      <w:r w:rsidRPr="009C38EB">
        <w:rPr>
          <w:rFonts w:ascii="Arial" w:hAnsi="Arial" w:cs="Arial"/>
          <w:bCs/>
          <w:lang w:val="ro-RO"/>
        </w:rPr>
        <w:t>a celei individuale va fi de doi ani și de patru ani pentru proiectele de mare anvergură.</w:t>
      </w:r>
    </w:p>
    <w:p w14:paraId="66589C57" w14:textId="77777777" w:rsidR="009C38EB" w:rsidRPr="009C38EB" w:rsidRDefault="009C38EB" w:rsidP="00D21E69">
      <w:pPr>
        <w:pStyle w:val="ListParagraph"/>
        <w:rPr>
          <w:rFonts w:ascii="Arial" w:hAnsi="Arial" w:cs="Arial"/>
          <w:bCs/>
          <w:lang w:val="ro-RO"/>
        </w:rPr>
      </w:pPr>
    </w:p>
    <w:p w14:paraId="7072AD57" w14:textId="77777777" w:rsidR="009C38EB" w:rsidRPr="009C38EB" w:rsidRDefault="009C38EB" w:rsidP="00D21E69">
      <w:pPr>
        <w:pStyle w:val="ListParagraph"/>
        <w:numPr>
          <w:ilvl w:val="0"/>
          <w:numId w:val="7"/>
        </w:numPr>
        <w:spacing w:after="240" w:line="240" w:lineRule="auto"/>
        <w:rPr>
          <w:rFonts w:ascii="Arial" w:hAnsi="Arial" w:cs="Arial"/>
          <w:bCs/>
          <w:lang w:val="ro-RO"/>
        </w:rPr>
      </w:pPr>
      <w:r w:rsidRPr="009C38EB">
        <w:rPr>
          <w:rFonts w:ascii="Arial" w:hAnsi="Arial" w:cs="Arial"/>
          <w:bCs/>
          <w:lang w:val="ro-RO"/>
        </w:rPr>
        <w:t xml:space="preserve">Obligație de păstrare. Documentele privind derularea operațiunilor cu produse cu dublă utilizare vor trebui păstrate minimum cinci ani, nu trei ca până în prezent. </w:t>
      </w:r>
    </w:p>
    <w:p w14:paraId="7A70C67B" w14:textId="77777777" w:rsidR="009C38EB" w:rsidRPr="009C38EB" w:rsidRDefault="009C38EB" w:rsidP="00D21E69">
      <w:pPr>
        <w:pStyle w:val="ListParagraph"/>
        <w:rPr>
          <w:rFonts w:ascii="Arial" w:hAnsi="Arial" w:cs="Arial"/>
          <w:bCs/>
          <w:lang w:val="ro-RO"/>
        </w:rPr>
      </w:pPr>
    </w:p>
    <w:p w14:paraId="537B61D5" w14:textId="77777777" w:rsidR="009C38EB" w:rsidRPr="009C38EB" w:rsidRDefault="009C38EB" w:rsidP="00D21E69">
      <w:pPr>
        <w:pStyle w:val="ListParagraph"/>
        <w:numPr>
          <w:ilvl w:val="0"/>
          <w:numId w:val="7"/>
        </w:numPr>
        <w:spacing w:after="240" w:line="240" w:lineRule="auto"/>
        <w:rPr>
          <w:rFonts w:ascii="Arial" w:hAnsi="Arial" w:cs="Arial"/>
          <w:bCs/>
          <w:lang w:val="ro-RO"/>
        </w:rPr>
      </w:pPr>
      <w:r w:rsidRPr="009C38EB">
        <w:rPr>
          <w:rFonts w:ascii="Arial" w:hAnsi="Arial" w:cs="Arial"/>
          <w:lang w:val="ro-RO"/>
        </w:rPr>
        <w:t xml:space="preserve">Asistența tehnică. Furnizarea de asistență tehnică legată de produsele cu dublă utilizare se va efectua, odată cu apariția Ordonanței, pe baza licenței </w:t>
      </w:r>
      <w:r w:rsidRPr="009C38EB">
        <w:rPr>
          <w:rFonts w:ascii="Arial" w:hAnsi="Arial" w:cs="Arial"/>
          <w:bCs/>
          <w:lang w:val="ro-RO"/>
        </w:rPr>
        <w:t xml:space="preserve">pentru asistență tehnică, nu pe baza licenței </w:t>
      </w:r>
      <w:r w:rsidRPr="009C38EB">
        <w:rPr>
          <w:rFonts w:ascii="Arial" w:hAnsi="Arial" w:cs="Arial"/>
          <w:lang w:val="ro-RO"/>
        </w:rPr>
        <w:t xml:space="preserve">individuale ca până în prezent. </w:t>
      </w:r>
    </w:p>
    <w:p w14:paraId="3F64F9AD" w14:textId="29DFE8C9" w:rsidR="009C38EB" w:rsidRDefault="009C38EB" w:rsidP="00D21E69">
      <w:pPr>
        <w:spacing w:line="240" w:lineRule="exact"/>
        <w:rPr>
          <w:rFonts w:cs="Arial"/>
          <w:bCs/>
          <w:sz w:val="22"/>
          <w:szCs w:val="22"/>
        </w:rPr>
      </w:pPr>
      <w:r w:rsidRPr="009C38EB">
        <w:rPr>
          <w:rFonts w:cs="Arial"/>
          <w:sz w:val="22"/>
          <w:szCs w:val="22"/>
        </w:rPr>
        <w:t>În același timp, însă, Ordonanța conține și prevederi naționale. În principal, actul normativ stipulează că t</w:t>
      </w:r>
      <w:r w:rsidRPr="009C38EB">
        <w:rPr>
          <w:rFonts w:cs="Arial"/>
          <w:bCs/>
          <w:sz w:val="22"/>
          <w:szCs w:val="22"/>
        </w:rPr>
        <w:t>ransferurile în interiorul Uniunii de produse cu dublă utilizare se vor putea face doar prin intermediul unei licențe individuale de export și nu a unei licențe globale/individuale de export ca până acum. De asemenea, termenul în care va trebui obținut certificatul de control al livrării care să ateste că marfa a ajuns la destinație, a crescut de la patru luni</w:t>
      </w:r>
      <w:r w:rsidR="007E6A51">
        <w:rPr>
          <w:rFonts w:cs="Arial"/>
          <w:bCs/>
          <w:sz w:val="22"/>
          <w:szCs w:val="22"/>
        </w:rPr>
        <w:t>,</w:t>
      </w:r>
      <w:r w:rsidRPr="009C38EB">
        <w:rPr>
          <w:rFonts w:cs="Arial"/>
          <w:bCs/>
          <w:sz w:val="22"/>
          <w:szCs w:val="22"/>
        </w:rPr>
        <w:t xml:space="preserve"> la șase luni. În plus, valabilitatea licenței de tranzit a crescut de la 30 de zile</w:t>
      </w:r>
      <w:r w:rsidR="007E6A51">
        <w:rPr>
          <w:rFonts w:cs="Arial"/>
          <w:bCs/>
          <w:sz w:val="22"/>
          <w:szCs w:val="22"/>
        </w:rPr>
        <w:t>,</w:t>
      </w:r>
      <w:r w:rsidRPr="009C38EB">
        <w:rPr>
          <w:rFonts w:cs="Arial"/>
          <w:bCs/>
          <w:sz w:val="22"/>
          <w:szCs w:val="22"/>
        </w:rPr>
        <w:t xml:space="preserve"> la 90 de zile, cu posibilitatea prelungirii cu încă 30 de zile, în cazuri justificate. </w:t>
      </w:r>
    </w:p>
    <w:p w14:paraId="5C79608F" w14:textId="77777777" w:rsidR="009C38EB" w:rsidRPr="009C38EB" w:rsidRDefault="009C38EB" w:rsidP="00D21E69">
      <w:pPr>
        <w:spacing w:line="240" w:lineRule="exact"/>
        <w:rPr>
          <w:rFonts w:cs="Arial"/>
          <w:bCs/>
          <w:sz w:val="22"/>
          <w:szCs w:val="22"/>
        </w:rPr>
      </w:pPr>
    </w:p>
    <w:p w14:paraId="1FCB3EC3" w14:textId="2E30FB21" w:rsidR="009C38EB" w:rsidRDefault="009C38EB" w:rsidP="00D21E69">
      <w:pPr>
        <w:spacing w:line="240" w:lineRule="exact"/>
        <w:rPr>
          <w:rFonts w:cs="Arial"/>
          <w:bCs/>
          <w:sz w:val="22"/>
          <w:szCs w:val="22"/>
        </w:rPr>
      </w:pPr>
      <w:r w:rsidRPr="009C38EB">
        <w:rPr>
          <w:rFonts w:cs="Arial"/>
          <w:bCs/>
          <w:sz w:val="22"/>
          <w:szCs w:val="22"/>
        </w:rPr>
        <w:t>Operatorii de produse cu dublă utilizare trebuie să știe, de asemenea, că certificatul internațional de import își va pierde valabilitatea, dacă nu va fi prezentat autorității competente din țara exportatorului în decurs de șase luni de la data eliberării lui. De asemenea, amenzile prevăzute de legislația națională au fost majorate - de exemplu</w:t>
      </w:r>
      <w:r w:rsidR="007E6A51">
        <w:rPr>
          <w:rFonts w:cs="Arial"/>
          <w:bCs/>
          <w:sz w:val="22"/>
          <w:szCs w:val="22"/>
        </w:rPr>
        <w:t>,</w:t>
      </w:r>
      <w:r w:rsidRPr="009C38EB">
        <w:rPr>
          <w:rFonts w:cs="Arial"/>
          <w:bCs/>
          <w:sz w:val="22"/>
          <w:szCs w:val="22"/>
        </w:rPr>
        <w:t xml:space="preserve"> amenda maximă de 25.000 lei a fost modificată la 30.000 lei. </w:t>
      </w:r>
    </w:p>
    <w:p w14:paraId="68C4AEF8" w14:textId="77777777" w:rsidR="009C38EB" w:rsidRPr="009C38EB" w:rsidRDefault="009C38EB" w:rsidP="00D21E69">
      <w:pPr>
        <w:spacing w:line="240" w:lineRule="exact"/>
        <w:rPr>
          <w:rFonts w:cs="Arial"/>
          <w:bCs/>
          <w:sz w:val="22"/>
          <w:szCs w:val="22"/>
        </w:rPr>
      </w:pPr>
    </w:p>
    <w:p w14:paraId="53337B4E" w14:textId="61FCE714" w:rsidR="009C38EB" w:rsidRDefault="009C38EB" w:rsidP="00D21E69">
      <w:pPr>
        <w:rPr>
          <w:rFonts w:cs="Arial"/>
          <w:sz w:val="22"/>
          <w:szCs w:val="22"/>
        </w:rPr>
      </w:pPr>
      <w:r w:rsidRPr="009C38EB">
        <w:rPr>
          <w:rFonts w:cs="Arial"/>
          <w:bCs/>
          <w:sz w:val="22"/>
          <w:szCs w:val="22"/>
        </w:rPr>
        <w:t xml:space="preserve">Un detaliu suplimentar ar trebui </w:t>
      </w:r>
      <w:r w:rsidR="00D21E69">
        <w:rPr>
          <w:rFonts w:cs="Arial"/>
          <w:bCs/>
          <w:sz w:val="22"/>
          <w:szCs w:val="22"/>
        </w:rPr>
        <w:t xml:space="preserve">să </w:t>
      </w:r>
      <w:r w:rsidRPr="009C38EB">
        <w:rPr>
          <w:rFonts w:cs="Arial"/>
          <w:bCs/>
          <w:sz w:val="22"/>
          <w:szCs w:val="22"/>
        </w:rPr>
        <w:t xml:space="preserve">atragă atenția operatorilor de produse cu dublă utilizare – Rusia a fost eliminată </w:t>
      </w:r>
      <w:r w:rsidRPr="009C38EB">
        <w:rPr>
          <w:rFonts w:cs="Arial"/>
          <w:sz w:val="22"/>
          <w:szCs w:val="22"/>
        </w:rPr>
        <w:t>din domeniul de aplicare a trei autorizații generale de export ale Uniunii EU003 (reexportul de articole după reparație sau înlocuire în UE), EU004 (exportul de articole pentru târguri sau expoziții), EU005 (exporturi de echipamente de telecomunicații). O alternativ</w:t>
      </w:r>
      <w:r w:rsidR="00D21E69">
        <w:rPr>
          <w:rFonts w:cs="Arial"/>
          <w:sz w:val="22"/>
          <w:szCs w:val="22"/>
        </w:rPr>
        <w:t>ă</w:t>
      </w:r>
      <w:r w:rsidRPr="009C38EB">
        <w:rPr>
          <w:rFonts w:cs="Arial"/>
          <w:sz w:val="22"/>
          <w:szCs w:val="22"/>
        </w:rPr>
        <w:t xml:space="preserve"> la aceste autorizații generale de export este licența individuală.</w:t>
      </w:r>
    </w:p>
    <w:p w14:paraId="3E39DF9B" w14:textId="77777777" w:rsidR="00D21E69" w:rsidRPr="009C38EB" w:rsidRDefault="00D21E69" w:rsidP="00D21E69">
      <w:pPr>
        <w:rPr>
          <w:rFonts w:cs="Arial"/>
          <w:sz w:val="22"/>
          <w:szCs w:val="22"/>
        </w:rPr>
      </w:pPr>
    </w:p>
    <w:p w14:paraId="790E4F93" w14:textId="450E42F2" w:rsidR="009C38EB" w:rsidRDefault="009C38EB" w:rsidP="009C38EB">
      <w:pPr>
        <w:rPr>
          <w:rFonts w:cs="Arial"/>
          <w:sz w:val="22"/>
          <w:szCs w:val="22"/>
        </w:rPr>
      </w:pPr>
      <w:r w:rsidRPr="009C38EB">
        <w:rPr>
          <w:rFonts w:cs="Arial"/>
          <w:sz w:val="22"/>
          <w:szCs w:val="22"/>
        </w:rPr>
        <w:t xml:space="preserve">Având în vedere complexitatea legislației privind produsele cu dublă utilizare, facilități precum licențierea electronică sau introducerea de noi autorizații generale ale Uniunii vin în ajutorul tuturor celor implicați – agenți economici și autorități, transformând comerțul de produse cu dublă utilizare într-un proces transparent </w:t>
      </w:r>
      <w:r w:rsidR="00D21E69">
        <w:rPr>
          <w:rFonts w:cs="Arial"/>
          <w:sz w:val="22"/>
          <w:szCs w:val="22"/>
        </w:rPr>
        <w:t>ş</w:t>
      </w:r>
      <w:r w:rsidRPr="009C38EB">
        <w:rPr>
          <w:rFonts w:cs="Arial"/>
          <w:sz w:val="22"/>
          <w:szCs w:val="22"/>
        </w:rPr>
        <w:t>i mult mai competitiv.</w:t>
      </w:r>
    </w:p>
    <w:p w14:paraId="34E392A4" w14:textId="77777777" w:rsidR="009C38EB" w:rsidRPr="009C38EB" w:rsidRDefault="009C38EB" w:rsidP="009C38EB">
      <w:pPr>
        <w:rPr>
          <w:rFonts w:cs="Arial"/>
          <w:sz w:val="22"/>
          <w:szCs w:val="22"/>
        </w:rPr>
      </w:pPr>
    </w:p>
    <w:p w14:paraId="350FBE5A" w14:textId="54CE40AA" w:rsidR="009C38EB" w:rsidRPr="009C38EB" w:rsidRDefault="009C38EB" w:rsidP="009C38EB">
      <w:pPr>
        <w:rPr>
          <w:rFonts w:cs="Arial"/>
          <w:sz w:val="22"/>
          <w:szCs w:val="22"/>
        </w:rPr>
      </w:pPr>
      <w:r w:rsidRPr="009C38EB">
        <w:rPr>
          <w:rFonts w:cs="Arial"/>
          <w:sz w:val="22"/>
          <w:szCs w:val="22"/>
        </w:rPr>
        <w:t xml:space="preserve">Agenții economici trebuie să analizeze în ce măsură activitatea pe care o desfășoară este impactată de legislația de control al exporturilor, având în vedere că exportul de produse cu dublă utilizare efectuat fără licență este considerat infracțiune și pedepsit ca atare de legislația din România. </w:t>
      </w:r>
    </w:p>
    <w:p w14:paraId="56EBE1C7" w14:textId="77777777" w:rsidR="009C38EB" w:rsidRDefault="009C38EB" w:rsidP="00713FF3">
      <w:pPr>
        <w:pStyle w:val="NormalWeb"/>
        <w:shd w:val="clear" w:color="auto" w:fill="FFFFFF"/>
        <w:spacing w:before="0" w:beforeAutospacing="0" w:after="0" w:afterAutospacing="0" w:line="360" w:lineRule="auto"/>
        <w:rPr>
          <w:rFonts w:ascii="Arial" w:hAnsi="Arial" w:cs="Arial"/>
          <w:sz w:val="22"/>
          <w:szCs w:val="22"/>
        </w:rPr>
      </w:pPr>
    </w:p>
    <w:p w14:paraId="339B3E06" w14:textId="6A72F347" w:rsidR="007A4F2C" w:rsidRPr="00F55335" w:rsidRDefault="009F566A" w:rsidP="00713FF3">
      <w:pPr>
        <w:pStyle w:val="Normal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w:t>
      </w:r>
    </w:p>
    <w:p w14:paraId="537134A4" w14:textId="77777777" w:rsidR="00A74F10" w:rsidRDefault="00A74F10" w:rsidP="00A74F10">
      <w:pPr>
        <w:pStyle w:val="EYBodytextwithparaspace"/>
        <w:spacing w:after="240" w:line="276" w:lineRule="auto"/>
        <w:contextualSpacing/>
        <w:rPr>
          <w:rFonts w:cs="Arial"/>
          <w:b/>
          <w:bCs/>
          <w:sz w:val="18"/>
          <w:szCs w:val="18"/>
        </w:rPr>
      </w:pPr>
      <w:r w:rsidRPr="00AF7748">
        <w:rPr>
          <w:rFonts w:cs="Arial"/>
          <w:b/>
          <w:bCs/>
          <w:sz w:val="18"/>
          <w:szCs w:val="18"/>
        </w:rPr>
        <w:t>EY30 pentru România</w:t>
      </w:r>
    </w:p>
    <w:p w14:paraId="38FD4F52" w14:textId="77777777" w:rsidR="00A74F10" w:rsidRPr="00AF7748" w:rsidRDefault="00A74F10" w:rsidP="00A74F10">
      <w:pPr>
        <w:pStyle w:val="EYBodytextwithparaspace"/>
        <w:spacing w:after="240" w:line="276" w:lineRule="auto"/>
        <w:contextualSpacing/>
        <w:rPr>
          <w:rFonts w:cs="Arial"/>
          <w:b/>
          <w:bCs/>
          <w:sz w:val="18"/>
          <w:szCs w:val="18"/>
        </w:rPr>
      </w:pPr>
    </w:p>
    <w:p w14:paraId="68D8CB29" w14:textId="77777777" w:rsidR="00A74F10" w:rsidRPr="00E87040" w:rsidRDefault="00A74F10" w:rsidP="00A74F10">
      <w:pPr>
        <w:pStyle w:val="EYBodytextwithparaspace"/>
        <w:spacing w:after="240" w:line="276" w:lineRule="auto"/>
        <w:contextualSpacing/>
        <w:rPr>
          <w:rFonts w:cs="Arial"/>
          <w:sz w:val="18"/>
          <w:szCs w:val="18"/>
        </w:rPr>
      </w:pPr>
      <w:r w:rsidRPr="00E87040">
        <w:rPr>
          <w:rFonts w:cs="Arial"/>
          <w:sz w:val="18"/>
          <w:szCs w:val="18"/>
        </w:rPr>
        <w:t xml:space="preserve">Pentru a marca aniversarea a 30 de ani de activitate continuă în România, s-a lansat campania </w:t>
      </w:r>
      <w:r w:rsidRPr="00E87040">
        <w:rPr>
          <w:rFonts w:cs="Arial"/>
          <w:b/>
          <w:bCs/>
          <w:sz w:val="18"/>
          <w:szCs w:val="18"/>
        </w:rPr>
        <w:t>EY: 30 pentru România</w:t>
      </w:r>
      <w:r w:rsidRPr="00E87040">
        <w:rPr>
          <w:rFonts w:cs="Arial"/>
          <w:sz w:val="18"/>
          <w:szCs w:val="18"/>
        </w:rPr>
        <w:t xml:space="preserve">, care se va derula pe tot parcursul anului 2022. Vor fi aduse în atenția publică proiecte, personalități și momente care au marcat progresul României în 30 de ani, se vor derula inițiative colaborative de implicare comunitară împreună cu parteneri și colaboratori EY. </w:t>
      </w:r>
    </w:p>
    <w:p w14:paraId="65A73635" w14:textId="77777777" w:rsidR="007A4F2C" w:rsidRPr="00F41A6D" w:rsidRDefault="007A4F2C" w:rsidP="0042563B">
      <w:pPr>
        <w:rPr>
          <w:rFonts w:cs="Arial"/>
        </w:rPr>
      </w:pPr>
    </w:p>
    <w:p w14:paraId="5AD77AC6" w14:textId="77777777" w:rsidR="007A4F2C" w:rsidRPr="000A3147" w:rsidRDefault="007A4F2C" w:rsidP="007A4F2C">
      <w:pPr>
        <w:rPr>
          <w:rFonts w:eastAsiaTheme="minorHAnsi" w:cstheme="minorBidi"/>
          <w:b/>
          <w:bCs/>
          <w:kern w:val="12"/>
          <w:sz w:val="18"/>
          <w:szCs w:val="18"/>
        </w:rPr>
      </w:pPr>
      <w:r w:rsidRPr="000A3147">
        <w:rPr>
          <w:rFonts w:eastAsiaTheme="minorHAnsi" w:cstheme="minorBidi"/>
          <w:b/>
          <w:bCs/>
          <w:kern w:val="12"/>
          <w:sz w:val="18"/>
          <w:szCs w:val="18"/>
        </w:rPr>
        <w:t>Despre EY România</w:t>
      </w:r>
    </w:p>
    <w:p w14:paraId="178DF0DF" w14:textId="77777777" w:rsidR="007A4F2C" w:rsidRPr="000A3147" w:rsidRDefault="007A4F2C" w:rsidP="007A4F2C">
      <w:pPr>
        <w:rPr>
          <w:rFonts w:eastAsiaTheme="minorHAnsi" w:cstheme="minorBidi"/>
          <w:b/>
          <w:bCs/>
          <w:kern w:val="12"/>
          <w:sz w:val="18"/>
          <w:szCs w:val="18"/>
        </w:rPr>
      </w:pPr>
    </w:p>
    <w:p w14:paraId="3B5E66EA" w14:textId="77777777" w:rsidR="007A4F2C" w:rsidRPr="000A3147" w:rsidRDefault="007A4F2C" w:rsidP="007A4F2C">
      <w:pPr>
        <w:rPr>
          <w:rFonts w:eastAsiaTheme="minorHAnsi" w:cstheme="minorBidi"/>
          <w:kern w:val="12"/>
          <w:sz w:val="18"/>
          <w:szCs w:val="18"/>
        </w:rPr>
      </w:pPr>
      <w:r w:rsidRPr="000A3147">
        <w:rPr>
          <w:rFonts w:eastAsiaTheme="minorHAnsi" w:cstheme="minorBidi"/>
          <w:kern w:val="12"/>
          <w:sz w:val="18"/>
          <w:szCs w:val="18"/>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33038289" w14:textId="29DD446A" w:rsidR="00C252AB" w:rsidRDefault="007A4F2C" w:rsidP="00DF0F92">
      <w:pPr>
        <w:rPr>
          <w:rFonts w:cs="Arial"/>
          <w:color w:val="2E2E38"/>
          <w:sz w:val="22"/>
          <w:szCs w:val="22"/>
        </w:rPr>
      </w:pPr>
      <w:r w:rsidRPr="000A3147">
        <w:rPr>
          <w:rFonts w:eastAsiaTheme="minorHAnsi" w:cstheme="minorBidi"/>
          <w:kern w:val="12"/>
          <w:sz w:val="18"/>
          <w:szCs w:val="18"/>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28B397A4" w:rsidR="00BB6595" w:rsidRPr="00DF0F92" w:rsidRDefault="00BB6595" w:rsidP="00DF0F92">
      <w:pPr>
        <w:rPr>
          <w:rFonts w:cs="Arial"/>
          <w:sz w:val="18"/>
          <w:szCs w:val="18"/>
        </w:rPr>
      </w:pPr>
    </w:p>
    <w:sectPr w:rsidR="00BB6595" w:rsidRPr="00DF0F92"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12A4" w14:textId="77777777" w:rsidR="009215F3" w:rsidRDefault="009215F3">
      <w:r>
        <w:separator/>
      </w:r>
    </w:p>
  </w:endnote>
  <w:endnote w:type="continuationSeparator" w:id="0">
    <w:p w14:paraId="208F0064" w14:textId="77777777" w:rsidR="009215F3" w:rsidRDefault="0092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9215F3"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9215F3"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F04B" w14:textId="77777777" w:rsidR="009215F3" w:rsidRDefault="009215F3">
      <w:r>
        <w:separator/>
      </w:r>
    </w:p>
  </w:footnote>
  <w:footnote w:type="continuationSeparator" w:id="0">
    <w:p w14:paraId="7B91BC1E" w14:textId="77777777" w:rsidR="009215F3" w:rsidRDefault="00921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574B6"/>
    <w:multiLevelType w:val="hybridMultilevel"/>
    <w:tmpl w:val="F5D80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30CE8"/>
    <w:multiLevelType w:val="hybridMultilevel"/>
    <w:tmpl w:val="81EC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44A6C"/>
    <w:multiLevelType w:val="hybridMultilevel"/>
    <w:tmpl w:val="7DF0F24E"/>
    <w:lvl w:ilvl="0" w:tplc="0824C6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6457C"/>
    <w:multiLevelType w:val="hybridMultilevel"/>
    <w:tmpl w:val="41CE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C1F0A"/>
    <w:multiLevelType w:val="multilevel"/>
    <w:tmpl w:val="093ECBEA"/>
    <w:lvl w:ilvl="0">
      <w:numFmt w:val="bullet"/>
      <w:lvlText w:val="-"/>
      <w:lvlJc w:val="left"/>
      <w:pPr>
        <w:tabs>
          <w:tab w:val="num" w:pos="720"/>
        </w:tabs>
        <w:ind w:left="720" w:hanging="360"/>
      </w:pPr>
      <w:rPr>
        <w:rFonts w:ascii="Arial" w:eastAsia="Times New Roman"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189235">
    <w:abstractNumId w:val="4"/>
  </w:num>
  <w:num w:numId="2" w16cid:durableId="1031566833">
    <w:abstractNumId w:val="0"/>
  </w:num>
  <w:num w:numId="3" w16cid:durableId="1090353326">
    <w:abstractNumId w:val="2"/>
  </w:num>
  <w:num w:numId="4" w16cid:durableId="1255550564">
    <w:abstractNumId w:val="6"/>
  </w:num>
  <w:num w:numId="5" w16cid:durableId="1654069034">
    <w:abstractNumId w:val="1"/>
  </w:num>
  <w:num w:numId="6" w16cid:durableId="1088884395">
    <w:abstractNumId w:val="3"/>
  </w:num>
  <w:num w:numId="7" w16cid:durableId="1547449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F9B"/>
    <w:rsid w:val="000113DB"/>
    <w:rsid w:val="000118C0"/>
    <w:rsid w:val="00011F0C"/>
    <w:rsid w:val="00014FCA"/>
    <w:rsid w:val="000333E3"/>
    <w:rsid w:val="000424CE"/>
    <w:rsid w:val="0004334D"/>
    <w:rsid w:val="000500F1"/>
    <w:rsid w:val="00051CFA"/>
    <w:rsid w:val="0005477E"/>
    <w:rsid w:val="00060653"/>
    <w:rsid w:val="000634AE"/>
    <w:rsid w:val="00064DEB"/>
    <w:rsid w:val="00072965"/>
    <w:rsid w:val="000743C2"/>
    <w:rsid w:val="000746E5"/>
    <w:rsid w:val="00075118"/>
    <w:rsid w:val="00086CDB"/>
    <w:rsid w:val="00092FF0"/>
    <w:rsid w:val="00093829"/>
    <w:rsid w:val="00094877"/>
    <w:rsid w:val="00095366"/>
    <w:rsid w:val="000A2E33"/>
    <w:rsid w:val="000A30C3"/>
    <w:rsid w:val="000A3147"/>
    <w:rsid w:val="000A5723"/>
    <w:rsid w:val="000B62F3"/>
    <w:rsid w:val="000D61B9"/>
    <w:rsid w:val="000F0F7C"/>
    <w:rsid w:val="00120678"/>
    <w:rsid w:val="00121656"/>
    <w:rsid w:val="00126C72"/>
    <w:rsid w:val="00136CE2"/>
    <w:rsid w:val="00136DDD"/>
    <w:rsid w:val="0013771C"/>
    <w:rsid w:val="0014556A"/>
    <w:rsid w:val="00146B1C"/>
    <w:rsid w:val="00163F8D"/>
    <w:rsid w:val="00170FD9"/>
    <w:rsid w:val="001717EA"/>
    <w:rsid w:val="00172B39"/>
    <w:rsid w:val="0017314E"/>
    <w:rsid w:val="001772ED"/>
    <w:rsid w:val="0018502C"/>
    <w:rsid w:val="001879EC"/>
    <w:rsid w:val="001977A3"/>
    <w:rsid w:val="001A0F23"/>
    <w:rsid w:val="001A4B8A"/>
    <w:rsid w:val="001B0350"/>
    <w:rsid w:val="001B156E"/>
    <w:rsid w:val="001B7D9D"/>
    <w:rsid w:val="001C32A5"/>
    <w:rsid w:val="001C4197"/>
    <w:rsid w:val="001C528A"/>
    <w:rsid w:val="001C60D3"/>
    <w:rsid w:val="001D63F1"/>
    <w:rsid w:val="001E67C8"/>
    <w:rsid w:val="001F13A3"/>
    <w:rsid w:val="001F2A24"/>
    <w:rsid w:val="001F51D7"/>
    <w:rsid w:val="001F5517"/>
    <w:rsid w:val="0020127C"/>
    <w:rsid w:val="0022335F"/>
    <w:rsid w:val="002240EA"/>
    <w:rsid w:val="00226F47"/>
    <w:rsid w:val="0023048B"/>
    <w:rsid w:val="00240106"/>
    <w:rsid w:val="002540CB"/>
    <w:rsid w:val="002641C8"/>
    <w:rsid w:val="00272E7E"/>
    <w:rsid w:val="002A476A"/>
    <w:rsid w:val="002B316E"/>
    <w:rsid w:val="002B3EAA"/>
    <w:rsid w:val="002B7714"/>
    <w:rsid w:val="002C2F87"/>
    <w:rsid w:val="002D663B"/>
    <w:rsid w:val="002E3A56"/>
    <w:rsid w:val="002E5EF2"/>
    <w:rsid w:val="002F1CB1"/>
    <w:rsid w:val="002F5C56"/>
    <w:rsid w:val="00305E50"/>
    <w:rsid w:val="00314526"/>
    <w:rsid w:val="00316676"/>
    <w:rsid w:val="00333279"/>
    <w:rsid w:val="00334D3B"/>
    <w:rsid w:val="003353BC"/>
    <w:rsid w:val="00352BEF"/>
    <w:rsid w:val="00361545"/>
    <w:rsid w:val="00370D92"/>
    <w:rsid w:val="003908A8"/>
    <w:rsid w:val="00391F36"/>
    <w:rsid w:val="003A19E1"/>
    <w:rsid w:val="003A2749"/>
    <w:rsid w:val="003A6CD6"/>
    <w:rsid w:val="003B7197"/>
    <w:rsid w:val="003B75BF"/>
    <w:rsid w:val="003C05AA"/>
    <w:rsid w:val="003C4618"/>
    <w:rsid w:val="003D247A"/>
    <w:rsid w:val="003D77D3"/>
    <w:rsid w:val="003E5C9A"/>
    <w:rsid w:val="003E7D54"/>
    <w:rsid w:val="003F4F3D"/>
    <w:rsid w:val="00400CE1"/>
    <w:rsid w:val="00400DEB"/>
    <w:rsid w:val="004020EE"/>
    <w:rsid w:val="004041EB"/>
    <w:rsid w:val="00412E12"/>
    <w:rsid w:val="00413663"/>
    <w:rsid w:val="00415BE2"/>
    <w:rsid w:val="0042032C"/>
    <w:rsid w:val="00423019"/>
    <w:rsid w:val="0042563B"/>
    <w:rsid w:val="004310C7"/>
    <w:rsid w:val="00432E83"/>
    <w:rsid w:val="004360DE"/>
    <w:rsid w:val="00453BEA"/>
    <w:rsid w:val="0046059A"/>
    <w:rsid w:val="00466725"/>
    <w:rsid w:val="0046717B"/>
    <w:rsid w:val="004802CC"/>
    <w:rsid w:val="00480BD2"/>
    <w:rsid w:val="00483603"/>
    <w:rsid w:val="0048666D"/>
    <w:rsid w:val="00486F15"/>
    <w:rsid w:val="00490A99"/>
    <w:rsid w:val="004A079F"/>
    <w:rsid w:val="004A3D7C"/>
    <w:rsid w:val="004B159A"/>
    <w:rsid w:val="004C4989"/>
    <w:rsid w:val="004E1A81"/>
    <w:rsid w:val="004E3CC7"/>
    <w:rsid w:val="004F070B"/>
    <w:rsid w:val="004F5599"/>
    <w:rsid w:val="004F5813"/>
    <w:rsid w:val="004F6366"/>
    <w:rsid w:val="005045C1"/>
    <w:rsid w:val="00504AB1"/>
    <w:rsid w:val="005132A6"/>
    <w:rsid w:val="00527829"/>
    <w:rsid w:val="00527C45"/>
    <w:rsid w:val="00531DCB"/>
    <w:rsid w:val="00533E43"/>
    <w:rsid w:val="00543538"/>
    <w:rsid w:val="005453F7"/>
    <w:rsid w:val="005456FA"/>
    <w:rsid w:val="00545F9B"/>
    <w:rsid w:val="005469EB"/>
    <w:rsid w:val="00552901"/>
    <w:rsid w:val="00554419"/>
    <w:rsid w:val="0056122D"/>
    <w:rsid w:val="0057371A"/>
    <w:rsid w:val="00581424"/>
    <w:rsid w:val="00582EFC"/>
    <w:rsid w:val="005859A1"/>
    <w:rsid w:val="00593641"/>
    <w:rsid w:val="005A383F"/>
    <w:rsid w:val="005A3C59"/>
    <w:rsid w:val="005B6C1F"/>
    <w:rsid w:val="005C07C8"/>
    <w:rsid w:val="005C110F"/>
    <w:rsid w:val="005C2734"/>
    <w:rsid w:val="005C2A47"/>
    <w:rsid w:val="005C40DD"/>
    <w:rsid w:val="005C4D17"/>
    <w:rsid w:val="005C673A"/>
    <w:rsid w:val="005D432C"/>
    <w:rsid w:val="005D5870"/>
    <w:rsid w:val="005E0311"/>
    <w:rsid w:val="005E564E"/>
    <w:rsid w:val="005F0C14"/>
    <w:rsid w:val="005F265C"/>
    <w:rsid w:val="00600EDC"/>
    <w:rsid w:val="00603EB3"/>
    <w:rsid w:val="00604BAC"/>
    <w:rsid w:val="00634DD2"/>
    <w:rsid w:val="00644C60"/>
    <w:rsid w:val="00662596"/>
    <w:rsid w:val="00665728"/>
    <w:rsid w:val="006749D9"/>
    <w:rsid w:val="006757D3"/>
    <w:rsid w:val="00682376"/>
    <w:rsid w:val="00690AA2"/>
    <w:rsid w:val="006A1B66"/>
    <w:rsid w:val="006A2E5E"/>
    <w:rsid w:val="006B24C1"/>
    <w:rsid w:val="006B283A"/>
    <w:rsid w:val="006B5E42"/>
    <w:rsid w:val="006B76B4"/>
    <w:rsid w:val="006C0898"/>
    <w:rsid w:val="006C1ED7"/>
    <w:rsid w:val="006C53A4"/>
    <w:rsid w:val="006C6879"/>
    <w:rsid w:val="006D1A3D"/>
    <w:rsid w:val="006E1623"/>
    <w:rsid w:val="006F19A1"/>
    <w:rsid w:val="006F2BCD"/>
    <w:rsid w:val="006F759F"/>
    <w:rsid w:val="00700AE8"/>
    <w:rsid w:val="00703AB7"/>
    <w:rsid w:val="007108EB"/>
    <w:rsid w:val="00712A4C"/>
    <w:rsid w:val="00713CF2"/>
    <w:rsid w:val="00713FF3"/>
    <w:rsid w:val="00714AB4"/>
    <w:rsid w:val="007229A9"/>
    <w:rsid w:val="00730721"/>
    <w:rsid w:val="00742BE4"/>
    <w:rsid w:val="007450CB"/>
    <w:rsid w:val="007454AC"/>
    <w:rsid w:val="00745904"/>
    <w:rsid w:val="007537D0"/>
    <w:rsid w:val="00773105"/>
    <w:rsid w:val="00783F72"/>
    <w:rsid w:val="00785523"/>
    <w:rsid w:val="007858E4"/>
    <w:rsid w:val="00791BF9"/>
    <w:rsid w:val="00792860"/>
    <w:rsid w:val="00793382"/>
    <w:rsid w:val="00797F0D"/>
    <w:rsid w:val="007A2060"/>
    <w:rsid w:val="007A2745"/>
    <w:rsid w:val="007A4F2C"/>
    <w:rsid w:val="007B176D"/>
    <w:rsid w:val="007C5366"/>
    <w:rsid w:val="007D4AB2"/>
    <w:rsid w:val="007D69DD"/>
    <w:rsid w:val="007E3358"/>
    <w:rsid w:val="007E69BE"/>
    <w:rsid w:val="007E6A51"/>
    <w:rsid w:val="008021E9"/>
    <w:rsid w:val="0081476F"/>
    <w:rsid w:val="00816F0C"/>
    <w:rsid w:val="00830446"/>
    <w:rsid w:val="00836CE8"/>
    <w:rsid w:val="0083747E"/>
    <w:rsid w:val="00844C29"/>
    <w:rsid w:val="0084600F"/>
    <w:rsid w:val="00852838"/>
    <w:rsid w:val="00890C55"/>
    <w:rsid w:val="00892918"/>
    <w:rsid w:val="008A041B"/>
    <w:rsid w:val="008A4FFB"/>
    <w:rsid w:val="008A6BA4"/>
    <w:rsid w:val="008C39E8"/>
    <w:rsid w:val="008D01A6"/>
    <w:rsid w:val="008D108D"/>
    <w:rsid w:val="008D2DD2"/>
    <w:rsid w:val="008E0658"/>
    <w:rsid w:val="008E10F8"/>
    <w:rsid w:val="00904379"/>
    <w:rsid w:val="0090579A"/>
    <w:rsid w:val="00906E2D"/>
    <w:rsid w:val="009151B3"/>
    <w:rsid w:val="00916D09"/>
    <w:rsid w:val="009215F3"/>
    <w:rsid w:val="00923387"/>
    <w:rsid w:val="009238BB"/>
    <w:rsid w:val="009266BF"/>
    <w:rsid w:val="009347C4"/>
    <w:rsid w:val="009378C8"/>
    <w:rsid w:val="009604AA"/>
    <w:rsid w:val="009631B0"/>
    <w:rsid w:val="00995652"/>
    <w:rsid w:val="00995A75"/>
    <w:rsid w:val="009A28EC"/>
    <w:rsid w:val="009A2FD1"/>
    <w:rsid w:val="009A5272"/>
    <w:rsid w:val="009B2E5E"/>
    <w:rsid w:val="009B3D9A"/>
    <w:rsid w:val="009B59D4"/>
    <w:rsid w:val="009B647A"/>
    <w:rsid w:val="009C1F9C"/>
    <w:rsid w:val="009C38EB"/>
    <w:rsid w:val="009C66D9"/>
    <w:rsid w:val="009D38F7"/>
    <w:rsid w:val="009D4779"/>
    <w:rsid w:val="009E02CD"/>
    <w:rsid w:val="009E73DA"/>
    <w:rsid w:val="009F19FF"/>
    <w:rsid w:val="009F3FD0"/>
    <w:rsid w:val="009F566A"/>
    <w:rsid w:val="009F6941"/>
    <w:rsid w:val="00A04348"/>
    <w:rsid w:val="00A06982"/>
    <w:rsid w:val="00A141B7"/>
    <w:rsid w:val="00A22984"/>
    <w:rsid w:val="00A22EEF"/>
    <w:rsid w:val="00A24BCA"/>
    <w:rsid w:val="00A258D6"/>
    <w:rsid w:val="00A37BE0"/>
    <w:rsid w:val="00A44E41"/>
    <w:rsid w:val="00A508BF"/>
    <w:rsid w:val="00A50B26"/>
    <w:rsid w:val="00A5647F"/>
    <w:rsid w:val="00A57603"/>
    <w:rsid w:val="00A62A92"/>
    <w:rsid w:val="00A646D4"/>
    <w:rsid w:val="00A70A10"/>
    <w:rsid w:val="00A74F10"/>
    <w:rsid w:val="00A82698"/>
    <w:rsid w:val="00A851D9"/>
    <w:rsid w:val="00A94FDD"/>
    <w:rsid w:val="00A97F7F"/>
    <w:rsid w:val="00AA054F"/>
    <w:rsid w:val="00AA4855"/>
    <w:rsid w:val="00AE4226"/>
    <w:rsid w:val="00AE6ADD"/>
    <w:rsid w:val="00AF02ED"/>
    <w:rsid w:val="00AF331B"/>
    <w:rsid w:val="00AF62B9"/>
    <w:rsid w:val="00B0136C"/>
    <w:rsid w:val="00B04D40"/>
    <w:rsid w:val="00B04EBC"/>
    <w:rsid w:val="00B102A6"/>
    <w:rsid w:val="00B226EF"/>
    <w:rsid w:val="00B259BF"/>
    <w:rsid w:val="00B35D2D"/>
    <w:rsid w:val="00B4327D"/>
    <w:rsid w:val="00B47CF7"/>
    <w:rsid w:val="00B5320E"/>
    <w:rsid w:val="00B61A93"/>
    <w:rsid w:val="00B65078"/>
    <w:rsid w:val="00B725CB"/>
    <w:rsid w:val="00B74BC5"/>
    <w:rsid w:val="00B7561C"/>
    <w:rsid w:val="00B84411"/>
    <w:rsid w:val="00BA5491"/>
    <w:rsid w:val="00BB1230"/>
    <w:rsid w:val="00BB6595"/>
    <w:rsid w:val="00BC0A61"/>
    <w:rsid w:val="00BC0EA8"/>
    <w:rsid w:val="00BC3559"/>
    <w:rsid w:val="00BC4501"/>
    <w:rsid w:val="00BE2877"/>
    <w:rsid w:val="00BE6A7C"/>
    <w:rsid w:val="00BE794F"/>
    <w:rsid w:val="00BE7E5F"/>
    <w:rsid w:val="00BF4B62"/>
    <w:rsid w:val="00C021FD"/>
    <w:rsid w:val="00C02358"/>
    <w:rsid w:val="00C032AF"/>
    <w:rsid w:val="00C05E00"/>
    <w:rsid w:val="00C05EE0"/>
    <w:rsid w:val="00C155D9"/>
    <w:rsid w:val="00C21EAC"/>
    <w:rsid w:val="00C22B6E"/>
    <w:rsid w:val="00C249F4"/>
    <w:rsid w:val="00C252AB"/>
    <w:rsid w:val="00C33916"/>
    <w:rsid w:val="00C351F0"/>
    <w:rsid w:val="00C47837"/>
    <w:rsid w:val="00C5408B"/>
    <w:rsid w:val="00C543B4"/>
    <w:rsid w:val="00C630D6"/>
    <w:rsid w:val="00C658DB"/>
    <w:rsid w:val="00C74B07"/>
    <w:rsid w:val="00C771E8"/>
    <w:rsid w:val="00C86014"/>
    <w:rsid w:val="00C95A22"/>
    <w:rsid w:val="00CA27EF"/>
    <w:rsid w:val="00CA47A2"/>
    <w:rsid w:val="00CA611E"/>
    <w:rsid w:val="00CD3675"/>
    <w:rsid w:val="00CD4936"/>
    <w:rsid w:val="00CE2368"/>
    <w:rsid w:val="00CE59A7"/>
    <w:rsid w:val="00CF4B4E"/>
    <w:rsid w:val="00D01CCE"/>
    <w:rsid w:val="00D15495"/>
    <w:rsid w:val="00D16246"/>
    <w:rsid w:val="00D17DF0"/>
    <w:rsid w:val="00D21E69"/>
    <w:rsid w:val="00D23151"/>
    <w:rsid w:val="00D2420F"/>
    <w:rsid w:val="00D33067"/>
    <w:rsid w:val="00D337B4"/>
    <w:rsid w:val="00D34D3D"/>
    <w:rsid w:val="00D4013F"/>
    <w:rsid w:val="00D4392C"/>
    <w:rsid w:val="00D50C87"/>
    <w:rsid w:val="00D51BB0"/>
    <w:rsid w:val="00D51CBD"/>
    <w:rsid w:val="00D578C2"/>
    <w:rsid w:val="00D60921"/>
    <w:rsid w:val="00D640E5"/>
    <w:rsid w:val="00D70E75"/>
    <w:rsid w:val="00D71A46"/>
    <w:rsid w:val="00D74301"/>
    <w:rsid w:val="00D74D81"/>
    <w:rsid w:val="00D84746"/>
    <w:rsid w:val="00D852D5"/>
    <w:rsid w:val="00D903B7"/>
    <w:rsid w:val="00D914C2"/>
    <w:rsid w:val="00DA1051"/>
    <w:rsid w:val="00DA18DE"/>
    <w:rsid w:val="00DB18FD"/>
    <w:rsid w:val="00DB53C4"/>
    <w:rsid w:val="00DD2BBA"/>
    <w:rsid w:val="00DD34D0"/>
    <w:rsid w:val="00DE1158"/>
    <w:rsid w:val="00DE1E43"/>
    <w:rsid w:val="00DE2102"/>
    <w:rsid w:val="00DE3589"/>
    <w:rsid w:val="00DE3FBC"/>
    <w:rsid w:val="00DF0F92"/>
    <w:rsid w:val="00DF1741"/>
    <w:rsid w:val="00DF5D81"/>
    <w:rsid w:val="00E001CF"/>
    <w:rsid w:val="00E04CD5"/>
    <w:rsid w:val="00E077AF"/>
    <w:rsid w:val="00E105A0"/>
    <w:rsid w:val="00E12EC3"/>
    <w:rsid w:val="00E22EF7"/>
    <w:rsid w:val="00E2421D"/>
    <w:rsid w:val="00E268D9"/>
    <w:rsid w:val="00E37840"/>
    <w:rsid w:val="00E52E86"/>
    <w:rsid w:val="00E604EA"/>
    <w:rsid w:val="00E64A80"/>
    <w:rsid w:val="00E7570A"/>
    <w:rsid w:val="00E76172"/>
    <w:rsid w:val="00E829BB"/>
    <w:rsid w:val="00E9730D"/>
    <w:rsid w:val="00EB07FA"/>
    <w:rsid w:val="00EB40F2"/>
    <w:rsid w:val="00EB5880"/>
    <w:rsid w:val="00EB7094"/>
    <w:rsid w:val="00EC3845"/>
    <w:rsid w:val="00EC6206"/>
    <w:rsid w:val="00ED63B2"/>
    <w:rsid w:val="00EE29E2"/>
    <w:rsid w:val="00EE7B3A"/>
    <w:rsid w:val="00EF0554"/>
    <w:rsid w:val="00EF6DDC"/>
    <w:rsid w:val="00F03A14"/>
    <w:rsid w:val="00F15389"/>
    <w:rsid w:val="00F1578D"/>
    <w:rsid w:val="00F1621B"/>
    <w:rsid w:val="00F262CE"/>
    <w:rsid w:val="00F276CE"/>
    <w:rsid w:val="00F35DD4"/>
    <w:rsid w:val="00F4119B"/>
    <w:rsid w:val="00F41DC8"/>
    <w:rsid w:val="00F453AC"/>
    <w:rsid w:val="00F46A6D"/>
    <w:rsid w:val="00F54ED1"/>
    <w:rsid w:val="00F55335"/>
    <w:rsid w:val="00F55C40"/>
    <w:rsid w:val="00F61431"/>
    <w:rsid w:val="00F61A55"/>
    <w:rsid w:val="00F636D9"/>
    <w:rsid w:val="00F66E7B"/>
    <w:rsid w:val="00F67A4A"/>
    <w:rsid w:val="00F81CBD"/>
    <w:rsid w:val="00F8222F"/>
    <w:rsid w:val="00F82F37"/>
    <w:rsid w:val="00F840A5"/>
    <w:rsid w:val="00F9055A"/>
    <w:rsid w:val="00F94A3E"/>
    <w:rsid w:val="00F97025"/>
    <w:rsid w:val="00F97E81"/>
    <w:rsid w:val="00FA1CCA"/>
    <w:rsid w:val="00FB006A"/>
    <w:rsid w:val="00FD1386"/>
    <w:rsid w:val="00FD3F66"/>
    <w:rsid w:val="00FD63CC"/>
    <w:rsid w:val="00FF047F"/>
    <w:rsid w:val="00FF0CAA"/>
    <w:rsid w:val="00FF1A6E"/>
    <w:rsid w:val="00FF39B7"/>
    <w:rsid w:val="00FF5A1C"/>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 w:type="character" w:styleId="Emphasis">
    <w:name w:val="Emphasis"/>
    <w:basedOn w:val="DefaultParagraphFont"/>
    <w:uiPriority w:val="20"/>
    <w:qFormat/>
    <w:rsid w:val="009151B3"/>
    <w:rPr>
      <w:i/>
      <w:iCs/>
    </w:rPr>
  </w:style>
  <w:style w:type="character" w:styleId="Strong">
    <w:name w:val="Strong"/>
    <w:basedOn w:val="DefaultParagraphFont"/>
    <w:uiPriority w:val="22"/>
    <w:qFormat/>
    <w:rsid w:val="008D108D"/>
    <w:rPr>
      <w:b/>
      <w:bCs/>
    </w:rPr>
  </w:style>
  <w:style w:type="character" w:customStyle="1" w:styleId="slit">
    <w:name w:val="s_lit"/>
    <w:basedOn w:val="DefaultParagraphFont"/>
    <w:rsid w:val="007450CB"/>
  </w:style>
  <w:style w:type="character" w:customStyle="1" w:styleId="slitbdy">
    <w:name w:val="s_lit_bdy"/>
    <w:basedOn w:val="DefaultParagraphFont"/>
    <w:rsid w:val="007450CB"/>
  </w:style>
  <w:style w:type="character" w:customStyle="1" w:styleId="slitttl">
    <w:name w:val="s_lit_ttl"/>
    <w:basedOn w:val="DefaultParagraphFont"/>
    <w:rsid w:val="007450CB"/>
  </w:style>
  <w:style w:type="paragraph" w:styleId="ListParagraph">
    <w:name w:val="List Paragraph"/>
    <w:basedOn w:val="Normal"/>
    <w:uiPriority w:val="34"/>
    <w:qFormat/>
    <w:rsid w:val="009C38EB"/>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2.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6</cp:revision>
  <dcterms:created xsi:type="dcterms:W3CDTF">2022-05-24T14:08:00Z</dcterms:created>
  <dcterms:modified xsi:type="dcterms:W3CDTF">2022-05-26T07:33:00Z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