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38FE" w14:textId="77777777" w:rsidR="00212011" w:rsidRDefault="00212011" w:rsidP="00E97A00">
      <w:pPr>
        <w:jc w:val="both"/>
        <w:rPr>
          <w:rFonts w:ascii="Georgia" w:hAnsi="Georgia"/>
          <w:sz w:val="20"/>
          <w:szCs w:val="20"/>
          <w:lang w:val="ro-RO"/>
        </w:rPr>
      </w:pPr>
    </w:p>
    <w:p w14:paraId="420B319A" w14:textId="0D2B77AC" w:rsidR="00212011" w:rsidRDefault="00212011" w:rsidP="00E97A00">
      <w:pPr>
        <w:jc w:val="both"/>
        <w:rPr>
          <w:rFonts w:ascii="Georgia" w:hAnsi="Georgia"/>
          <w:b/>
          <w:bCs/>
          <w:lang w:val="ro-RO"/>
        </w:rPr>
      </w:pPr>
      <w:r w:rsidRPr="00212011">
        <w:rPr>
          <w:rFonts w:ascii="Georgia" w:hAnsi="Georgia"/>
          <w:b/>
          <w:bCs/>
          <w:lang w:val="ro-RO"/>
        </w:rPr>
        <w:t>Obligația de offset în industria de apărare – un vis frumos sau o șansă reală?</w:t>
      </w:r>
    </w:p>
    <w:p w14:paraId="579AC4B2" w14:textId="6778B7E1" w:rsidR="00212011" w:rsidRDefault="00212011" w:rsidP="00E97A00">
      <w:pPr>
        <w:jc w:val="both"/>
        <w:rPr>
          <w:rFonts w:ascii="Georgia" w:hAnsi="Georgia"/>
          <w:b/>
          <w:bCs/>
          <w:lang w:val="ro-RO"/>
        </w:rPr>
      </w:pPr>
    </w:p>
    <w:p w14:paraId="1D331D10" w14:textId="317AECD9" w:rsidR="00212011" w:rsidRPr="00212011" w:rsidRDefault="00212011" w:rsidP="00E97A00">
      <w:pPr>
        <w:jc w:val="both"/>
        <w:rPr>
          <w:rFonts w:ascii="Georgia" w:hAnsi="Georgia"/>
          <w:i/>
          <w:iCs/>
          <w:sz w:val="20"/>
          <w:szCs w:val="20"/>
          <w:lang w:val="ro-RO"/>
        </w:rPr>
      </w:pPr>
      <w:r w:rsidRPr="00212011">
        <w:rPr>
          <w:rFonts w:ascii="Georgia" w:hAnsi="Georgia"/>
          <w:i/>
          <w:iCs/>
          <w:sz w:val="20"/>
          <w:szCs w:val="20"/>
          <w:lang w:val="ro-RO"/>
        </w:rPr>
        <w:t>Autor – Adrian Zamfir (</w:t>
      </w:r>
      <w:r w:rsidR="004C6F65">
        <w:rPr>
          <w:rFonts w:ascii="Georgia" w:hAnsi="Georgia"/>
          <w:i/>
          <w:iCs/>
          <w:sz w:val="20"/>
          <w:szCs w:val="20"/>
          <w:lang w:val="ro-RO"/>
        </w:rPr>
        <w:t>a</w:t>
      </w:r>
      <w:r w:rsidRPr="00212011">
        <w:rPr>
          <w:rFonts w:ascii="Georgia" w:hAnsi="Georgia"/>
          <w:i/>
          <w:iCs/>
          <w:sz w:val="20"/>
          <w:szCs w:val="20"/>
          <w:lang w:val="ro-RO"/>
        </w:rPr>
        <w:t>ssociate, Filip &amp; Company)</w:t>
      </w:r>
    </w:p>
    <w:p w14:paraId="779936FE" w14:textId="77777777" w:rsidR="00212011" w:rsidRDefault="00212011" w:rsidP="00E97A00">
      <w:pPr>
        <w:jc w:val="both"/>
        <w:rPr>
          <w:rFonts w:ascii="Georgia" w:hAnsi="Georgia"/>
          <w:sz w:val="20"/>
          <w:szCs w:val="20"/>
          <w:lang w:val="ro-RO"/>
        </w:rPr>
      </w:pPr>
    </w:p>
    <w:p w14:paraId="7134B71D" w14:textId="427AAF05"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În condițiile creșterii bugetului apărării cu 2,5% începând cu anul 2023 și raportat la situația geo-politică din apropierea României, achizițiile de tehnică militară în vederea înzestrării Armatei României vor spori constant, mai ales în lumina strategiei „</w:t>
      </w:r>
      <w:r w:rsidRPr="00E97A00">
        <w:rPr>
          <w:rFonts w:ascii="Georgia" w:hAnsi="Georgia"/>
          <w:i/>
          <w:iCs/>
          <w:sz w:val="20"/>
          <w:szCs w:val="20"/>
          <w:lang w:val="ro-RO"/>
        </w:rPr>
        <w:t>Armata României 2040</w:t>
      </w:r>
      <w:r w:rsidRPr="00E97A00">
        <w:rPr>
          <w:rFonts w:ascii="Georgia" w:hAnsi="Georgia"/>
          <w:sz w:val="20"/>
          <w:szCs w:val="20"/>
          <w:lang w:val="ro-RO"/>
        </w:rPr>
        <w:t>”. Deja sunt pregătite sau aproape de finalizare programe de investiții în vederea achiziționării de drone Elbit, baterii de coastă antinavă NSM Raytheon, sisteme de securitate și apărare cibernetică etc.</w:t>
      </w:r>
    </w:p>
    <w:p w14:paraId="0E61C9DA"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Aceste posibile achiziții viitoare reprezintă oportunități pentru industria de apărare din România prin obligația de compensare (sau de offset, cum este popular cunoscută) reglementată de O.U.G nr. 189/2002 privind operațiunile compensatorii referitoare la contractele de achiziții pentru nevoi de apaărare, ordine publică și siguranță națională (în continuare „</w:t>
      </w:r>
      <w:r w:rsidRPr="00E97A00">
        <w:rPr>
          <w:rFonts w:ascii="Georgia" w:hAnsi="Georgia"/>
          <w:b/>
          <w:bCs/>
          <w:sz w:val="20"/>
          <w:szCs w:val="20"/>
          <w:lang w:val="ro-RO"/>
        </w:rPr>
        <w:t>O.U.G. nr. 189/2002</w:t>
      </w:r>
      <w:r w:rsidRPr="00E97A00">
        <w:rPr>
          <w:rFonts w:ascii="Georgia" w:hAnsi="Georgia"/>
          <w:sz w:val="20"/>
          <w:szCs w:val="20"/>
          <w:lang w:val="ro-RO"/>
        </w:rPr>
        <w:t xml:space="preserve">”). </w:t>
      </w:r>
      <w:r w:rsidRPr="00E97A00">
        <w:rPr>
          <w:rFonts w:ascii="Georgia" w:hAnsi="Georgia"/>
          <w:b/>
          <w:bCs/>
          <w:sz w:val="20"/>
          <w:szCs w:val="20"/>
          <w:lang w:val="ro-RO"/>
        </w:rPr>
        <w:t>Denumirea de „offset” este cea folosită în practica comercială internațională. Aceasta se traduce în legislația din România sub forma „obligației de compensare”</w:t>
      </w:r>
      <w:r w:rsidRPr="00E97A00">
        <w:rPr>
          <w:rFonts w:ascii="Georgia" w:hAnsi="Georgia"/>
          <w:sz w:val="20"/>
          <w:szCs w:val="20"/>
          <w:lang w:val="ro-RO"/>
        </w:rPr>
        <w:t>.</w:t>
      </w:r>
    </w:p>
    <w:p w14:paraId="64692940" w14:textId="77777777" w:rsidR="004C6F65" w:rsidRDefault="004C6F65" w:rsidP="00E97A00">
      <w:pPr>
        <w:jc w:val="both"/>
        <w:rPr>
          <w:rFonts w:ascii="Georgia" w:hAnsi="Georgia"/>
          <w:sz w:val="20"/>
          <w:szCs w:val="20"/>
          <w:lang w:val="ro-RO"/>
        </w:rPr>
      </w:pPr>
    </w:p>
    <w:p w14:paraId="58895C7A" w14:textId="53DD1B32" w:rsidR="00E97A00" w:rsidRDefault="00E97A00" w:rsidP="00E97A00">
      <w:pPr>
        <w:jc w:val="both"/>
        <w:rPr>
          <w:rFonts w:ascii="Georgia" w:hAnsi="Georgia"/>
          <w:sz w:val="20"/>
          <w:szCs w:val="20"/>
          <w:lang w:val="ro-RO"/>
        </w:rPr>
      </w:pPr>
      <w:r w:rsidRPr="00E97A00">
        <w:rPr>
          <w:rFonts w:ascii="Georgia" w:hAnsi="Georgia"/>
          <w:sz w:val="20"/>
          <w:szCs w:val="20"/>
          <w:lang w:val="ro-RO"/>
        </w:rPr>
        <w:t>Vom arăta în continuare: (i) reglementarea generală; (ii) contractele ce intră sub incidența obligației de offset și procedura aferentă încheierii acestora; și (iii) ce îmbunătățiri ar putea fi aduse legislației privind offsetul astfel încât să fie adusă o plus-valoare cât mai ridicată.</w:t>
      </w:r>
    </w:p>
    <w:p w14:paraId="680EBD12" w14:textId="77777777" w:rsidR="00E97A00" w:rsidRPr="00E97A00" w:rsidRDefault="00E97A00" w:rsidP="00E97A00">
      <w:pPr>
        <w:jc w:val="both"/>
        <w:rPr>
          <w:rFonts w:ascii="Georgia" w:hAnsi="Georgia"/>
          <w:sz w:val="20"/>
          <w:szCs w:val="20"/>
          <w:lang w:val="ro-RO"/>
        </w:rPr>
      </w:pPr>
    </w:p>
    <w:p w14:paraId="28AD9B93" w14:textId="77777777" w:rsidR="00E97A00" w:rsidRPr="00E97A00" w:rsidRDefault="00E97A00" w:rsidP="00E97A00">
      <w:pPr>
        <w:pStyle w:val="ListParagraph"/>
        <w:numPr>
          <w:ilvl w:val="0"/>
          <w:numId w:val="21"/>
        </w:numPr>
        <w:suppressAutoHyphens w:val="0"/>
        <w:spacing w:after="140" w:line="280" w:lineRule="exact"/>
        <w:jc w:val="both"/>
        <w:rPr>
          <w:rFonts w:ascii="Georgia" w:hAnsi="Georgia"/>
          <w:b/>
          <w:bCs/>
          <w:sz w:val="20"/>
          <w:szCs w:val="20"/>
          <w:lang w:val="ro-RO"/>
        </w:rPr>
      </w:pPr>
      <w:r w:rsidRPr="00E97A00">
        <w:rPr>
          <w:rFonts w:ascii="Georgia" w:hAnsi="Georgia"/>
          <w:b/>
          <w:bCs/>
          <w:sz w:val="20"/>
          <w:szCs w:val="20"/>
          <w:lang w:val="ro-RO"/>
        </w:rPr>
        <w:t>Reglementarea generală</w:t>
      </w:r>
    </w:p>
    <w:p w14:paraId="2736156B"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Conform O.U.G. nr. 189/2002, Oficiul de Compensare pentru Achiziții de Tehnică Specială (în continuare „</w:t>
      </w:r>
      <w:r w:rsidRPr="00E97A00">
        <w:rPr>
          <w:rFonts w:ascii="Georgia" w:hAnsi="Georgia"/>
          <w:b/>
          <w:bCs/>
          <w:sz w:val="20"/>
          <w:szCs w:val="20"/>
          <w:lang w:val="ro-RO"/>
        </w:rPr>
        <w:t>OCATS</w:t>
      </w:r>
      <w:r w:rsidRPr="00E97A00">
        <w:rPr>
          <w:rFonts w:ascii="Georgia" w:hAnsi="Georgia"/>
          <w:sz w:val="20"/>
          <w:szCs w:val="20"/>
          <w:lang w:val="ro-RO"/>
        </w:rPr>
        <w:t>”) din cadrul Ministerului Economiei are atribuții în ceea ce privește offsetul.  De reținut de asemenea că diversele mențiuni din cuprinsul O.U.G. nr. 189/2002 care fac referire la „</w:t>
      </w:r>
      <w:r w:rsidRPr="00E97A00">
        <w:rPr>
          <w:rFonts w:ascii="Georgia" w:hAnsi="Georgia"/>
          <w:i/>
          <w:iCs/>
          <w:sz w:val="20"/>
          <w:szCs w:val="20"/>
          <w:lang w:val="ro-RO"/>
        </w:rPr>
        <w:t>Agenție</w:t>
      </w:r>
      <w:r w:rsidRPr="00E97A00">
        <w:rPr>
          <w:rFonts w:ascii="Georgia" w:hAnsi="Georgia"/>
          <w:sz w:val="20"/>
          <w:szCs w:val="20"/>
          <w:lang w:val="ro-RO"/>
        </w:rPr>
        <w:t>” trebuie citite ca fiind făcute către OCATS.</w:t>
      </w:r>
    </w:p>
    <w:p w14:paraId="60E07A7E"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 xml:space="preserve">Obligația de offset constă în angajamentul derulării de operațiuni compensatorii față de economia națională în vederea promovării semnificative a intereselor economice ale României şi crearea unor instrumente eficiente pentru îmbunătățirea situației balanței comerciale. </w:t>
      </w:r>
    </w:p>
    <w:p w14:paraId="1EC81EB3" w14:textId="70884C5A" w:rsidR="00E97A00" w:rsidRDefault="00E97A00" w:rsidP="00E97A00">
      <w:pPr>
        <w:jc w:val="both"/>
        <w:rPr>
          <w:rFonts w:ascii="Georgia" w:hAnsi="Georgia"/>
          <w:sz w:val="20"/>
          <w:szCs w:val="20"/>
          <w:lang w:val="ro-RO"/>
        </w:rPr>
      </w:pPr>
      <w:r w:rsidRPr="00E97A00">
        <w:rPr>
          <w:rFonts w:ascii="Georgia" w:hAnsi="Georgia"/>
          <w:sz w:val="20"/>
          <w:szCs w:val="20"/>
          <w:lang w:val="ro-RO"/>
        </w:rPr>
        <w:t xml:space="preserve">Această obligație de compensare se îndeplinește (sau ar trebui, conform legii) în special prin susținerea industriei românești de apărare, dar O.U.G. nr. 189/2002 nu este limitativă în privința aceasta. Este acceptată orice fel de susținere a industriei românești: obținerea de tehnologie modernă (inclusiv civilă, nu numai militară), creșterea calității și productivității în industrie, creșterea competitivității internaționale a economiei românești etc. </w:t>
      </w:r>
      <w:r w:rsidRPr="00E97A00">
        <w:rPr>
          <w:rFonts w:ascii="Georgia" w:hAnsi="Georgia"/>
          <w:b/>
          <w:bCs/>
          <w:sz w:val="20"/>
          <w:szCs w:val="20"/>
          <w:lang w:val="ro-RO"/>
        </w:rPr>
        <w:t>Pe scurt, offsetul poate însemna și investiții în afara industriei de apărare, atât timp cât economia României beneficiază</w:t>
      </w:r>
      <w:r w:rsidRPr="00E97A00">
        <w:rPr>
          <w:rFonts w:ascii="Georgia" w:hAnsi="Georgia"/>
          <w:sz w:val="20"/>
          <w:szCs w:val="20"/>
          <w:lang w:val="ro-RO"/>
        </w:rPr>
        <w:t>.</w:t>
      </w:r>
    </w:p>
    <w:p w14:paraId="37E608F0" w14:textId="77777777" w:rsidR="00E97A00" w:rsidRPr="00E97A00" w:rsidRDefault="00E97A00" w:rsidP="00E97A00">
      <w:pPr>
        <w:jc w:val="both"/>
        <w:rPr>
          <w:rFonts w:ascii="Georgia" w:hAnsi="Georgia"/>
          <w:sz w:val="20"/>
          <w:szCs w:val="20"/>
          <w:lang w:val="ro-RO"/>
        </w:rPr>
      </w:pPr>
    </w:p>
    <w:p w14:paraId="7E4E7438"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Operațiunile compensatorii prin care se realizează obligația de offset pot fi directe și indirecte.</w:t>
      </w:r>
    </w:p>
    <w:p w14:paraId="22CD7537" w14:textId="5C6AD859" w:rsidR="00E97A00" w:rsidRDefault="00E97A00" w:rsidP="00E97A00">
      <w:pPr>
        <w:jc w:val="both"/>
        <w:rPr>
          <w:rFonts w:ascii="Georgia" w:hAnsi="Georgia"/>
          <w:sz w:val="20"/>
          <w:szCs w:val="20"/>
          <w:lang w:val="ro-RO"/>
        </w:rPr>
      </w:pPr>
      <w:r w:rsidRPr="00E97A00">
        <w:rPr>
          <w:rFonts w:ascii="Georgia" w:hAnsi="Georgia"/>
          <w:b/>
          <w:bCs/>
          <w:sz w:val="20"/>
          <w:szCs w:val="20"/>
          <w:lang w:val="ro-RO"/>
        </w:rPr>
        <w:t>Operațiunile compensatorii directe</w:t>
      </w:r>
      <w:r w:rsidRPr="00E97A00">
        <w:rPr>
          <w:rFonts w:ascii="Georgia" w:hAnsi="Georgia"/>
          <w:sz w:val="20"/>
          <w:szCs w:val="20"/>
          <w:lang w:val="ro-RO"/>
        </w:rPr>
        <w:t xml:space="preserve"> reprezintă operațiunile în care agenții economici români </w:t>
      </w:r>
      <w:r w:rsidRPr="00E97A00">
        <w:rPr>
          <w:rFonts w:ascii="Georgia" w:hAnsi="Georgia"/>
          <w:b/>
          <w:bCs/>
          <w:sz w:val="20"/>
          <w:szCs w:val="20"/>
          <w:lang w:val="ro-RO"/>
        </w:rPr>
        <w:t>participă la realizarea</w:t>
      </w:r>
      <w:r w:rsidRPr="00E97A00">
        <w:rPr>
          <w:rFonts w:ascii="Georgia" w:hAnsi="Georgia"/>
          <w:sz w:val="20"/>
          <w:szCs w:val="20"/>
          <w:lang w:val="ro-RO"/>
        </w:rPr>
        <w:t xml:space="preserve"> de echipamente, tehnică, tehnologie, materiale, produse ce fac obiectul contractului de achiziţie sau </w:t>
      </w:r>
      <w:r w:rsidRPr="00E97A00">
        <w:rPr>
          <w:rFonts w:ascii="Georgia" w:hAnsi="Georgia"/>
          <w:b/>
          <w:bCs/>
          <w:sz w:val="20"/>
          <w:szCs w:val="20"/>
          <w:lang w:val="ro-RO"/>
        </w:rPr>
        <w:t>la prestarea de servicii</w:t>
      </w:r>
      <w:r w:rsidRPr="00E97A00">
        <w:rPr>
          <w:rFonts w:ascii="Georgia" w:hAnsi="Georgia"/>
          <w:sz w:val="20"/>
          <w:szCs w:val="20"/>
          <w:lang w:val="ro-RO"/>
        </w:rPr>
        <w:t xml:space="preserve"> care contribuie la implementarea şi exploatarea în bune condiţii a echipamentelor şi produselor achiziţionate. </w:t>
      </w:r>
      <w:r w:rsidRPr="00E97A00">
        <w:rPr>
          <w:rFonts w:ascii="Georgia" w:hAnsi="Georgia"/>
          <w:b/>
          <w:bCs/>
          <w:sz w:val="20"/>
          <w:szCs w:val="20"/>
          <w:lang w:val="ro-RO"/>
        </w:rPr>
        <w:t>Un exemplu de operațiune compensatorie directă</w:t>
      </w:r>
      <w:r w:rsidRPr="00E97A00">
        <w:rPr>
          <w:rFonts w:ascii="Georgia" w:hAnsi="Georgia"/>
          <w:sz w:val="20"/>
          <w:szCs w:val="20"/>
          <w:lang w:val="ro-RO"/>
        </w:rPr>
        <w:t xml:space="preserve">: încheierea unui contract pentru livrarea de blindate, iar anumite componente ale produsului final sunt produse de subcontractori din România. </w:t>
      </w:r>
    </w:p>
    <w:p w14:paraId="09FAAB3F" w14:textId="77777777" w:rsidR="00E97A00" w:rsidRPr="00E97A00" w:rsidRDefault="00E97A00" w:rsidP="00E97A00">
      <w:pPr>
        <w:jc w:val="both"/>
        <w:rPr>
          <w:rFonts w:ascii="Georgia" w:hAnsi="Georgia"/>
          <w:sz w:val="20"/>
          <w:szCs w:val="20"/>
          <w:lang w:val="ro-RO"/>
        </w:rPr>
      </w:pPr>
    </w:p>
    <w:p w14:paraId="3F1695F9" w14:textId="64D39820" w:rsidR="00E97A00" w:rsidRDefault="00E97A00" w:rsidP="00E97A00">
      <w:pPr>
        <w:jc w:val="both"/>
        <w:rPr>
          <w:rFonts w:ascii="Georgia" w:hAnsi="Georgia"/>
          <w:sz w:val="20"/>
          <w:szCs w:val="20"/>
          <w:lang w:val="ro-RO"/>
        </w:rPr>
      </w:pPr>
      <w:r w:rsidRPr="00E97A00">
        <w:rPr>
          <w:rFonts w:ascii="Georgia" w:hAnsi="Georgia"/>
          <w:b/>
          <w:bCs/>
          <w:sz w:val="20"/>
          <w:szCs w:val="20"/>
          <w:lang w:val="ro-RO"/>
        </w:rPr>
        <w:t>Un aspect mai puțin cunoscut de societățile din România</w:t>
      </w:r>
      <w:r w:rsidRPr="00E97A00">
        <w:rPr>
          <w:rFonts w:ascii="Georgia" w:hAnsi="Georgia"/>
          <w:sz w:val="20"/>
          <w:szCs w:val="20"/>
          <w:lang w:val="ro-RO"/>
        </w:rPr>
        <w:t xml:space="preserve"> este că obligația de offset se poate realiza de contractant și prin achiziționarea de orice alte mărfuri şi servicii. De exemplu, pot fi livrate mărfuri din domeniul industriei uşoare (optică militară, corturi, armament ușor, uniforme, mobilier etc.), din zona industriei alimentare (semnarea unui contract de aprovizionare cu alimente, conserve etc.). Această soluție a fost de multe ori criticată deoarece cei care aveau obligația de offset alegeau calea mai facilă de a nu face transfer de tehnologie în România sau adevărate investiții de importanță strategică, ci să achiziționeze diverse mărfuri pentru a îndeplini obligația de offset. Cu toate acestea, actualmente această posibilitate există și reprezintă o </w:t>
      </w:r>
      <w:r w:rsidRPr="00E97A00">
        <w:rPr>
          <w:rFonts w:ascii="Georgia" w:hAnsi="Georgia"/>
          <w:sz w:val="20"/>
          <w:szCs w:val="20"/>
          <w:u w:val="single"/>
          <w:lang w:val="ro-RO"/>
        </w:rPr>
        <w:t>oportunitate pentru industria românească civilă</w:t>
      </w:r>
      <w:r w:rsidRPr="00E97A00">
        <w:rPr>
          <w:rFonts w:ascii="Georgia" w:hAnsi="Georgia"/>
          <w:sz w:val="20"/>
          <w:szCs w:val="20"/>
          <w:lang w:val="ro-RO"/>
        </w:rPr>
        <w:t>, deși strategic este posibil a fi criticată.</w:t>
      </w:r>
    </w:p>
    <w:p w14:paraId="247FF871" w14:textId="77777777" w:rsidR="00E97A00" w:rsidRPr="00E97A00" w:rsidRDefault="00E97A00" w:rsidP="00E97A00">
      <w:pPr>
        <w:jc w:val="both"/>
        <w:rPr>
          <w:rFonts w:ascii="Georgia" w:hAnsi="Georgia"/>
          <w:sz w:val="20"/>
          <w:szCs w:val="20"/>
          <w:lang w:val="ro-RO"/>
        </w:rPr>
      </w:pPr>
    </w:p>
    <w:p w14:paraId="608446E0" w14:textId="77777777" w:rsidR="00E97A00" w:rsidRPr="00E97A00" w:rsidRDefault="00E97A00" w:rsidP="00E97A00">
      <w:pPr>
        <w:jc w:val="both"/>
        <w:rPr>
          <w:rFonts w:ascii="Georgia" w:hAnsi="Georgia"/>
          <w:sz w:val="20"/>
          <w:szCs w:val="20"/>
          <w:lang w:val="ro-RO"/>
        </w:rPr>
      </w:pPr>
      <w:r w:rsidRPr="00E97A00">
        <w:rPr>
          <w:rFonts w:ascii="Georgia" w:hAnsi="Georgia"/>
          <w:b/>
          <w:bCs/>
          <w:sz w:val="20"/>
          <w:szCs w:val="20"/>
          <w:lang w:val="ro-RO"/>
        </w:rPr>
        <w:lastRenderedPageBreak/>
        <w:t>Operațiunile compensatorii indirecte</w:t>
      </w:r>
      <w:r w:rsidRPr="00E97A00">
        <w:rPr>
          <w:rFonts w:ascii="Georgia" w:hAnsi="Georgia"/>
          <w:sz w:val="20"/>
          <w:szCs w:val="20"/>
          <w:lang w:val="ro-RO"/>
        </w:rPr>
        <w:t xml:space="preserve"> reprezintă compensațiile economice care nu sunt legate de echipamentele, tehnica, tehnologia, materialele, produsele sau serviciile care fac obiectul contractului de achiziție. Rezultatul acestor compensări indirecte este de cele mai multe ori dificil vizibil, deoarece constă în furnizarea de asistență de către contractant unor agenți economici din România prin acțiuni de tipul vânzării pe piața externă de produse și servicii ale economiei românești, asistență în marketing în vederea pătrunderii pe piețe externe, asistență financiară în vederea sprijinirii operatorilor economici români pentru pătrunderea pe piețe externe etc.</w:t>
      </w:r>
    </w:p>
    <w:p w14:paraId="4D9FDBE9" w14:textId="18785BE5" w:rsidR="00E97A00" w:rsidRDefault="00E97A00" w:rsidP="00E97A00">
      <w:pPr>
        <w:jc w:val="both"/>
        <w:rPr>
          <w:rFonts w:ascii="Georgia" w:hAnsi="Georgia"/>
          <w:sz w:val="20"/>
          <w:szCs w:val="20"/>
          <w:lang w:val="ro-RO"/>
        </w:rPr>
      </w:pPr>
      <w:r w:rsidRPr="00E97A00">
        <w:rPr>
          <w:rFonts w:ascii="Georgia" w:hAnsi="Georgia"/>
          <w:b/>
          <w:bCs/>
          <w:sz w:val="20"/>
          <w:szCs w:val="20"/>
          <w:lang w:val="ro-RO"/>
        </w:rPr>
        <w:t>Valoarea obligației de compensare este de 80% din valoarea contractului de achiziție.</w:t>
      </w:r>
      <w:r w:rsidRPr="00E97A00">
        <w:rPr>
          <w:rFonts w:ascii="Georgia" w:hAnsi="Georgia"/>
          <w:sz w:val="20"/>
          <w:szCs w:val="20"/>
          <w:lang w:val="ro-RO"/>
        </w:rPr>
        <w:t xml:space="preserve"> Atenție, această valoare se calculează fără taxa pe valoarea adăugată. Perioada în care obligaţia de compensare trebuie îndeplinită este de maximum 10 ani, în funcţie de valoarea obligaţiei şi de complexitatea acesteia, dar fără să depăşească cu mai mult de 2 ani durata de executare a contractului de achiziţie.</w:t>
      </w:r>
    </w:p>
    <w:p w14:paraId="5C6A196F" w14:textId="77777777" w:rsidR="00E97A00" w:rsidRPr="00E97A00" w:rsidRDefault="00E97A00" w:rsidP="00E97A00">
      <w:pPr>
        <w:jc w:val="both"/>
        <w:rPr>
          <w:rFonts w:ascii="Georgia" w:hAnsi="Georgia"/>
          <w:sz w:val="20"/>
          <w:szCs w:val="20"/>
          <w:lang w:val="ro-RO"/>
        </w:rPr>
      </w:pPr>
    </w:p>
    <w:p w14:paraId="08C46000" w14:textId="77777777" w:rsidR="00E97A00" w:rsidRPr="00E97A00" w:rsidRDefault="00E97A00" w:rsidP="00E97A00">
      <w:pPr>
        <w:pStyle w:val="ListParagraph"/>
        <w:numPr>
          <w:ilvl w:val="0"/>
          <w:numId w:val="21"/>
        </w:numPr>
        <w:suppressAutoHyphens w:val="0"/>
        <w:spacing w:after="140" w:line="280" w:lineRule="exact"/>
        <w:jc w:val="both"/>
        <w:rPr>
          <w:rFonts w:ascii="Georgia" w:hAnsi="Georgia"/>
          <w:b/>
          <w:bCs/>
          <w:sz w:val="20"/>
          <w:szCs w:val="20"/>
          <w:lang w:val="ro-RO"/>
        </w:rPr>
      </w:pPr>
      <w:r w:rsidRPr="00E97A00">
        <w:rPr>
          <w:rFonts w:ascii="Georgia" w:hAnsi="Georgia"/>
          <w:b/>
          <w:bCs/>
          <w:sz w:val="20"/>
          <w:szCs w:val="20"/>
          <w:lang w:val="ro-RO"/>
        </w:rPr>
        <w:t>Contractele ce intră sub incidența obligației de offset și procedura aferentă</w:t>
      </w:r>
    </w:p>
    <w:p w14:paraId="70A3981E"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 xml:space="preserve">Conform art. 5 din O.U.G. nr. 189/2002, obligația de offset și procedurile prevăzute se aplică în cazul în care vorbim despre atribuirea unui (i) contract de achiziţie de pe </w:t>
      </w:r>
      <w:r w:rsidRPr="00E97A00">
        <w:rPr>
          <w:rFonts w:ascii="Georgia" w:hAnsi="Georgia"/>
          <w:b/>
          <w:bCs/>
          <w:sz w:val="20"/>
          <w:szCs w:val="20"/>
          <w:lang w:val="ro-RO"/>
        </w:rPr>
        <w:t>piaţa externă</w:t>
      </w:r>
      <w:r w:rsidRPr="00E97A00">
        <w:rPr>
          <w:rFonts w:ascii="Georgia" w:hAnsi="Georgia"/>
          <w:sz w:val="20"/>
          <w:szCs w:val="20"/>
          <w:lang w:val="ro-RO"/>
        </w:rPr>
        <w:t xml:space="preserve"> (ii) de produse, servicii sau lucrări necesare </w:t>
      </w:r>
      <w:r w:rsidRPr="00E97A00">
        <w:rPr>
          <w:rFonts w:ascii="Georgia" w:hAnsi="Georgia"/>
          <w:b/>
          <w:bCs/>
          <w:sz w:val="20"/>
          <w:szCs w:val="20"/>
          <w:lang w:val="ro-RO"/>
        </w:rPr>
        <w:t>domeniului apărării, ordinii publice şi siguranţei naţionale</w:t>
      </w:r>
      <w:r w:rsidRPr="00E97A00">
        <w:rPr>
          <w:rFonts w:ascii="Georgia" w:hAnsi="Georgia"/>
          <w:sz w:val="20"/>
          <w:szCs w:val="20"/>
          <w:lang w:val="ro-RO"/>
        </w:rPr>
        <w:t xml:space="preserve">, (iii) a cărui valoare depăşeşte, individual sau cumulat, </w:t>
      </w:r>
      <w:r w:rsidRPr="00E97A00">
        <w:rPr>
          <w:rFonts w:ascii="Georgia" w:hAnsi="Georgia"/>
          <w:b/>
          <w:bCs/>
          <w:sz w:val="20"/>
          <w:szCs w:val="20"/>
          <w:lang w:val="ro-RO"/>
        </w:rPr>
        <w:t>două milioane de euro</w:t>
      </w:r>
      <w:r w:rsidRPr="00E97A00">
        <w:rPr>
          <w:rFonts w:ascii="Georgia" w:hAnsi="Georgia"/>
          <w:sz w:val="20"/>
          <w:szCs w:val="20"/>
          <w:lang w:val="ro-RO"/>
        </w:rPr>
        <w:t>.</w:t>
      </w:r>
    </w:p>
    <w:p w14:paraId="4F0FB8F9" w14:textId="29B0E61C" w:rsidR="00E97A00" w:rsidRDefault="00E97A00" w:rsidP="00E97A00">
      <w:pPr>
        <w:jc w:val="both"/>
        <w:rPr>
          <w:rFonts w:ascii="Georgia" w:hAnsi="Georgia"/>
          <w:sz w:val="20"/>
          <w:szCs w:val="20"/>
          <w:lang w:val="ro-RO"/>
        </w:rPr>
      </w:pPr>
      <w:r w:rsidRPr="00E97A00">
        <w:rPr>
          <w:rFonts w:ascii="Georgia" w:hAnsi="Georgia"/>
          <w:sz w:val="20"/>
          <w:szCs w:val="20"/>
          <w:lang w:val="ro-RO"/>
        </w:rPr>
        <w:t>Pentru toate contractele de achiziţie care se încadrează în definiția prezentată mai sus, autoritatea contractantă (MAI, MApn etc.) are obligaţia să publice în anunţul de intenţie pe care îl transmite spre publicare către M.Of. al României, Partea a VI-a - Achiziţii publice, informația privind necesitatea introducerii clauzei de offset. De asemenea, autoritatea contractantă va notifica către OCATS intenţia de a realiza achiziţii care intră sub incidenţa obligației de offset.</w:t>
      </w:r>
    </w:p>
    <w:p w14:paraId="027886AF" w14:textId="77777777" w:rsidR="00E97A00" w:rsidRPr="00E97A00" w:rsidRDefault="00E97A00" w:rsidP="00E97A00">
      <w:pPr>
        <w:jc w:val="both"/>
        <w:rPr>
          <w:rFonts w:ascii="Georgia" w:hAnsi="Georgia"/>
          <w:sz w:val="20"/>
          <w:szCs w:val="20"/>
          <w:lang w:val="ro-RO"/>
        </w:rPr>
      </w:pPr>
    </w:p>
    <w:p w14:paraId="29380EE3" w14:textId="77777777" w:rsidR="00E97A00" w:rsidRPr="00E97A00" w:rsidRDefault="00E97A00" w:rsidP="00E97A00">
      <w:pPr>
        <w:jc w:val="both"/>
        <w:rPr>
          <w:rFonts w:ascii="Georgia" w:hAnsi="Georgia"/>
          <w:sz w:val="20"/>
          <w:szCs w:val="20"/>
          <w:lang w:val="ro-RO"/>
        </w:rPr>
      </w:pPr>
      <w:r w:rsidRPr="00E97A00">
        <w:rPr>
          <w:rFonts w:ascii="Georgia" w:hAnsi="Georgia"/>
          <w:b/>
          <w:bCs/>
          <w:sz w:val="20"/>
          <w:szCs w:val="20"/>
          <w:lang w:val="ro-RO"/>
        </w:rPr>
        <w:t>Ofertele depuse de participanţii la procedurile de atribuire a contractelor de achiziţie trebuie să conţină următoarele</w:t>
      </w:r>
      <w:r w:rsidRPr="00E97A00">
        <w:rPr>
          <w:rFonts w:ascii="Georgia" w:hAnsi="Georgia"/>
          <w:sz w:val="20"/>
          <w:szCs w:val="20"/>
          <w:lang w:val="ro-RO"/>
        </w:rPr>
        <w:t xml:space="preserve"> informaţii cu privire la operaţiunile compensatorii:</w:t>
      </w:r>
    </w:p>
    <w:p w14:paraId="669FD98D"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a) informaţii cu privire la experienţa contractantului referitoare la operaţiuni compensatorii;</w:t>
      </w:r>
    </w:p>
    <w:p w14:paraId="1D69F42E"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b) declaraţie privind acceptarea obligaţiei de compensare şi a penalităţilor prevăzute de prezenta ordonanţă de urgenţă în cazul neîndeplinirii obligaţiilor;</w:t>
      </w:r>
    </w:p>
    <w:p w14:paraId="04C94927"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b</w:t>
      </w:r>
      <w:r w:rsidRPr="00E97A00">
        <w:rPr>
          <w:rFonts w:ascii="Georgia" w:hAnsi="Georgia"/>
          <w:sz w:val="20"/>
          <w:szCs w:val="20"/>
          <w:vertAlign w:val="superscript"/>
          <w:lang w:val="ro-RO"/>
        </w:rPr>
        <w:t>1</w:t>
      </w:r>
      <w:r w:rsidRPr="00E97A00">
        <w:rPr>
          <w:rFonts w:ascii="Georgia" w:hAnsi="Georgia"/>
          <w:sz w:val="20"/>
          <w:szCs w:val="20"/>
          <w:lang w:val="ro-RO"/>
        </w:rPr>
        <w:t>) valoarea obligaţiei de compensare asumate;</w:t>
      </w:r>
    </w:p>
    <w:p w14:paraId="390818BD"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c) tipurile de operaţiuni compensatorii ce vor fi utilizate;</w:t>
      </w:r>
    </w:p>
    <w:p w14:paraId="06A9CDA6" w14:textId="297392CA" w:rsidR="00E97A00" w:rsidRDefault="00E97A00" w:rsidP="00E97A00">
      <w:pPr>
        <w:jc w:val="both"/>
        <w:rPr>
          <w:rFonts w:ascii="Georgia" w:hAnsi="Georgia"/>
          <w:sz w:val="20"/>
          <w:szCs w:val="20"/>
          <w:lang w:val="ro-RO"/>
        </w:rPr>
      </w:pPr>
      <w:r w:rsidRPr="00E97A00">
        <w:rPr>
          <w:rFonts w:ascii="Georgia" w:hAnsi="Georgia"/>
          <w:sz w:val="20"/>
          <w:szCs w:val="20"/>
          <w:lang w:val="ro-RO"/>
        </w:rPr>
        <w:t>d) alte informaţii pe care contractantul le consideră utile.</w:t>
      </w:r>
    </w:p>
    <w:p w14:paraId="51D313F1" w14:textId="77777777" w:rsidR="00E97A00" w:rsidRPr="00E97A00" w:rsidRDefault="00E97A00" w:rsidP="00E97A00">
      <w:pPr>
        <w:jc w:val="both"/>
        <w:rPr>
          <w:rFonts w:ascii="Georgia" w:hAnsi="Georgia"/>
          <w:sz w:val="20"/>
          <w:szCs w:val="20"/>
          <w:lang w:val="ro-RO"/>
        </w:rPr>
      </w:pPr>
    </w:p>
    <w:p w14:paraId="3B431B9E" w14:textId="24702019" w:rsidR="00E97A00" w:rsidRDefault="00E97A00" w:rsidP="00E97A00">
      <w:pPr>
        <w:jc w:val="both"/>
        <w:rPr>
          <w:rFonts w:ascii="Georgia" w:hAnsi="Georgia"/>
          <w:sz w:val="20"/>
          <w:szCs w:val="20"/>
          <w:lang w:val="ro-RO"/>
        </w:rPr>
      </w:pPr>
      <w:r w:rsidRPr="00E97A00">
        <w:rPr>
          <w:rFonts w:ascii="Georgia" w:hAnsi="Georgia"/>
          <w:sz w:val="20"/>
          <w:szCs w:val="20"/>
          <w:lang w:val="ro-RO"/>
        </w:rPr>
        <w:t xml:space="preserve">Ulterior, </w:t>
      </w:r>
      <w:r w:rsidRPr="00E97A00">
        <w:rPr>
          <w:rFonts w:ascii="Georgia" w:hAnsi="Georgia"/>
          <w:b/>
          <w:bCs/>
          <w:sz w:val="20"/>
          <w:szCs w:val="20"/>
          <w:lang w:val="ro-RO"/>
        </w:rPr>
        <w:t>câștigătorul licitației va semna contractul de achiziție</w:t>
      </w:r>
      <w:r w:rsidRPr="00E97A00">
        <w:rPr>
          <w:rFonts w:ascii="Georgia" w:hAnsi="Georgia"/>
          <w:sz w:val="20"/>
          <w:szCs w:val="20"/>
          <w:lang w:val="ro-RO"/>
        </w:rPr>
        <w:t xml:space="preserve">, contract ce trebuie obligatoriu să menționeze expres </w:t>
      </w:r>
      <w:r w:rsidRPr="00E97A00">
        <w:rPr>
          <w:rFonts w:ascii="Georgia" w:hAnsi="Georgia"/>
          <w:b/>
          <w:bCs/>
          <w:sz w:val="20"/>
          <w:szCs w:val="20"/>
          <w:lang w:val="ro-RO"/>
        </w:rPr>
        <w:t>(i)</w:t>
      </w:r>
      <w:r w:rsidRPr="00E97A00">
        <w:rPr>
          <w:rFonts w:ascii="Georgia" w:hAnsi="Georgia"/>
          <w:sz w:val="20"/>
          <w:szCs w:val="20"/>
          <w:lang w:val="ro-RO"/>
        </w:rPr>
        <w:t xml:space="preserve"> obligația contractantului de a perfecta cu OCATS acordul de compensare, în termen de 90 de zile; </w:t>
      </w:r>
      <w:r w:rsidRPr="00E97A00">
        <w:rPr>
          <w:rFonts w:ascii="Georgia" w:hAnsi="Georgia"/>
          <w:b/>
          <w:bCs/>
          <w:sz w:val="20"/>
          <w:szCs w:val="20"/>
          <w:lang w:val="ro-RO"/>
        </w:rPr>
        <w:t>(ii)</w:t>
      </w:r>
      <w:r w:rsidRPr="00E97A00">
        <w:rPr>
          <w:rFonts w:ascii="Georgia" w:hAnsi="Georgia"/>
          <w:sz w:val="20"/>
          <w:szCs w:val="20"/>
          <w:lang w:val="ro-RO"/>
        </w:rPr>
        <w:t xml:space="preserve"> valoarea obligației de compensare asumate; </w:t>
      </w:r>
      <w:r w:rsidRPr="00E97A00">
        <w:rPr>
          <w:rFonts w:ascii="Georgia" w:hAnsi="Georgia"/>
          <w:b/>
          <w:bCs/>
          <w:sz w:val="20"/>
          <w:szCs w:val="20"/>
          <w:lang w:val="ro-RO"/>
        </w:rPr>
        <w:t>(iii)</w:t>
      </w:r>
      <w:r w:rsidRPr="00E97A00">
        <w:rPr>
          <w:rFonts w:ascii="Georgia" w:hAnsi="Georgia"/>
          <w:sz w:val="20"/>
          <w:szCs w:val="20"/>
          <w:lang w:val="ro-RO"/>
        </w:rPr>
        <w:t xml:space="preserve"> angajamentul contractantului de a pune la dispoziția OCATS o scrisoare de garanție de bună execuție conform  art. 35 din O.U.G. nr. 189/2002; </w:t>
      </w:r>
      <w:r w:rsidRPr="00E97A00">
        <w:rPr>
          <w:rFonts w:ascii="Georgia" w:hAnsi="Georgia"/>
          <w:b/>
          <w:bCs/>
          <w:sz w:val="20"/>
          <w:szCs w:val="20"/>
          <w:lang w:val="ro-RO"/>
        </w:rPr>
        <w:t>(iv)</w:t>
      </w:r>
      <w:r w:rsidRPr="00E97A00">
        <w:rPr>
          <w:rFonts w:ascii="Georgia" w:hAnsi="Georgia"/>
          <w:sz w:val="20"/>
          <w:szCs w:val="20"/>
          <w:lang w:val="ro-RO"/>
        </w:rPr>
        <w:t xml:space="preserve"> acceptarea de către contractant a penalităţilor prevăzute de O.U.G. nr. 189/2002 în cazul în care obligaţia asumată nu se realizează conform acordului de compensare.</w:t>
      </w:r>
    </w:p>
    <w:p w14:paraId="7C8C3253" w14:textId="77777777" w:rsidR="00E97A00" w:rsidRPr="00E97A00" w:rsidRDefault="00E97A00" w:rsidP="00E97A00">
      <w:pPr>
        <w:jc w:val="both"/>
        <w:rPr>
          <w:rFonts w:ascii="Georgia" w:hAnsi="Georgia"/>
          <w:sz w:val="20"/>
          <w:szCs w:val="20"/>
          <w:lang w:val="ro-RO"/>
        </w:rPr>
      </w:pPr>
    </w:p>
    <w:p w14:paraId="18874CB9" w14:textId="07520CF7" w:rsidR="00E97A00" w:rsidRDefault="00E97A00" w:rsidP="00E97A00">
      <w:pPr>
        <w:jc w:val="both"/>
        <w:rPr>
          <w:rFonts w:ascii="Georgia" w:hAnsi="Georgia"/>
          <w:sz w:val="20"/>
          <w:szCs w:val="20"/>
          <w:lang w:val="ro-RO"/>
        </w:rPr>
      </w:pPr>
      <w:r w:rsidRPr="00E97A00">
        <w:rPr>
          <w:rFonts w:ascii="Georgia" w:hAnsi="Georgia"/>
          <w:sz w:val="20"/>
          <w:szCs w:val="20"/>
          <w:lang w:val="ro-RO"/>
        </w:rPr>
        <w:t xml:space="preserve">În termen de cel mult 90 de zile de la semnarea </w:t>
      </w:r>
      <w:r w:rsidRPr="00E97A00">
        <w:rPr>
          <w:rFonts w:ascii="Georgia" w:hAnsi="Georgia"/>
          <w:b/>
          <w:bCs/>
          <w:sz w:val="20"/>
          <w:szCs w:val="20"/>
          <w:lang w:val="ro-RO"/>
        </w:rPr>
        <w:t>contractului de achiziţie, contractantul și OCATS semnează acordul de compensare care va arăta obligatoriu</w:t>
      </w:r>
      <w:r w:rsidRPr="00E97A00">
        <w:rPr>
          <w:rFonts w:ascii="Georgia" w:hAnsi="Georgia"/>
          <w:sz w:val="20"/>
          <w:szCs w:val="20"/>
          <w:lang w:val="ro-RO"/>
        </w:rPr>
        <w:t>: valoarea obligației de compensare, perioada în care obligația de compensare trebuie îndeplinită, derularea acesteia pe fiecare an, tipul de operațiune compensatorie - directă sau indirectă, domeniile care vor beneficia de operațiuni compensatorii, garanțiile bancare de bună execuție a acordului, declarația privind acceptarea necondiționată a penalităților și a prevederilor din O.U.G. nr. 189/2002, precum şi orice alte informații considerate utile.</w:t>
      </w:r>
    </w:p>
    <w:p w14:paraId="71C818E6" w14:textId="77777777" w:rsidR="00E97A00" w:rsidRPr="00E97A00" w:rsidRDefault="00E97A00" w:rsidP="00E97A00">
      <w:pPr>
        <w:jc w:val="both"/>
        <w:rPr>
          <w:rFonts w:ascii="Georgia" w:hAnsi="Georgia"/>
          <w:sz w:val="20"/>
          <w:szCs w:val="20"/>
          <w:lang w:val="ro-RO"/>
        </w:rPr>
      </w:pPr>
    </w:p>
    <w:p w14:paraId="19972442" w14:textId="34767817" w:rsidR="00E97A00" w:rsidRDefault="00E97A00" w:rsidP="00E97A00">
      <w:pPr>
        <w:jc w:val="both"/>
        <w:rPr>
          <w:rFonts w:ascii="Georgia" w:hAnsi="Georgia"/>
          <w:sz w:val="20"/>
          <w:szCs w:val="20"/>
          <w:lang w:val="ro-RO"/>
        </w:rPr>
      </w:pPr>
      <w:r w:rsidRPr="00E97A00">
        <w:rPr>
          <w:rFonts w:ascii="Georgia" w:hAnsi="Georgia"/>
          <w:sz w:val="20"/>
          <w:szCs w:val="20"/>
          <w:lang w:val="ro-RO"/>
        </w:rPr>
        <w:t xml:space="preserve">Ulterior, OCATS se va asigura de îndeplinirea obligației de offset prin sistemul de credit, credit pe care contractantul trebuie să îl obțină. Creditul offset acumulat de contractant pentru fiecare tranzacţie se calculează prin înmulţirea valorii efective a tranzacţiei cu multiplicatorul de compensare aferent. Suma finală rezultată pentru fiecare tranzacţie reprezintă </w:t>
      </w:r>
      <w:r w:rsidRPr="00E97A00">
        <w:rPr>
          <w:rFonts w:ascii="Georgia" w:hAnsi="Georgia"/>
          <w:b/>
          <w:bCs/>
          <w:sz w:val="20"/>
          <w:szCs w:val="20"/>
          <w:lang w:val="ro-RO"/>
        </w:rPr>
        <w:t>creditul curent</w:t>
      </w:r>
      <w:r w:rsidRPr="00E97A00">
        <w:rPr>
          <w:rFonts w:ascii="Georgia" w:hAnsi="Georgia"/>
          <w:sz w:val="20"/>
          <w:szCs w:val="20"/>
          <w:lang w:val="ro-RO"/>
        </w:rPr>
        <w:t xml:space="preserve">. După ce OCATS aprobă creditul curent, calculat astfel cum am arătat mai sus, acesta se trece în contul contractantului, iar obligaţia de compensare se va reduce în mod corespunzător. </w:t>
      </w:r>
      <w:r w:rsidRPr="00E97A00">
        <w:rPr>
          <w:rFonts w:ascii="Georgia" w:hAnsi="Georgia"/>
          <w:b/>
          <w:bCs/>
          <w:sz w:val="20"/>
          <w:szCs w:val="20"/>
          <w:lang w:val="ro-RO"/>
        </w:rPr>
        <w:t>Evaluarea stadiului executării obligaţiei de compensare</w:t>
      </w:r>
      <w:r w:rsidRPr="00E97A00">
        <w:rPr>
          <w:rFonts w:ascii="Georgia" w:hAnsi="Georgia"/>
          <w:sz w:val="20"/>
          <w:szCs w:val="20"/>
          <w:lang w:val="ro-RO"/>
        </w:rPr>
        <w:t xml:space="preserve"> se face trimestrial şi anual, iar contractantul elaborează și depune spre analiza OCATS rapoarte trimestriale și anuale.</w:t>
      </w:r>
    </w:p>
    <w:p w14:paraId="3FE9CC5E" w14:textId="77777777" w:rsidR="00E97A00" w:rsidRPr="00E97A00" w:rsidRDefault="00E97A00" w:rsidP="00E97A00">
      <w:pPr>
        <w:jc w:val="both"/>
        <w:rPr>
          <w:rFonts w:ascii="Georgia" w:hAnsi="Georgia"/>
          <w:sz w:val="20"/>
          <w:szCs w:val="20"/>
          <w:lang w:val="ro-RO"/>
        </w:rPr>
      </w:pPr>
    </w:p>
    <w:p w14:paraId="5656C3A7" w14:textId="6D5EAED5" w:rsidR="00E97A00" w:rsidRDefault="00E97A00" w:rsidP="00E97A00">
      <w:pPr>
        <w:jc w:val="both"/>
        <w:rPr>
          <w:rFonts w:ascii="Georgia" w:hAnsi="Georgia"/>
          <w:sz w:val="20"/>
          <w:szCs w:val="20"/>
          <w:lang w:val="ro-RO"/>
        </w:rPr>
      </w:pPr>
      <w:r w:rsidRPr="00E97A00">
        <w:rPr>
          <w:rFonts w:ascii="Georgia" w:hAnsi="Georgia"/>
          <w:sz w:val="20"/>
          <w:szCs w:val="20"/>
          <w:lang w:val="ro-RO"/>
        </w:rPr>
        <w:t xml:space="preserve">Nu în ultimul rând </w:t>
      </w:r>
      <w:r w:rsidRPr="00E97A00">
        <w:rPr>
          <w:rFonts w:ascii="Georgia" w:hAnsi="Georgia"/>
          <w:b/>
          <w:bCs/>
          <w:sz w:val="20"/>
          <w:szCs w:val="20"/>
          <w:lang w:val="ro-RO"/>
        </w:rPr>
        <w:t>dacă obligaţiile de compensare nu sunt îndeplinite la termen şi în modul cerut</w:t>
      </w:r>
      <w:r w:rsidRPr="00E97A00">
        <w:rPr>
          <w:rFonts w:ascii="Georgia" w:hAnsi="Georgia"/>
          <w:sz w:val="20"/>
          <w:szCs w:val="20"/>
          <w:lang w:val="ro-RO"/>
        </w:rPr>
        <w:t xml:space="preserve">, contractantul va plăti părţii române penalităţi de întârziere de 0,01% pe zi din suma neobţinută prin operaţiunea compensatorie. Plata penalităților nu scuteşte contractantul de răspunderea ce îi revine pentru pierderile cauzate părţii române din cauza neîndeplinirii sau îndeplinirii necorespunzătoare a clauzelor contractuale. </w:t>
      </w:r>
    </w:p>
    <w:p w14:paraId="646616B7" w14:textId="77777777" w:rsidR="00E97A00" w:rsidRPr="00E97A00" w:rsidRDefault="00E97A00" w:rsidP="00E97A00">
      <w:pPr>
        <w:jc w:val="both"/>
        <w:rPr>
          <w:rFonts w:ascii="Georgia" w:hAnsi="Georgia"/>
          <w:sz w:val="20"/>
          <w:szCs w:val="20"/>
          <w:lang w:val="ro-RO"/>
        </w:rPr>
      </w:pPr>
    </w:p>
    <w:p w14:paraId="599CC90A" w14:textId="77777777" w:rsidR="00E97A00" w:rsidRPr="00E97A00" w:rsidRDefault="00E97A00" w:rsidP="00E97A00">
      <w:pPr>
        <w:pStyle w:val="ListParagraph"/>
        <w:numPr>
          <w:ilvl w:val="0"/>
          <w:numId w:val="21"/>
        </w:numPr>
        <w:suppressAutoHyphens w:val="0"/>
        <w:spacing w:after="140" w:line="280" w:lineRule="exact"/>
        <w:jc w:val="both"/>
        <w:rPr>
          <w:rFonts w:ascii="Georgia" w:hAnsi="Georgia"/>
          <w:b/>
          <w:bCs/>
          <w:sz w:val="20"/>
          <w:szCs w:val="20"/>
          <w:lang w:val="ro-RO"/>
        </w:rPr>
      </w:pPr>
      <w:r w:rsidRPr="00E97A00">
        <w:rPr>
          <w:rFonts w:ascii="Georgia" w:hAnsi="Georgia"/>
          <w:b/>
          <w:bCs/>
          <w:sz w:val="20"/>
          <w:szCs w:val="20"/>
          <w:lang w:val="ro-RO"/>
        </w:rPr>
        <w:lastRenderedPageBreak/>
        <w:t>Îmbunătățiri ale legislației privind offsetul pentru rezultate mai vizibile</w:t>
      </w:r>
    </w:p>
    <w:p w14:paraId="6ED969A2"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Una din problemele</w:t>
      </w:r>
      <w:r w:rsidRPr="00E97A00">
        <w:rPr>
          <w:rFonts w:ascii="Georgia" w:hAnsi="Georgia"/>
          <w:b/>
          <w:bCs/>
          <w:sz w:val="20"/>
          <w:szCs w:val="20"/>
          <w:lang w:val="ro-RO"/>
        </w:rPr>
        <w:t xml:space="preserve"> </w:t>
      </w:r>
      <w:r w:rsidRPr="00E97A00">
        <w:rPr>
          <w:rFonts w:ascii="Georgia" w:hAnsi="Georgia"/>
          <w:sz w:val="20"/>
          <w:szCs w:val="20"/>
          <w:lang w:val="ro-RO"/>
        </w:rPr>
        <w:t>principale identificate cu privire la legislația în ceea ce privește offsetul</w:t>
      </w:r>
      <w:r w:rsidRPr="00E97A00">
        <w:rPr>
          <w:rFonts w:ascii="Georgia" w:hAnsi="Georgia"/>
          <w:b/>
          <w:bCs/>
          <w:sz w:val="20"/>
          <w:szCs w:val="20"/>
          <w:lang w:val="ro-RO"/>
        </w:rPr>
        <w:t xml:space="preserve"> este exceptarea contractelor Government to Government (G2G) de la obligația de compensare</w:t>
      </w:r>
      <w:r w:rsidRPr="00E97A00">
        <w:rPr>
          <w:rFonts w:ascii="Georgia" w:hAnsi="Georgia"/>
          <w:sz w:val="20"/>
          <w:szCs w:val="20"/>
          <w:lang w:val="ro-RO"/>
        </w:rPr>
        <w:t xml:space="preserve">. Așadar, dacă vorbim despre un contract G2G, atunci offsetul nu este obligatoriu. </w:t>
      </w:r>
    </w:p>
    <w:p w14:paraId="25B6665C" w14:textId="77777777" w:rsidR="00E97A00" w:rsidRPr="00E97A00" w:rsidRDefault="00E97A00" w:rsidP="00E97A00">
      <w:pPr>
        <w:jc w:val="both"/>
        <w:rPr>
          <w:rFonts w:ascii="Georgia" w:hAnsi="Georgia"/>
          <w:sz w:val="20"/>
          <w:szCs w:val="20"/>
          <w:lang w:val="ro-RO"/>
        </w:rPr>
      </w:pPr>
      <w:r w:rsidRPr="00E97A00">
        <w:rPr>
          <w:rFonts w:ascii="Georgia" w:hAnsi="Georgia"/>
          <w:b/>
          <w:bCs/>
          <w:sz w:val="20"/>
          <w:szCs w:val="20"/>
          <w:lang w:val="ro-RO"/>
        </w:rPr>
        <w:t xml:space="preserve">Recent s-a adus în discuție </w:t>
      </w:r>
      <w:r w:rsidRPr="00E97A00">
        <w:rPr>
          <w:rFonts w:ascii="Georgia" w:hAnsi="Georgia"/>
          <w:b/>
          <w:bCs/>
          <w:sz w:val="20"/>
          <w:szCs w:val="20"/>
          <w:u w:val="single"/>
          <w:lang w:val="ro-RO"/>
        </w:rPr>
        <w:t>modificarea O.U.G. nr. 189/2002</w:t>
      </w:r>
      <w:r w:rsidRPr="00E97A00">
        <w:rPr>
          <w:rFonts w:ascii="Georgia" w:hAnsi="Georgia"/>
          <w:b/>
          <w:bCs/>
          <w:sz w:val="20"/>
          <w:szCs w:val="20"/>
          <w:lang w:val="ro-RO"/>
        </w:rPr>
        <w:t xml:space="preserve"> astfel încât obligația de offset să fie aplicabilă și în cazul contractelor G2G</w:t>
      </w:r>
      <w:r w:rsidRPr="00E97A00">
        <w:rPr>
          <w:rFonts w:ascii="Georgia" w:hAnsi="Georgia"/>
          <w:sz w:val="20"/>
          <w:szCs w:val="20"/>
          <w:lang w:val="ro-RO"/>
        </w:rPr>
        <w:t>, având în vedere că de cele mai multe ori înzestrarea României s-a realizat prin astfel de contracte: sistemele Patriot au fost achiziționate G2G România - SUA, primele două escadrile de F-16 au fost achiziționate G2G România – Portugalia, următoarele escadrile de F-16 urmează să fie achiziționate G2G România – Norvegia, blindatele Oshkosh pentru Forțele de Operațiuni Speciale au fost achiziționate G2G România – SUA etc. La acest moment, nu deținem informații că s-ar fi avansat în privința acestei modificări.</w:t>
      </w:r>
    </w:p>
    <w:p w14:paraId="6181B0A9"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 xml:space="preserve">Toate achizițiile arătate mai sus sunt scutite de obligația de offset. Unele dintre acestea reușesc și implicarea industriei naționale, dar mult prea puțin (e.g. mentenanța avioanelor F-16 realizată la Aerostar Bacău). </w:t>
      </w:r>
    </w:p>
    <w:p w14:paraId="47632A0C" w14:textId="042E4141" w:rsidR="00E97A00" w:rsidRDefault="00E97A00" w:rsidP="00E97A00">
      <w:pPr>
        <w:jc w:val="both"/>
        <w:rPr>
          <w:rFonts w:ascii="Georgia" w:hAnsi="Georgia"/>
          <w:sz w:val="20"/>
          <w:szCs w:val="20"/>
          <w:lang w:val="ro-RO"/>
        </w:rPr>
      </w:pPr>
      <w:r w:rsidRPr="00E97A00">
        <w:rPr>
          <w:rFonts w:ascii="Georgia" w:hAnsi="Georgia"/>
          <w:sz w:val="20"/>
          <w:szCs w:val="20"/>
          <w:lang w:val="ro-RO"/>
        </w:rPr>
        <w:t xml:space="preserve">Critica reprezentanților industriei naționale apare ca fiind întemeiată având în vedere că majoritatea contractelor de înzestrare cu valoare ridicată se realizează G2G, deci fără obligație de offset. În condițiile acestea, România pierde sute de milioane de euro / miliarde de euro în fiecare an din lipsa implicării industriei naționale în aceste proiecte. </w:t>
      </w:r>
    </w:p>
    <w:p w14:paraId="7D8A0F36" w14:textId="77777777" w:rsidR="00E97A00" w:rsidRPr="00E97A00" w:rsidRDefault="00E97A00" w:rsidP="00E97A00">
      <w:pPr>
        <w:jc w:val="both"/>
        <w:rPr>
          <w:rFonts w:ascii="Georgia" w:hAnsi="Georgia"/>
          <w:sz w:val="20"/>
          <w:szCs w:val="20"/>
          <w:lang w:val="ro-RO"/>
        </w:rPr>
      </w:pPr>
    </w:p>
    <w:p w14:paraId="4250E25B" w14:textId="3E8AB1E4" w:rsidR="00E97A00" w:rsidRDefault="00E97A00" w:rsidP="00E97A00">
      <w:pPr>
        <w:jc w:val="both"/>
        <w:rPr>
          <w:rFonts w:ascii="Georgia" w:hAnsi="Georgia"/>
          <w:sz w:val="20"/>
          <w:szCs w:val="20"/>
          <w:lang w:val="ro-RO"/>
        </w:rPr>
      </w:pPr>
      <w:r w:rsidRPr="00E97A00">
        <w:rPr>
          <w:rFonts w:ascii="Georgia" w:hAnsi="Georgia"/>
          <w:b/>
          <w:bCs/>
          <w:sz w:val="20"/>
          <w:szCs w:val="20"/>
          <w:u w:val="single"/>
          <w:lang w:val="ro-RO"/>
        </w:rPr>
        <w:t>Un exemplu de succes strategic școală cu privire la înzestrare și offset</w:t>
      </w:r>
      <w:r w:rsidRPr="00E97A00">
        <w:rPr>
          <w:rFonts w:ascii="Georgia" w:hAnsi="Georgia"/>
          <w:sz w:val="20"/>
          <w:szCs w:val="20"/>
          <w:lang w:val="ro-RO"/>
        </w:rPr>
        <w:t xml:space="preserve"> este Polonia prin bine-cunoscutul program de înzestrare cu 48 avioane F-16 C/D Block 52 de la Lockheed Martin. </w:t>
      </w:r>
      <w:r w:rsidRPr="00E97A00">
        <w:rPr>
          <w:rFonts w:ascii="Georgia" w:hAnsi="Georgia"/>
          <w:b/>
          <w:bCs/>
          <w:sz w:val="20"/>
          <w:szCs w:val="20"/>
          <w:lang w:val="ro-RO"/>
        </w:rPr>
        <w:t>Au fost realizate diverse analize ale acestui program</w:t>
      </w:r>
      <w:r w:rsidRPr="00E97A00">
        <w:rPr>
          <w:rStyle w:val="FootnoteReference"/>
          <w:rFonts w:ascii="Georgia" w:hAnsi="Georgia"/>
          <w:b/>
          <w:bCs/>
          <w:sz w:val="20"/>
          <w:szCs w:val="20"/>
          <w:lang w:val="ro-RO"/>
        </w:rPr>
        <w:footnoteReference w:id="1"/>
      </w:r>
      <w:r w:rsidRPr="00E97A00">
        <w:rPr>
          <w:rFonts w:ascii="Georgia" w:hAnsi="Georgia"/>
          <w:b/>
          <w:bCs/>
          <w:sz w:val="20"/>
          <w:szCs w:val="20"/>
          <w:lang w:val="ro-RO"/>
        </w:rPr>
        <w:t xml:space="preserve">, dar pe scurt reținem că valoarea finală a offsetului a fost de 170% (!) din valoarea contractului de achiziție și a propulsat Polonia strategic, în special în ceea ce privește sectorul aviatic </w:t>
      </w:r>
      <w:r w:rsidRPr="00E97A00">
        <w:rPr>
          <w:rFonts w:ascii="Georgia" w:hAnsi="Georgia"/>
          <w:sz w:val="20"/>
          <w:szCs w:val="20"/>
          <w:lang w:val="ro-RO"/>
        </w:rPr>
        <w:t>(mai ales prin achiziționarea companiei PZL Mielec de Lockheed Martin).</w:t>
      </w:r>
    </w:p>
    <w:p w14:paraId="69D7503E" w14:textId="77777777" w:rsidR="00E97A00" w:rsidRPr="00E97A00" w:rsidRDefault="00E97A00" w:rsidP="00E97A00">
      <w:pPr>
        <w:jc w:val="both"/>
        <w:rPr>
          <w:rFonts w:ascii="Georgia" w:hAnsi="Georgia"/>
          <w:sz w:val="20"/>
          <w:szCs w:val="20"/>
          <w:lang w:val="ro-RO"/>
        </w:rPr>
      </w:pPr>
    </w:p>
    <w:p w14:paraId="3408884A" w14:textId="3B8255B4" w:rsidR="00E97A00" w:rsidRDefault="00E97A00" w:rsidP="00E97A00">
      <w:pPr>
        <w:jc w:val="both"/>
        <w:rPr>
          <w:rFonts w:ascii="Georgia" w:hAnsi="Georgia"/>
          <w:sz w:val="20"/>
          <w:szCs w:val="20"/>
          <w:lang w:val="ro-RO"/>
        </w:rPr>
      </w:pPr>
      <w:r w:rsidRPr="00E97A00">
        <w:rPr>
          <w:rFonts w:ascii="Georgia" w:hAnsi="Georgia"/>
          <w:sz w:val="20"/>
          <w:szCs w:val="20"/>
          <w:lang w:val="ro-RO"/>
        </w:rPr>
        <w:t xml:space="preserve">Un alt motiv arătat de multe ori pentru puținele succese în ceea ce privește offsetul a fost și cel al personalului redus din cadrul OCATS. Până recent, acest Oficiu își îndeplinea atribuțiile (foarte numeroase de altfel) cu doar șapte persoane. Cu toate acestea, în 2020 a fost modificată organigrama prin H.G. nr. 347/2020 și numărul de posturi a fost ridicat la 25, motiv pentru care există speranțe de îmbunătățire a activității OCATS. </w:t>
      </w:r>
    </w:p>
    <w:p w14:paraId="121EB176" w14:textId="77777777" w:rsidR="00E97A00" w:rsidRPr="00E97A00" w:rsidRDefault="00E97A00" w:rsidP="00E97A00">
      <w:pPr>
        <w:jc w:val="both"/>
        <w:rPr>
          <w:rFonts w:ascii="Georgia" w:hAnsi="Georgia"/>
          <w:sz w:val="20"/>
          <w:szCs w:val="20"/>
          <w:lang w:val="ro-RO"/>
        </w:rPr>
      </w:pPr>
    </w:p>
    <w:p w14:paraId="46614072" w14:textId="77777777" w:rsidR="00E97A00" w:rsidRPr="00E97A00" w:rsidRDefault="00E97A00" w:rsidP="00E97A00">
      <w:pPr>
        <w:jc w:val="both"/>
        <w:rPr>
          <w:rFonts w:ascii="Georgia" w:hAnsi="Georgia"/>
          <w:sz w:val="20"/>
          <w:szCs w:val="20"/>
          <w:lang w:val="ro-RO"/>
        </w:rPr>
      </w:pPr>
      <w:r w:rsidRPr="00E97A00">
        <w:rPr>
          <w:rFonts w:ascii="Georgia" w:hAnsi="Georgia"/>
          <w:sz w:val="20"/>
          <w:szCs w:val="20"/>
          <w:lang w:val="ro-RO"/>
        </w:rPr>
        <w:t xml:space="preserve">Offsetul poate fi o șansă istorică pentru România și de a deveni relevante atât pe plan european, cât și pe plan internațional. Legiuitorul trebuie să găsească echilibrul între celeritate și ușurința cu care se poate realiza înzestrarea (din perspectiva contractantului care vinde, </w:t>
      </w:r>
      <w:r w:rsidRPr="00E97A00">
        <w:rPr>
          <w:rFonts w:ascii="Georgia" w:hAnsi="Georgia"/>
          <w:b/>
          <w:bCs/>
          <w:sz w:val="20"/>
          <w:szCs w:val="20"/>
          <w:lang w:val="ro-RO"/>
        </w:rPr>
        <w:t>să nu existe o obligație de offset sufocantă, plină de birocrație, care să îl determine să nu vrea să participe</w:t>
      </w:r>
      <w:r w:rsidRPr="00E97A00">
        <w:rPr>
          <w:rFonts w:ascii="Georgia" w:hAnsi="Georgia"/>
          <w:sz w:val="20"/>
          <w:szCs w:val="20"/>
          <w:lang w:val="ro-RO"/>
        </w:rPr>
        <w:t>), dar și interesele strategice ale României.</w:t>
      </w:r>
    </w:p>
    <w:p w14:paraId="6DDC46D1" w14:textId="5FAB02C6" w:rsidR="0043125F" w:rsidRPr="00E97A00" w:rsidRDefault="00E753E2" w:rsidP="00E97A00">
      <w:pPr>
        <w:jc w:val="both"/>
        <w:rPr>
          <w:rFonts w:ascii="Georgia" w:hAnsi="Georgia"/>
          <w:sz w:val="20"/>
          <w:szCs w:val="20"/>
        </w:rPr>
      </w:pPr>
      <w:r w:rsidRPr="00E97A00">
        <w:rPr>
          <w:rFonts w:ascii="Georgia" w:hAnsi="Georgia"/>
          <w:sz w:val="20"/>
          <w:szCs w:val="20"/>
        </w:rPr>
        <w:t xml:space="preserve"> </w:t>
      </w:r>
    </w:p>
    <w:sectPr w:rsidR="0043125F" w:rsidRPr="00E97A00" w:rsidSect="0004484A">
      <w:headerReference w:type="default" r:id="rId8"/>
      <w:footerReference w:type="default" r:id="rId9"/>
      <w:headerReference w:type="first" r:id="rId10"/>
      <w:footerReference w:type="first" r:id="rId11"/>
      <w:endnotePr>
        <w:numFmt w:val="decimal"/>
      </w:endnotePr>
      <w:pgSz w:w="11907" w:h="16839" w:code="9"/>
      <w:pgMar w:top="1138" w:right="850" w:bottom="403" w:left="1987" w:header="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C971B" w14:textId="77777777" w:rsidR="00B52829" w:rsidRDefault="00B52829">
      <w:r>
        <w:separator/>
      </w:r>
    </w:p>
  </w:endnote>
  <w:endnote w:type="continuationSeparator" w:id="0">
    <w:p w14:paraId="5C80B00D" w14:textId="77777777" w:rsidR="00B52829" w:rsidRDefault="00B5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04484A" w14:paraId="079B1911" w14:textId="77777777" w:rsidTr="00020C04">
      <w:trPr>
        <w:cantSplit/>
        <w:trHeight w:val="176"/>
      </w:trPr>
      <w:tc>
        <w:tcPr>
          <w:tcW w:w="1200" w:type="dxa"/>
        </w:tcPr>
        <w:p w14:paraId="498314DE" w14:textId="77777777" w:rsidR="0004484A" w:rsidRPr="0004484A" w:rsidRDefault="0004484A" w:rsidP="0004484A">
          <w:pPr>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3F4935F9" w14:textId="77777777" w:rsidR="0004484A" w:rsidRDefault="0004484A" w:rsidP="00020C04">
          <w:pPr>
            <w:pStyle w:val="Reporttableright"/>
          </w:pPr>
        </w:p>
      </w:tc>
      <w:tc>
        <w:tcPr>
          <w:tcW w:w="1200" w:type="dxa"/>
        </w:tcPr>
        <w:p w14:paraId="76A86167" w14:textId="77777777" w:rsidR="0004484A" w:rsidRDefault="0004484A" w:rsidP="00020C04">
          <w:pPr>
            <w:pStyle w:val="Reporttableleft"/>
          </w:pPr>
        </w:p>
      </w:tc>
      <w:tc>
        <w:tcPr>
          <w:tcW w:w="1200" w:type="dxa"/>
        </w:tcPr>
        <w:p w14:paraId="34ADA55A" w14:textId="77777777" w:rsidR="0004484A" w:rsidRDefault="0004484A" w:rsidP="00020C04">
          <w:pPr>
            <w:pStyle w:val="Reporttableright"/>
          </w:pPr>
        </w:p>
      </w:tc>
      <w:tc>
        <w:tcPr>
          <w:tcW w:w="2478" w:type="dxa"/>
        </w:tcPr>
        <w:p w14:paraId="04AD4E22" w14:textId="77777777" w:rsidR="0004484A" w:rsidRDefault="0004484A" w:rsidP="00020C04">
          <w:pPr>
            <w:pStyle w:val="Reporttableleft"/>
          </w:pPr>
        </w:p>
      </w:tc>
    </w:tr>
  </w:tbl>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240" w:type="dxa"/>
      <w:tblCellMar>
        <w:left w:w="0" w:type="dxa"/>
        <w:right w:w="0" w:type="dxa"/>
      </w:tblCellMar>
      <w:tblLook w:val="01E0" w:firstRow="1" w:lastRow="1" w:firstColumn="1" w:lastColumn="1" w:noHBand="0" w:noVBand="0"/>
    </w:tblPr>
    <w:tblGrid>
      <w:gridCol w:w="1200"/>
      <w:gridCol w:w="1200"/>
      <w:gridCol w:w="1200"/>
      <w:gridCol w:w="2478"/>
    </w:tblGrid>
    <w:tr w:rsidR="00F906EB" w14:paraId="6C9D290C" w14:textId="77777777" w:rsidTr="00D72729">
      <w:trPr>
        <w:cantSplit/>
        <w:trHeight w:val="176"/>
      </w:trPr>
      <w:tc>
        <w:tcPr>
          <w:tcW w:w="1200" w:type="dxa"/>
        </w:tcPr>
        <w:p w14:paraId="2CD0B15C" w14:textId="77777777" w:rsidR="0004484A" w:rsidRPr="0004484A" w:rsidRDefault="0004484A" w:rsidP="0004484A">
          <w:pPr>
            <w:rPr>
              <w:rFonts w:asciiTheme="minorHAnsi" w:hAnsiTheme="minorHAnsi" w:cstheme="minorHAnsi"/>
              <w:color w:val="808080" w:themeColor="background1" w:themeShade="80"/>
              <w:sz w:val="14"/>
              <w:szCs w:val="14"/>
            </w:rPr>
          </w:pPr>
          <w:r w:rsidRPr="0004484A">
            <w:rPr>
              <w:rFonts w:asciiTheme="minorHAnsi" w:hAnsiTheme="minorHAnsi" w:cstheme="minorHAnsi"/>
              <w:color w:val="808080" w:themeColor="background1" w:themeShade="80"/>
              <w:sz w:val="14"/>
              <w:szCs w:val="14"/>
            </w:rPr>
            <w:t xml:space="preserve">PAGE   </w:t>
          </w:r>
          <w:r w:rsidRPr="0004484A">
            <w:rPr>
              <w:rFonts w:asciiTheme="minorHAnsi" w:hAnsiTheme="minorHAnsi" w:cstheme="minorHAnsi"/>
              <w:b/>
              <w:bCs/>
              <w:color w:val="3C1053"/>
              <w:sz w:val="14"/>
              <w:szCs w:val="14"/>
            </w:rPr>
            <w:fldChar w:fldCharType="begin"/>
          </w:r>
          <w:r w:rsidRPr="0004484A">
            <w:rPr>
              <w:rFonts w:asciiTheme="minorHAnsi" w:hAnsiTheme="minorHAnsi" w:cstheme="minorHAnsi"/>
              <w:b/>
              <w:bCs/>
              <w:color w:val="3C1053"/>
              <w:sz w:val="14"/>
              <w:szCs w:val="14"/>
            </w:rPr>
            <w:instrText xml:space="preserve"> PAGE   \* MERGEFORMAT </w:instrText>
          </w:r>
          <w:r w:rsidRPr="0004484A">
            <w:rPr>
              <w:rFonts w:asciiTheme="minorHAnsi" w:hAnsiTheme="minorHAnsi" w:cstheme="minorHAnsi"/>
              <w:b/>
              <w:bCs/>
              <w:color w:val="3C1053"/>
              <w:sz w:val="14"/>
              <w:szCs w:val="14"/>
            </w:rPr>
            <w:fldChar w:fldCharType="separate"/>
          </w:r>
          <w:r w:rsidRPr="0004484A">
            <w:rPr>
              <w:rFonts w:asciiTheme="minorHAnsi" w:hAnsiTheme="minorHAnsi" w:cstheme="minorHAnsi"/>
              <w:b/>
              <w:bCs/>
              <w:color w:val="3C1053"/>
              <w:sz w:val="14"/>
              <w:szCs w:val="14"/>
            </w:rPr>
            <w:t>1</w:t>
          </w:r>
          <w:r w:rsidRPr="0004484A">
            <w:rPr>
              <w:rFonts w:asciiTheme="minorHAnsi" w:hAnsiTheme="minorHAnsi" w:cstheme="minorHAnsi"/>
              <w:b/>
              <w:bCs/>
              <w:noProof/>
              <w:color w:val="3C1053"/>
              <w:sz w:val="14"/>
              <w:szCs w:val="14"/>
            </w:rPr>
            <w:fldChar w:fldCharType="end"/>
          </w:r>
          <w:r w:rsidRPr="0004484A">
            <w:rPr>
              <w:rFonts w:asciiTheme="minorHAnsi" w:hAnsiTheme="minorHAnsi" w:cstheme="minorHAnsi"/>
              <w:color w:val="808080" w:themeColor="background1" w:themeShade="80"/>
              <w:sz w:val="14"/>
              <w:szCs w:val="14"/>
            </w:rPr>
            <w:t xml:space="preserve"> </w:t>
          </w:r>
        </w:p>
        <w:p w14:paraId="457D2B93" w14:textId="77777777" w:rsidR="00F906EB" w:rsidRPr="0004484A" w:rsidRDefault="00F906EB">
          <w:pPr>
            <w:pStyle w:val="Reporttableright"/>
            <w:rPr>
              <w:rFonts w:asciiTheme="minorHAnsi" w:hAnsiTheme="minorHAnsi" w:cstheme="minorHAnsi"/>
              <w:sz w:val="14"/>
              <w:szCs w:val="14"/>
            </w:rPr>
          </w:pPr>
        </w:p>
      </w:tc>
      <w:tc>
        <w:tcPr>
          <w:tcW w:w="1200" w:type="dxa"/>
        </w:tcPr>
        <w:p w14:paraId="6DFD84CF" w14:textId="77777777" w:rsidR="00F906EB" w:rsidRPr="0004484A" w:rsidRDefault="00F906EB">
          <w:pPr>
            <w:pStyle w:val="Reporttableleft"/>
            <w:rPr>
              <w:rFonts w:asciiTheme="minorHAnsi" w:hAnsiTheme="minorHAnsi" w:cstheme="minorHAnsi"/>
              <w:sz w:val="14"/>
              <w:szCs w:val="14"/>
            </w:rPr>
          </w:pPr>
        </w:p>
      </w:tc>
      <w:tc>
        <w:tcPr>
          <w:tcW w:w="1200" w:type="dxa"/>
        </w:tcPr>
        <w:p w14:paraId="31DCF44F" w14:textId="77777777" w:rsidR="00F906EB" w:rsidRDefault="00F906EB">
          <w:pPr>
            <w:pStyle w:val="Reporttableright"/>
          </w:pPr>
        </w:p>
      </w:tc>
      <w:tc>
        <w:tcPr>
          <w:tcW w:w="2478" w:type="dxa"/>
        </w:tcPr>
        <w:p w14:paraId="04953EF6" w14:textId="77777777" w:rsidR="00F906EB" w:rsidRDefault="00F906EB">
          <w:pPr>
            <w:pStyle w:val="Reporttableleft"/>
          </w:pPr>
        </w:p>
      </w:tc>
    </w:tr>
  </w:tbl>
  <w:p w14:paraId="643CAEB6" w14:textId="77777777" w:rsidR="00A06DBC" w:rsidRPr="002D52BD" w:rsidRDefault="00A06DBC" w:rsidP="002D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E808" w14:textId="77777777" w:rsidR="00B52829" w:rsidRDefault="00B52829">
      <w:r>
        <w:separator/>
      </w:r>
    </w:p>
  </w:footnote>
  <w:footnote w:type="continuationSeparator" w:id="0">
    <w:p w14:paraId="63631551" w14:textId="77777777" w:rsidR="00B52829" w:rsidRDefault="00B52829">
      <w:r>
        <w:continuationSeparator/>
      </w:r>
    </w:p>
  </w:footnote>
  <w:footnote w:id="1">
    <w:p w14:paraId="1BF22CC8" w14:textId="77777777" w:rsidR="00E97A00" w:rsidRPr="00414691" w:rsidRDefault="00E97A00" w:rsidP="00E97A00">
      <w:pPr>
        <w:pStyle w:val="FootnoteText"/>
        <w:rPr>
          <w:sz w:val="14"/>
          <w:szCs w:val="14"/>
          <w:lang w:val="ro-RO"/>
        </w:rPr>
      </w:pPr>
      <w:r w:rsidRPr="00414691">
        <w:rPr>
          <w:rStyle w:val="FootnoteReference"/>
          <w:sz w:val="14"/>
          <w:szCs w:val="14"/>
        </w:rPr>
        <w:footnoteRef/>
      </w:r>
      <w:r w:rsidRPr="00414691">
        <w:rPr>
          <w:sz w:val="14"/>
          <w:szCs w:val="14"/>
        </w:rPr>
        <w:t xml:space="preserve"> https://defence-offsets-ro.com/un-program-scoala-polonezul-f-16-c-d-block-52/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A612" w14:textId="728E575C" w:rsidR="0004484A" w:rsidRDefault="0004484A">
    <w:pPr>
      <w:pStyle w:val="Header"/>
    </w:pPr>
    <w:r>
      <w:rPr>
        <w:noProof/>
      </w:rPr>
      <w:drawing>
        <wp:anchor distT="0" distB="0" distL="114300" distR="114300" simplePos="0" relativeHeight="251663360" behindDoc="1" locked="0" layoutInCell="1" allowOverlap="1" wp14:anchorId="59BA655F" wp14:editId="074C7EEF">
          <wp:simplePos x="0" y="0"/>
          <wp:positionH relativeFrom="margin">
            <wp:posOffset>4205361</wp:posOffset>
          </wp:positionH>
          <wp:positionV relativeFrom="paragraph">
            <wp:posOffset>425988</wp:posOffset>
          </wp:positionV>
          <wp:extent cx="1386840" cy="116651"/>
          <wp:effectExtent l="0" t="0" r="3810" b="0"/>
          <wp:wrapNone/>
          <wp:docPr id="250" name="Graphic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86840" cy="11665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D03" w14:textId="392E0319" w:rsidR="00D72729" w:rsidRDefault="0004484A" w:rsidP="0004484A">
    <w:pPr>
      <w:pStyle w:val="Header"/>
    </w:pPr>
    <w:r>
      <w:rPr>
        <w:noProof/>
      </w:rPr>
      <w:drawing>
        <wp:anchor distT="0" distB="0" distL="114300" distR="114300" simplePos="0" relativeHeight="251664384" behindDoc="1" locked="0" layoutInCell="1" allowOverlap="1" wp14:anchorId="5733EB62" wp14:editId="610B0466">
          <wp:simplePos x="0" y="0"/>
          <wp:positionH relativeFrom="column">
            <wp:posOffset>-280661</wp:posOffset>
          </wp:positionH>
          <wp:positionV relativeFrom="paragraph">
            <wp:posOffset>440578</wp:posOffset>
          </wp:positionV>
          <wp:extent cx="5759450" cy="1223010"/>
          <wp:effectExtent l="0" t="0" r="0" b="0"/>
          <wp:wrapTight wrapText="bothSides">
            <wp:wrapPolygon edited="0">
              <wp:start x="0" y="0"/>
              <wp:lineTo x="0" y="21196"/>
              <wp:lineTo x="21505" y="21196"/>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59450" cy="12230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1" w15:restartNumberingAfterBreak="0">
    <w:nsid w:val="08500567"/>
    <w:multiLevelType w:val="hybridMultilevel"/>
    <w:tmpl w:val="BB30C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3"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C65752E"/>
    <w:multiLevelType w:val="hybridMultilevel"/>
    <w:tmpl w:val="8C121D64"/>
    <w:lvl w:ilvl="0" w:tplc="0418000F">
      <w:start w:val="1"/>
      <w:numFmt w:val="decimal"/>
      <w:lvlText w:val="%1."/>
      <w:lvlJc w:val="left"/>
      <w:pPr>
        <w:ind w:left="1224" w:hanging="360"/>
      </w:pPr>
    </w:lvl>
    <w:lvl w:ilvl="1" w:tplc="04180019" w:tentative="1">
      <w:start w:val="1"/>
      <w:numFmt w:val="lowerLetter"/>
      <w:lvlText w:val="%2."/>
      <w:lvlJc w:val="left"/>
      <w:pPr>
        <w:ind w:left="1944" w:hanging="360"/>
      </w:pPr>
    </w:lvl>
    <w:lvl w:ilvl="2" w:tplc="0418001B" w:tentative="1">
      <w:start w:val="1"/>
      <w:numFmt w:val="lowerRoman"/>
      <w:lvlText w:val="%3."/>
      <w:lvlJc w:val="right"/>
      <w:pPr>
        <w:ind w:left="2664" w:hanging="180"/>
      </w:pPr>
    </w:lvl>
    <w:lvl w:ilvl="3" w:tplc="0418000F" w:tentative="1">
      <w:start w:val="1"/>
      <w:numFmt w:val="decimal"/>
      <w:lvlText w:val="%4."/>
      <w:lvlJc w:val="left"/>
      <w:pPr>
        <w:ind w:left="3384" w:hanging="360"/>
      </w:pPr>
    </w:lvl>
    <w:lvl w:ilvl="4" w:tplc="04180019" w:tentative="1">
      <w:start w:val="1"/>
      <w:numFmt w:val="lowerLetter"/>
      <w:lvlText w:val="%5."/>
      <w:lvlJc w:val="left"/>
      <w:pPr>
        <w:ind w:left="4104" w:hanging="360"/>
      </w:pPr>
    </w:lvl>
    <w:lvl w:ilvl="5" w:tplc="0418001B" w:tentative="1">
      <w:start w:val="1"/>
      <w:numFmt w:val="lowerRoman"/>
      <w:lvlText w:val="%6."/>
      <w:lvlJc w:val="right"/>
      <w:pPr>
        <w:ind w:left="4824" w:hanging="180"/>
      </w:pPr>
    </w:lvl>
    <w:lvl w:ilvl="6" w:tplc="0418000F" w:tentative="1">
      <w:start w:val="1"/>
      <w:numFmt w:val="decimal"/>
      <w:lvlText w:val="%7."/>
      <w:lvlJc w:val="left"/>
      <w:pPr>
        <w:ind w:left="5544" w:hanging="360"/>
      </w:pPr>
    </w:lvl>
    <w:lvl w:ilvl="7" w:tplc="04180019" w:tentative="1">
      <w:start w:val="1"/>
      <w:numFmt w:val="lowerLetter"/>
      <w:lvlText w:val="%8."/>
      <w:lvlJc w:val="left"/>
      <w:pPr>
        <w:ind w:left="6264" w:hanging="360"/>
      </w:pPr>
    </w:lvl>
    <w:lvl w:ilvl="8" w:tplc="0418001B" w:tentative="1">
      <w:start w:val="1"/>
      <w:numFmt w:val="lowerRoman"/>
      <w:lvlText w:val="%9."/>
      <w:lvlJc w:val="right"/>
      <w:pPr>
        <w:ind w:left="6984" w:hanging="180"/>
      </w:pPr>
    </w:lvl>
  </w:abstractNum>
  <w:abstractNum w:abstractNumId="7" w15:restartNumberingAfterBreak="0">
    <w:nsid w:val="1DCB1E4D"/>
    <w:multiLevelType w:val="hybridMultilevel"/>
    <w:tmpl w:val="32E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45912"/>
    <w:multiLevelType w:val="hybridMultilevel"/>
    <w:tmpl w:val="C25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408E466C"/>
    <w:multiLevelType w:val="hybridMultilevel"/>
    <w:tmpl w:val="B5808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A468B"/>
    <w:multiLevelType w:val="hybridMultilevel"/>
    <w:tmpl w:val="2EEC6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16"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F67951"/>
    <w:multiLevelType w:val="multilevel"/>
    <w:tmpl w:val="B3C87682"/>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val="0"/>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18"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FE330DE"/>
    <w:multiLevelType w:val="hybridMultilevel"/>
    <w:tmpl w:val="DD1AA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52571"/>
    <w:multiLevelType w:val="hybridMultilevel"/>
    <w:tmpl w:val="1B1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22589677">
    <w:abstractNumId w:val="15"/>
  </w:num>
  <w:num w:numId="2" w16cid:durableId="509566932">
    <w:abstractNumId w:val="9"/>
  </w:num>
  <w:num w:numId="3" w16cid:durableId="630788304">
    <w:abstractNumId w:val="3"/>
  </w:num>
  <w:num w:numId="4" w16cid:durableId="1227258916">
    <w:abstractNumId w:val="11"/>
  </w:num>
  <w:num w:numId="5" w16cid:durableId="287784754">
    <w:abstractNumId w:val="2"/>
  </w:num>
  <w:num w:numId="6" w16cid:durableId="601039109">
    <w:abstractNumId w:val="0"/>
  </w:num>
  <w:num w:numId="7" w16cid:durableId="2119136991">
    <w:abstractNumId w:val="10"/>
  </w:num>
  <w:num w:numId="8" w16cid:durableId="1236818517">
    <w:abstractNumId w:val="16"/>
  </w:num>
  <w:num w:numId="9" w16cid:durableId="1672902631">
    <w:abstractNumId w:val="5"/>
  </w:num>
  <w:num w:numId="10" w16cid:durableId="648948219">
    <w:abstractNumId w:val="14"/>
  </w:num>
  <w:num w:numId="11" w16cid:durableId="1121261529">
    <w:abstractNumId w:val="17"/>
  </w:num>
  <w:num w:numId="12" w16cid:durableId="1507089011">
    <w:abstractNumId w:val="4"/>
  </w:num>
  <w:num w:numId="13" w16cid:durableId="2067798271">
    <w:abstractNumId w:val="21"/>
  </w:num>
  <w:num w:numId="14" w16cid:durableId="1457487369">
    <w:abstractNumId w:val="20"/>
  </w:num>
  <w:num w:numId="15" w16cid:durableId="1260019482">
    <w:abstractNumId w:val="13"/>
  </w:num>
  <w:num w:numId="16" w16cid:durableId="923565208">
    <w:abstractNumId w:val="7"/>
  </w:num>
  <w:num w:numId="17" w16cid:durableId="270163930">
    <w:abstractNumId w:val="1"/>
  </w:num>
  <w:num w:numId="18" w16cid:durableId="2033994351">
    <w:abstractNumId w:val="12"/>
  </w:num>
  <w:num w:numId="19" w16cid:durableId="1464077668">
    <w:abstractNumId w:val="19"/>
  </w:num>
  <w:num w:numId="20" w16cid:durableId="1861158172">
    <w:abstractNumId w:val="8"/>
  </w:num>
  <w:num w:numId="21" w16cid:durableId="893392262">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0051"/>
    <w:rsid w:val="00004F86"/>
    <w:rsid w:val="00005FF2"/>
    <w:rsid w:val="00006C3A"/>
    <w:rsid w:val="00010788"/>
    <w:rsid w:val="00015804"/>
    <w:rsid w:val="00015D6F"/>
    <w:rsid w:val="00020C04"/>
    <w:rsid w:val="00021D37"/>
    <w:rsid w:val="00031CFC"/>
    <w:rsid w:val="00032045"/>
    <w:rsid w:val="0003520B"/>
    <w:rsid w:val="00035ECB"/>
    <w:rsid w:val="00036449"/>
    <w:rsid w:val="0004484A"/>
    <w:rsid w:val="00045133"/>
    <w:rsid w:val="00045DBE"/>
    <w:rsid w:val="0006010E"/>
    <w:rsid w:val="000639FC"/>
    <w:rsid w:val="00065D3F"/>
    <w:rsid w:val="000664C3"/>
    <w:rsid w:val="000722FB"/>
    <w:rsid w:val="00072EF3"/>
    <w:rsid w:val="0007475E"/>
    <w:rsid w:val="00082F86"/>
    <w:rsid w:val="00086C85"/>
    <w:rsid w:val="00086D53"/>
    <w:rsid w:val="00093DFB"/>
    <w:rsid w:val="000969FE"/>
    <w:rsid w:val="000972C7"/>
    <w:rsid w:val="00097317"/>
    <w:rsid w:val="0009778F"/>
    <w:rsid w:val="000B07C2"/>
    <w:rsid w:val="000C0C29"/>
    <w:rsid w:val="000C1876"/>
    <w:rsid w:val="000C2234"/>
    <w:rsid w:val="000C3E61"/>
    <w:rsid w:val="000D0279"/>
    <w:rsid w:val="000D292F"/>
    <w:rsid w:val="000D6E6D"/>
    <w:rsid w:val="000D6E79"/>
    <w:rsid w:val="000E0C3E"/>
    <w:rsid w:val="000E278E"/>
    <w:rsid w:val="000E454A"/>
    <w:rsid w:val="000E7B00"/>
    <w:rsid w:val="000F1A04"/>
    <w:rsid w:val="000F339D"/>
    <w:rsid w:val="00100EA8"/>
    <w:rsid w:val="00102EF6"/>
    <w:rsid w:val="001039E5"/>
    <w:rsid w:val="00110CB3"/>
    <w:rsid w:val="00111657"/>
    <w:rsid w:val="00111FB9"/>
    <w:rsid w:val="00112C92"/>
    <w:rsid w:val="00114205"/>
    <w:rsid w:val="0011755A"/>
    <w:rsid w:val="001216F1"/>
    <w:rsid w:val="001237B1"/>
    <w:rsid w:val="00124BDD"/>
    <w:rsid w:val="00131515"/>
    <w:rsid w:val="00131782"/>
    <w:rsid w:val="001322E2"/>
    <w:rsid w:val="00133ECD"/>
    <w:rsid w:val="001374C2"/>
    <w:rsid w:val="0014207C"/>
    <w:rsid w:val="00142AFE"/>
    <w:rsid w:val="0015351F"/>
    <w:rsid w:val="00153A14"/>
    <w:rsid w:val="00157DB7"/>
    <w:rsid w:val="0016186B"/>
    <w:rsid w:val="00162EBD"/>
    <w:rsid w:val="0016388A"/>
    <w:rsid w:val="00165A25"/>
    <w:rsid w:val="00166336"/>
    <w:rsid w:val="00166D27"/>
    <w:rsid w:val="00172AE3"/>
    <w:rsid w:val="00174788"/>
    <w:rsid w:val="00174DA8"/>
    <w:rsid w:val="00176E9C"/>
    <w:rsid w:val="00190169"/>
    <w:rsid w:val="00194488"/>
    <w:rsid w:val="001A181C"/>
    <w:rsid w:val="001A1936"/>
    <w:rsid w:val="001A3BCF"/>
    <w:rsid w:val="001A45A9"/>
    <w:rsid w:val="001B030B"/>
    <w:rsid w:val="001B3466"/>
    <w:rsid w:val="001B46BF"/>
    <w:rsid w:val="001C73FD"/>
    <w:rsid w:val="001C785D"/>
    <w:rsid w:val="001C78BE"/>
    <w:rsid w:val="001D3AFE"/>
    <w:rsid w:val="001D3BD8"/>
    <w:rsid w:val="001D44AA"/>
    <w:rsid w:val="001D6415"/>
    <w:rsid w:val="001E54D1"/>
    <w:rsid w:val="001F1B88"/>
    <w:rsid w:val="001F5749"/>
    <w:rsid w:val="001F68C0"/>
    <w:rsid w:val="001F6A85"/>
    <w:rsid w:val="001F7753"/>
    <w:rsid w:val="00200959"/>
    <w:rsid w:val="00201CD1"/>
    <w:rsid w:val="00202AC1"/>
    <w:rsid w:val="00202F37"/>
    <w:rsid w:val="00204283"/>
    <w:rsid w:val="002043BE"/>
    <w:rsid w:val="00212011"/>
    <w:rsid w:val="00214762"/>
    <w:rsid w:val="002167D8"/>
    <w:rsid w:val="00216B00"/>
    <w:rsid w:val="0021794C"/>
    <w:rsid w:val="002206C6"/>
    <w:rsid w:val="0022262F"/>
    <w:rsid w:val="00226598"/>
    <w:rsid w:val="00227F3C"/>
    <w:rsid w:val="00234218"/>
    <w:rsid w:val="00234A0B"/>
    <w:rsid w:val="00236042"/>
    <w:rsid w:val="002411C2"/>
    <w:rsid w:val="00245F69"/>
    <w:rsid w:val="00246085"/>
    <w:rsid w:val="002502BB"/>
    <w:rsid w:val="002516AB"/>
    <w:rsid w:val="00256B09"/>
    <w:rsid w:val="002620F4"/>
    <w:rsid w:val="00262107"/>
    <w:rsid w:val="0026220A"/>
    <w:rsid w:val="00262D8A"/>
    <w:rsid w:val="00267F12"/>
    <w:rsid w:val="00272392"/>
    <w:rsid w:val="002747B9"/>
    <w:rsid w:val="0027498E"/>
    <w:rsid w:val="0027589B"/>
    <w:rsid w:val="00275DC0"/>
    <w:rsid w:val="00276BFB"/>
    <w:rsid w:val="00280DCE"/>
    <w:rsid w:val="00281C76"/>
    <w:rsid w:val="00281CA2"/>
    <w:rsid w:val="0028357F"/>
    <w:rsid w:val="00284AC5"/>
    <w:rsid w:val="00285F1D"/>
    <w:rsid w:val="002874C2"/>
    <w:rsid w:val="002951A1"/>
    <w:rsid w:val="002963E3"/>
    <w:rsid w:val="00296828"/>
    <w:rsid w:val="00297E88"/>
    <w:rsid w:val="002A1964"/>
    <w:rsid w:val="002A3403"/>
    <w:rsid w:val="002A38E9"/>
    <w:rsid w:val="002A3D19"/>
    <w:rsid w:val="002A68C3"/>
    <w:rsid w:val="002B27E4"/>
    <w:rsid w:val="002B4A1A"/>
    <w:rsid w:val="002B643E"/>
    <w:rsid w:val="002C2E5A"/>
    <w:rsid w:val="002C6524"/>
    <w:rsid w:val="002C7A4F"/>
    <w:rsid w:val="002D093B"/>
    <w:rsid w:val="002D0DDD"/>
    <w:rsid w:val="002D4BF1"/>
    <w:rsid w:val="002D5027"/>
    <w:rsid w:val="002D52BD"/>
    <w:rsid w:val="002E3EDB"/>
    <w:rsid w:val="002E740A"/>
    <w:rsid w:val="002E76EE"/>
    <w:rsid w:val="002F06BB"/>
    <w:rsid w:val="002F652B"/>
    <w:rsid w:val="002F6996"/>
    <w:rsid w:val="002F7D05"/>
    <w:rsid w:val="002F7E9A"/>
    <w:rsid w:val="003026FB"/>
    <w:rsid w:val="00310B22"/>
    <w:rsid w:val="00312249"/>
    <w:rsid w:val="003216B6"/>
    <w:rsid w:val="00325220"/>
    <w:rsid w:val="00325509"/>
    <w:rsid w:val="00326241"/>
    <w:rsid w:val="00326FA6"/>
    <w:rsid w:val="003357BE"/>
    <w:rsid w:val="00337C61"/>
    <w:rsid w:val="00337DBD"/>
    <w:rsid w:val="003437A6"/>
    <w:rsid w:val="00344222"/>
    <w:rsid w:val="0034739E"/>
    <w:rsid w:val="00350640"/>
    <w:rsid w:val="00352BFC"/>
    <w:rsid w:val="003539C2"/>
    <w:rsid w:val="003550E1"/>
    <w:rsid w:val="00361609"/>
    <w:rsid w:val="00370037"/>
    <w:rsid w:val="0037044C"/>
    <w:rsid w:val="003704B4"/>
    <w:rsid w:val="00371113"/>
    <w:rsid w:val="00371671"/>
    <w:rsid w:val="00372AD9"/>
    <w:rsid w:val="00376E8A"/>
    <w:rsid w:val="00382767"/>
    <w:rsid w:val="00385AED"/>
    <w:rsid w:val="00391A5E"/>
    <w:rsid w:val="00396607"/>
    <w:rsid w:val="003A0381"/>
    <w:rsid w:val="003A426D"/>
    <w:rsid w:val="003A5BE5"/>
    <w:rsid w:val="003A76C6"/>
    <w:rsid w:val="003B062E"/>
    <w:rsid w:val="003B281C"/>
    <w:rsid w:val="003B4D78"/>
    <w:rsid w:val="003C2EC0"/>
    <w:rsid w:val="003C4803"/>
    <w:rsid w:val="003D05A5"/>
    <w:rsid w:val="003D0A6C"/>
    <w:rsid w:val="003D13EC"/>
    <w:rsid w:val="003D4281"/>
    <w:rsid w:val="003D45C6"/>
    <w:rsid w:val="003D4FFA"/>
    <w:rsid w:val="003D559B"/>
    <w:rsid w:val="003D6DA7"/>
    <w:rsid w:val="003D6FB2"/>
    <w:rsid w:val="003E1DC7"/>
    <w:rsid w:val="003E471F"/>
    <w:rsid w:val="003E6C5B"/>
    <w:rsid w:val="003F2410"/>
    <w:rsid w:val="003F25ED"/>
    <w:rsid w:val="003F3AB8"/>
    <w:rsid w:val="003F472A"/>
    <w:rsid w:val="003F6A36"/>
    <w:rsid w:val="00401187"/>
    <w:rsid w:val="00402123"/>
    <w:rsid w:val="00402BB4"/>
    <w:rsid w:val="00412F48"/>
    <w:rsid w:val="00416353"/>
    <w:rsid w:val="00416A07"/>
    <w:rsid w:val="00416DB2"/>
    <w:rsid w:val="0042362F"/>
    <w:rsid w:val="0043125F"/>
    <w:rsid w:val="00431437"/>
    <w:rsid w:val="00432280"/>
    <w:rsid w:val="004328A4"/>
    <w:rsid w:val="00437203"/>
    <w:rsid w:val="00442A72"/>
    <w:rsid w:val="00443C77"/>
    <w:rsid w:val="0044469F"/>
    <w:rsid w:val="004452DF"/>
    <w:rsid w:val="0044693B"/>
    <w:rsid w:val="0045295A"/>
    <w:rsid w:val="00460586"/>
    <w:rsid w:val="00464999"/>
    <w:rsid w:val="004661AC"/>
    <w:rsid w:val="00466BAA"/>
    <w:rsid w:val="00467CF8"/>
    <w:rsid w:val="0047102B"/>
    <w:rsid w:val="00471AD9"/>
    <w:rsid w:val="004731AE"/>
    <w:rsid w:val="004824CB"/>
    <w:rsid w:val="00483377"/>
    <w:rsid w:val="0048350A"/>
    <w:rsid w:val="00490B56"/>
    <w:rsid w:val="00493789"/>
    <w:rsid w:val="0049537A"/>
    <w:rsid w:val="004961F7"/>
    <w:rsid w:val="00496854"/>
    <w:rsid w:val="004974B8"/>
    <w:rsid w:val="00497F98"/>
    <w:rsid w:val="004A2BCC"/>
    <w:rsid w:val="004A37F7"/>
    <w:rsid w:val="004A4796"/>
    <w:rsid w:val="004A4CA2"/>
    <w:rsid w:val="004A6929"/>
    <w:rsid w:val="004C3481"/>
    <w:rsid w:val="004C6F65"/>
    <w:rsid w:val="004D26B3"/>
    <w:rsid w:val="004D26EE"/>
    <w:rsid w:val="004D5372"/>
    <w:rsid w:val="004E2700"/>
    <w:rsid w:val="004E2A3C"/>
    <w:rsid w:val="004F031B"/>
    <w:rsid w:val="004F052D"/>
    <w:rsid w:val="004F714E"/>
    <w:rsid w:val="004F7CC5"/>
    <w:rsid w:val="0050005C"/>
    <w:rsid w:val="005037FF"/>
    <w:rsid w:val="00510F90"/>
    <w:rsid w:val="005121BC"/>
    <w:rsid w:val="005123B2"/>
    <w:rsid w:val="0051489D"/>
    <w:rsid w:val="00514D45"/>
    <w:rsid w:val="00515AB8"/>
    <w:rsid w:val="005160D3"/>
    <w:rsid w:val="00540C3E"/>
    <w:rsid w:val="00541851"/>
    <w:rsid w:val="005428EF"/>
    <w:rsid w:val="0055044B"/>
    <w:rsid w:val="005534E9"/>
    <w:rsid w:val="00554F83"/>
    <w:rsid w:val="0055603D"/>
    <w:rsid w:val="0055671A"/>
    <w:rsid w:val="00556A81"/>
    <w:rsid w:val="00557761"/>
    <w:rsid w:val="00562C1D"/>
    <w:rsid w:val="00570516"/>
    <w:rsid w:val="00571FBB"/>
    <w:rsid w:val="005729F3"/>
    <w:rsid w:val="005740A3"/>
    <w:rsid w:val="00574A0E"/>
    <w:rsid w:val="00575DF9"/>
    <w:rsid w:val="0058139E"/>
    <w:rsid w:val="00583911"/>
    <w:rsid w:val="00583DA6"/>
    <w:rsid w:val="00584F51"/>
    <w:rsid w:val="00585EE8"/>
    <w:rsid w:val="00586ECA"/>
    <w:rsid w:val="005909EC"/>
    <w:rsid w:val="00594000"/>
    <w:rsid w:val="005A4963"/>
    <w:rsid w:val="005A5516"/>
    <w:rsid w:val="005A77ED"/>
    <w:rsid w:val="005A7C8D"/>
    <w:rsid w:val="005B1BE6"/>
    <w:rsid w:val="005B6EC3"/>
    <w:rsid w:val="005C0093"/>
    <w:rsid w:val="005C4BCB"/>
    <w:rsid w:val="005C4ED7"/>
    <w:rsid w:val="005C4F21"/>
    <w:rsid w:val="005C575D"/>
    <w:rsid w:val="005C7893"/>
    <w:rsid w:val="005D1E46"/>
    <w:rsid w:val="005D222E"/>
    <w:rsid w:val="005D2DB0"/>
    <w:rsid w:val="005D3234"/>
    <w:rsid w:val="005D5FD8"/>
    <w:rsid w:val="005D78F3"/>
    <w:rsid w:val="005E08A8"/>
    <w:rsid w:val="005E2AD7"/>
    <w:rsid w:val="005E4C2A"/>
    <w:rsid w:val="005E4ECA"/>
    <w:rsid w:val="005E54DE"/>
    <w:rsid w:val="005F2A21"/>
    <w:rsid w:val="0060134D"/>
    <w:rsid w:val="006036F9"/>
    <w:rsid w:val="00603BF5"/>
    <w:rsid w:val="00603FF4"/>
    <w:rsid w:val="0061269B"/>
    <w:rsid w:val="00612B38"/>
    <w:rsid w:val="00613D1C"/>
    <w:rsid w:val="00615594"/>
    <w:rsid w:val="00616F82"/>
    <w:rsid w:val="00621F1B"/>
    <w:rsid w:val="006315BB"/>
    <w:rsid w:val="006324F3"/>
    <w:rsid w:val="00632DCC"/>
    <w:rsid w:val="0063422D"/>
    <w:rsid w:val="00634EF8"/>
    <w:rsid w:val="00635A79"/>
    <w:rsid w:val="00636B29"/>
    <w:rsid w:val="00645BFE"/>
    <w:rsid w:val="0065055C"/>
    <w:rsid w:val="00650FAF"/>
    <w:rsid w:val="0065245F"/>
    <w:rsid w:val="0065262E"/>
    <w:rsid w:val="006536ED"/>
    <w:rsid w:val="006619B0"/>
    <w:rsid w:val="00662F7E"/>
    <w:rsid w:val="00663AB3"/>
    <w:rsid w:val="00666F1F"/>
    <w:rsid w:val="00667688"/>
    <w:rsid w:val="006677F5"/>
    <w:rsid w:val="00671BC5"/>
    <w:rsid w:val="00673595"/>
    <w:rsid w:val="00676BA8"/>
    <w:rsid w:val="00677026"/>
    <w:rsid w:val="006771A6"/>
    <w:rsid w:val="00680D8B"/>
    <w:rsid w:val="006812C2"/>
    <w:rsid w:val="0068192B"/>
    <w:rsid w:val="00682949"/>
    <w:rsid w:val="006837FD"/>
    <w:rsid w:val="00683C7B"/>
    <w:rsid w:val="00684335"/>
    <w:rsid w:val="006860A3"/>
    <w:rsid w:val="0068700B"/>
    <w:rsid w:val="00691DE3"/>
    <w:rsid w:val="00692422"/>
    <w:rsid w:val="00693167"/>
    <w:rsid w:val="00693FB7"/>
    <w:rsid w:val="006962E9"/>
    <w:rsid w:val="00696787"/>
    <w:rsid w:val="006A0C21"/>
    <w:rsid w:val="006A1646"/>
    <w:rsid w:val="006A16CA"/>
    <w:rsid w:val="006A4A04"/>
    <w:rsid w:val="006A4DAE"/>
    <w:rsid w:val="006A6A33"/>
    <w:rsid w:val="006B1095"/>
    <w:rsid w:val="006B1D96"/>
    <w:rsid w:val="006B4E91"/>
    <w:rsid w:val="006B6C4A"/>
    <w:rsid w:val="006B77D9"/>
    <w:rsid w:val="006C069D"/>
    <w:rsid w:val="006C14B5"/>
    <w:rsid w:val="006C27D6"/>
    <w:rsid w:val="006D0A23"/>
    <w:rsid w:val="006D1CC3"/>
    <w:rsid w:val="006D39CD"/>
    <w:rsid w:val="006D525D"/>
    <w:rsid w:val="006D57A4"/>
    <w:rsid w:val="006E26E2"/>
    <w:rsid w:val="006E30C5"/>
    <w:rsid w:val="006E76E1"/>
    <w:rsid w:val="006F02E7"/>
    <w:rsid w:val="006F4DE6"/>
    <w:rsid w:val="006F5074"/>
    <w:rsid w:val="006F529C"/>
    <w:rsid w:val="006F6B7F"/>
    <w:rsid w:val="00703A7B"/>
    <w:rsid w:val="00705E81"/>
    <w:rsid w:val="007077D4"/>
    <w:rsid w:val="00714A39"/>
    <w:rsid w:val="00722E02"/>
    <w:rsid w:val="00722EF8"/>
    <w:rsid w:val="007250A2"/>
    <w:rsid w:val="00725D62"/>
    <w:rsid w:val="00735D88"/>
    <w:rsid w:val="00740281"/>
    <w:rsid w:val="00740FD8"/>
    <w:rsid w:val="0074285A"/>
    <w:rsid w:val="00746C62"/>
    <w:rsid w:val="00750B3C"/>
    <w:rsid w:val="00753005"/>
    <w:rsid w:val="007539DB"/>
    <w:rsid w:val="00753FF4"/>
    <w:rsid w:val="00754D88"/>
    <w:rsid w:val="00754DDE"/>
    <w:rsid w:val="00761225"/>
    <w:rsid w:val="0076231E"/>
    <w:rsid w:val="00766939"/>
    <w:rsid w:val="007709DE"/>
    <w:rsid w:val="00770B3E"/>
    <w:rsid w:val="00770DBE"/>
    <w:rsid w:val="00771E7D"/>
    <w:rsid w:val="00775AED"/>
    <w:rsid w:val="00780D9B"/>
    <w:rsid w:val="007835CB"/>
    <w:rsid w:val="00783843"/>
    <w:rsid w:val="00784CE5"/>
    <w:rsid w:val="00790420"/>
    <w:rsid w:val="0079189D"/>
    <w:rsid w:val="007925B3"/>
    <w:rsid w:val="00793B30"/>
    <w:rsid w:val="00794013"/>
    <w:rsid w:val="007A540D"/>
    <w:rsid w:val="007A54A7"/>
    <w:rsid w:val="007A60DE"/>
    <w:rsid w:val="007A7261"/>
    <w:rsid w:val="007B1F49"/>
    <w:rsid w:val="007B42AC"/>
    <w:rsid w:val="007B4D38"/>
    <w:rsid w:val="007B5A67"/>
    <w:rsid w:val="007B75C7"/>
    <w:rsid w:val="007C029D"/>
    <w:rsid w:val="007C06EE"/>
    <w:rsid w:val="007C14FB"/>
    <w:rsid w:val="007C551A"/>
    <w:rsid w:val="007C645F"/>
    <w:rsid w:val="007D7248"/>
    <w:rsid w:val="007E00F1"/>
    <w:rsid w:val="007E3224"/>
    <w:rsid w:val="007E367D"/>
    <w:rsid w:val="007E63A6"/>
    <w:rsid w:val="007F6BAD"/>
    <w:rsid w:val="008044D9"/>
    <w:rsid w:val="00810792"/>
    <w:rsid w:val="00811458"/>
    <w:rsid w:val="008118F1"/>
    <w:rsid w:val="00813FD0"/>
    <w:rsid w:val="008143EC"/>
    <w:rsid w:val="008201C0"/>
    <w:rsid w:val="008202DD"/>
    <w:rsid w:val="008205E5"/>
    <w:rsid w:val="00820D98"/>
    <w:rsid w:val="00824933"/>
    <w:rsid w:val="008276D7"/>
    <w:rsid w:val="00830F91"/>
    <w:rsid w:val="008312F0"/>
    <w:rsid w:val="0083213F"/>
    <w:rsid w:val="00835FD8"/>
    <w:rsid w:val="00836CE2"/>
    <w:rsid w:val="0084446D"/>
    <w:rsid w:val="008452D6"/>
    <w:rsid w:val="00845ADD"/>
    <w:rsid w:val="0084756E"/>
    <w:rsid w:val="00850909"/>
    <w:rsid w:val="00850CC0"/>
    <w:rsid w:val="00850EE1"/>
    <w:rsid w:val="00852F8B"/>
    <w:rsid w:val="008532A0"/>
    <w:rsid w:val="00854292"/>
    <w:rsid w:val="00854D1D"/>
    <w:rsid w:val="008627BB"/>
    <w:rsid w:val="00871946"/>
    <w:rsid w:val="00886973"/>
    <w:rsid w:val="0089149A"/>
    <w:rsid w:val="00896242"/>
    <w:rsid w:val="0089719E"/>
    <w:rsid w:val="00897892"/>
    <w:rsid w:val="008A0D15"/>
    <w:rsid w:val="008A2166"/>
    <w:rsid w:val="008A22BC"/>
    <w:rsid w:val="008A5BFC"/>
    <w:rsid w:val="008A6372"/>
    <w:rsid w:val="008A63BC"/>
    <w:rsid w:val="008A698F"/>
    <w:rsid w:val="008B0554"/>
    <w:rsid w:val="008B082E"/>
    <w:rsid w:val="008B0BD5"/>
    <w:rsid w:val="008B43AC"/>
    <w:rsid w:val="008C209E"/>
    <w:rsid w:val="008C3A15"/>
    <w:rsid w:val="008C3F94"/>
    <w:rsid w:val="008D26C6"/>
    <w:rsid w:val="008D422A"/>
    <w:rsid w:val="008D73ED"/>
    <w:rsid w:val="008D7B8C"/>
    <w:rsid w:val="008E3B37"/>
    <w:rsid w:val="008F127B"/>
    <w:rsid w:val="008F6A74"/>
    <w:rsid w:val="008F7C04"/>
    <w:rsid w:val="00901C76"/>
    <w:rsid w:val="00905679"/>
    <w:rsid w:val="00906B48"/>
    <w:rsid w:val="00911518"/>
    <w:rsid w:val="00911C92"/>
    <w:rsid w:val="009124FC"/>
    <w:rsid w:val="009155C1"/>
    <w:rsid w:val="0092182E"/>
    <w:rsid w:val="00923B14"/>
    <w:rsid w:val="00923D14"/>
    <w:rsid w:val="00932282"/>
    <w:rsid w:val="00940992"/>
    <w:rsid w:val="00940B7F"/>
    <w:rsid w:val="00942042"/>
    <w:rsid w:val="00943413"/>
    <w:rsid w:val="00943B4E"/>
    <w:rsid w:val="009446B5"/>
    <w:rsid w:val="009522D2"/>
    <w:rsid w:val="009531D0"/>
    <w:rsid w:val="00953882"/>
    <w:rsid w:val="009541F4"/>
    <w:rsid w:val="00954F60"/>
    <w:rsid w:val="00962E89"/>
    <w:rsid w:val="0096439C"/>
    <w:rsid w:val="00965791"/>
    <w:rsid w:val="00967526"/>
    <w:rsid w:val="009678E1"/>
    <w:rsid w:val="00967C6F"/>
    <w:rsid w:val="00970C4C"/>
    <w:rsid w:val="00970D27"/>
    <w:rsid w:val="009833B8"/>
    <w:rsid w:val="00983B5F"/>
    <w:rsid w:val="009852EF"/>
    <w:rsid w:val="009864C6"/>
    <w:rsid w:val="009875BE"/>
    <w:rsid w:val="00987C3A"/>
    <w:rsid w:val="00990B88"/>
    <w:rsid w:val="0099200D"/>
    <w:rsid w:val="00996CF0"/>
    <w:rsid w:val="009A1862"/>
    <w:rsid w:val="009A1CF9"/>
    <w:rsid w:val="009A654E"/>
    <w:rsid w:val="009A79A8"/>
    <w:rsid w:val="009A7A80"/>
    <w:rsid w:val="009B0B35"/>
    <w:rsid w:val="009B1A9B"/>
    <w:rsid w:val="009B1E30"/>
    <w:rsid w:val="009B2621"/>
    <w:rsid w:val="009B33FD"/>
    <w:rsid w:val="009B3CC5"/>
    <w:rsid w:val="009B5E71"/>
    <w:rsid w:val="009B682B"/>
    <w:rsid w:val="009C0CA4"/>
    <w:rsid w:val="009C2969"/>
    <w:rsid w:val="009C3427"/>
    <w:rsid w:val="009C3C21"/>
    <w:rsid w:val="009D1195"/>
    <w:rsid w:val="009D1E87"/>
    <w:rsid w:val="009D2A63"/>
    <w:rsid w:val="009D3E5A"/>
    <w:rsid w:val="009D510C"/>
    <w:rsid w:val="009E3AE6"/>
    <w:rsid w:val="009F3007"/>
    <w:rsid w:val="009F3A20"/>
    <w:rsid w:val="009F6E62"/>
    <w:rsid w:val="00A03319"/>
    <w:rsid w:val="00A0340C"/>
    <w:rsid w:val="00A06B0D"/>
    <w:rsid w:val="00A06DBC"/>
    <w:rsid w:val="00A1410A"/>
    <w:rsid w:val="00A159BA"/>
    <w:rsid w:val="00A15D00"/>
    <w:rsid w:val="00A200FF"/>
    <w:rsid w:val="00A205E2"/>
    <w:rsid w:val="00A24002"/>
    <w:rsid w:val="00A2461E"/>
    <w:rsid w:val="00A249B6"/>
    <w:rsid w:val="00A24A45"/>
    <w:rsid w:val="00A266F0"/>
    <w:rsid w:val="00A27768"/>
    <w:rsid w:val="00A31979"/>
    <w:rsid w:val="00A3352F"/>
    <w:rsid w:val="00A37618"/>
    <w:rsid w:val="00A37862"/>
    <w:rsid w:val="00A3790E"/>
    <w:rsid w:val="00A40049"/>
    <w:rsid w:val="00A4106A"/>
    <w:rsid w:val="00A41A44"/>
    <w:rsid w:val="00A4217B"/>
    <w:rsid w:val="00A4379B"/>
    <w:rsid w:val="00A452A6"/>
    <w:rsid w:val="00A457F1"/>
    <w:rsid w:val="00A45896"/>
    <w:rsid w:val="00A47822"/>
    <w:rsid w:val="00A504F7"/>
    <w:rsid w:val="00A5097B"/>
    <w:rsid w:val="00A515C8"/>
    <w:rsid w:val="00A5686E"/>
    <w:rsid w:val="00A604AD"/>
    <w:rsid w:val="00A612FD"/>
    <w:rsid w:val="00A61D10"/>
    <w:rsid w:val="00A64649"/>
    <w:rsid w:val="00A64F0C"/>
    <w:rsid w:val="00A64F9F"/>
    <w:rsid w:val="00A67DA8"/>
    <w:rsid w:val="00A70844"/>
    <w:rsid w:val="00A70C62"/>
    <w:rsid w:val="00A71339"/>
    <w:rsid w:val="00A74044"/>
    <w:rsid w:val="00A744CA"/>
    <w:rsid w:val="00A75ABA"/>
    <w:rsid w:val="00A75E41"/>
    <w:rsid w:val="00A77D3A"/>
    <w:rsid w:val="00A822B3"/>
    <w:rsid w:val="00A84D3B"/>
    <w:rsid w:val="00A850AE"/>
    <w:rsid w:val="00A913D4"/>
    <w:rsid w:val="00A91412"/>
    <w:rsid w:val="00A97B08"/>
    <w:rsid w:val="00AA0434"/>
    <w:rsid w:val="00AA3463"/>
    <w:rsid w:val="00AA3AFD"/>
    <w:rsid w:val="00AA4922"/>
    <w:rsid w:val="00AB1BD1"/>
    <w:rsid w:val="00AB346A"/>
    <w:rsid w:val="00AB59CB"/>
    <w:rsid w:val="00AC0019"/>
    <w:rsid w:val="00AC5CF0"/>
    <w:rsid w:val="00AD799C"/>
    <w:rsid w:val="00AE00CB"/>
    <w:rsid w:val="00AE1D99"/>
    <w:rsid w:val="00AE270C"/>
    <w:rsid w:val="00AE40DE"/>
    <w:rsid w:val="00AF241F"/>
    <w:rsid w:val="00AF46D2"/>
    <w:rsid w:val="00AF5B77"/>
    <w:rsid w:val="00AF750D"/>
    <w:rsid w:val="00AF7B43"/>
    <w:rsid w:val="00B0196A"/>
    <w:rsid w:val="00B022C0"/>
    <w:rsid w:val="00B0341D"/>
    <w:rsid w:val="00B03B43"/>
    <w:rsid w:val="00B04B9F"/>
    <w:rsid w:val="00B06DC3"/>
    <w:rsid w:val="00B128BC"/>
    <w:rsid w:val="00B139AF"/>
    <w:rsid w:val="00B13AF6"/>
    <w:rsid w:val="00B15E2C"/>
    <w:rsid w:val="00B17460"/>
    <w:rsid w:val="00B1787F"/>
    <w:rsid w:val="00B21883"/>
    <w:rsid w:val="00B32257"/>
    <w:rsid w:val="00B3789F"/>
    <w:rsid w:val="00B37954"/>
    <w:rsid w:val="00B4134D"/>
    <w:rsid w:val="00B415E5"/>
    <w:rsid w:val="00B45D0F"/>
    <w:rsid w:val="00B47A58"/>
    <w:rsid w:val="00B47CDE"/>
    <w:rsid w:val="00B52829"/>
    <w:rsid w:val="00B57C71"/>
    <w:rsid w:val="00B606B4"/>
    <w:rsid w:val="00B63E44"/>
    <w:rsid w:val="00B65EC7"/>
    <w:rsid w:val="00B669CD"/>
    <w:rsid w:val="00B73701"/>
    <w:rsid w:val="00B744C4"/>
    <w:rsid w:val="00B755EB"/>
    <w:rsid w:val="00B75D23"/>
    <w:rsid w:val="00B77658"/>
    <w:rsid w:val="00B80FC1"/>
    <w:rsid w:val="00B84A3D"/>
    <w:rsid w:val="00B8695B"/>
    <w:rsid w:val="00B878F2"/>
    <w:rsid w:val="00B87F6B"/>
    <w:rsid w:val="00B94C3A"/>
    <w:rsid w:val="00B9520E"/>
    <w:rsid w:val="00BA2837"/>
    <w:rsid w:val="00BA3510"/>
    <w:rsid w:val="00BA5F4C"/>
    <w:rsid w:val="00BA6A6C"/>
    <w:rsid w:val="00BB7FD2"/>
    <w:rsid w:val="00BC70DE"/>
    <w:rsid w:val="00BC7235"/>
    <w:rsid w:val="00BC7774"/>
    <w:rsid w:val="00BD0AC4"/>
    <w:rsid w:val="00BD0AD6"/>
    <w:rsid w:val="00BD2570"/>
    <w:rsid w:val="00BD2873"/>
    <w:rsid w:val="00BD7DAA"/>
    <w:rsid w:val="00BE29CB"/>
    <w:rsid w:val="00BE4218"/>
    <w:rsid w:val="00BE457F"/>
    <w:rsid w:val="00BE4CBE"/>
    <w:rsid w:val="00BE5D21"/>
    <w:rsid w:val="00BE7396"/>
    <w:rsid w:val="00BE73BD"/>
    <w:rsid w:val="00BF262A"/>
    <w:rsid w:val="00BF434A"/>
    <w:rsid w:val="00C00347"/>
    <w:rsid w:val="00C00458"/>
    <w:rsid w:val="00C00B3A"/>
    <w:rsid w:val="00C07252"/>
    <w:rsid w:val="00C129BA"/>
    <w:rsid w:val="00C13A9D"/>
    <w:rsid w:val="00C14BFF"/>
    <w:rsid w:val="00C17042"/>
    <w:rsid w:val="00C30EFD"/>
    <w:rsid w:val="00C31113"/>
    <w:rsid w:val="00C31D4A"/>
    <w:rsid w:val="00C367B2"/>
    <w:rsid w:val="00C37106"/>
    <w:rsid w:val="00C41BA3"/>
    <w:rsid w:val="00C43472"/>
    <w:rsid w:val="00C44361"/>
    <w:rsid w:val="00C45674"/>
    <w:rsid w:val="00C45AC8"/>
    <w:rsid w:val="00C460B1"/>
    <w:rsid w:val="00C470AD"/>
    <w:rsid w:val="00C4711B"/>
    <w:rsid w:val="00C554F2"/>
    <w:rsid w:val="00C61E7F"/>
    <w:rsid w:val="00C636A4"/>
    <w:rsid w:val="00C66DD1"/>
    <w:rsid w:val="00C6753D"/>
    <w:rsid w:val="00C71491"/>
    <w:rsid w:val="00C7258F"/>
    <w:rsid w:val="00C7361B"/>
    <w:rsid w:val="00C73A5E"/>
    <w:rsid w:val="00C77B8E"/>
    <w:rsid w:val="00C84E43"/>
    <w:rsid w:val="00C8734F"/>
    <w:rsid w:val="00C90F45"/>
    <w:rsid w:val="00CA1A8A"/>
    <w:rsid w:val="00CA2D4A"/>
    <w:rsid w:val="00CB22BE"/>
    <w:rsid w:val="00CB2AC2"/>
    <w:rsid w:val="00CC2945"/>
    <w:rsid w:val="00CC4884"/>
    <w:rsid w:val="00CD05B3"/>
    <w:rsid w:val="00CD0C6C"/>
    <w:rsid w:val="00CD45B4"/>
    <w:rsid w:val="00CD4A96"/>
    <w:rsid w:val="00CD5587"/>
    <w:rsid w:val="00CE5671"/>
    <w:rsid w:val="00CE6963"/>
    <w:rsid w:val="00CF3288"/>
    <w:rsid w:val="00CF45FB"/>
    <w:rsid w:val="00CF6D1D"/>
    <w:rsid w:val="00D008E4"/>
    <w:rsid w:val="00D00FBE"/>
    <w:rsid w:val="00D033D3"/>
    <w:rsid w:val="00D0784D"/>
    <w:rsid w:val="00D07A90"/>
    <w:rsid w:val="00D10AE0"/>
    <w:rsid w:val="00D130FB"/>
    <w:rsid w:val="00D13ACE"/>
    <w:rsid w:val="00D16E8C"/>
    <w:rsid w:val="00D17D06"/>
    <w:rsid w:val="00D2106F"/>
    <w:rsid w:val="00D2333A"/>
    <w:rsid w:val="00D233BA"/>
    <w:rsid w:val="00D25659"/>
    <w:rsid w:val="00D349D4"/>
    <w:rsid w:val="00D3693C"/>
    <w:rsid w:val="00D36F24"/>
    <w:rsid w:val="00D4050B"/>
    <w:rsid w:val="00D41B18"/>
    <w:rsid w:val="00D433EA"/>
    <w:rsid w:val="00D4361B"/>
    <w:rsid w:val="00D43790"/>
    <w:rsid w:val="00D447A8"/>
    <w:rsid w:val="00D448F2"/>
    <w:rsid w:val="00D45583"/>
    <w:rsid w:val="00D473F1"/>
    <w:rsid w:val="00D50F1A"/>
    <w:rsid w:val="00D551F4"/>
    <w:rsid w:val="00D642A1"/>
    <w:rsid w:val="00D660F3"/>
    <w:rsid w:val="00D67341"/>
    <w:rsid w:val="00D70B44"/>
    <w:rsid w:val="00D7108F"/>
    <w:rsid w:val="00D71752"/>
    <w:rsid w:val="00D71FCD"/>
    <w:rsid w:val="00D72729"/>
    <w:rsid w:val="00D734DB"/>
    <w:rsid w:val="00D73D6B"/>
    <w:rsid w:val="00D820F5"/>
    <w:rsid w:val="00D82ABD"/>
    <w:rsid w:val="00D82E4C"/>
    <w:rsid w:val="00D86094"/>
    <w:rsid w:val="00D91144"/>
    <w:rsid w:val="00D93CD8"/>
    <w:rsid w:val="00D96B14"/>
    <w:rsid w:val="00DA3E7A"/>
    <w:rsid w:val="00DB0C16"/>
    <w:rsid w:val="00DB1E14"/>
    <w:rsid w:val="00DB259E"/>
    <w:rsid w:val="00DB68F1"/>
    <w:rsid w:val="00DC62B2"/>
    <w:rsid w:val="00DD15DA"/>
    <w:rsid w:val="00DD2345"/>
    <w:rsid w:val="00DD579A"/>
    <w:rsid w:val="00DD5874"/>
    <w:rsid w:val="00DD73CE"/>
    <w:rsid w:val="00DE146C"/>
    <w:rsid w:val="00DE2F1B"/>
    <w:rsid w:val="00DE339E"/>
    <w:rsid w:val="00DE50B2"/>
    <w:rsid w:val="00DE73FF"/>
    <w:rsid w:val="00DF10EB"/>
    <w:rsid w:val="00DF1C33"/>
    <w:rsid w:val="00DF27CD"/>
    <w:rsid w:val="00DF4D68"/>
    <w:rsid w:val="00DF5C8A"/>
    <w:rsid w:val="00DF5D52"/>
    <w:rsid w:val="00DF6601"/>
    <w:rsid w:val="00E00DA3"/>
    <w:rsid w:val="00E02078"/>
    <w:rsid w:val="00E048D0"/>
    <w:rsid w:val="00E115A4"/>
    <w:rsid w:val="00E12217"/>
    <w:rsid w:val="00E173CD"/>
    <w:rsid w:val="00E173E6"/>
    <w:rsid w:val="00E208BF"/>
    <w:rsid w:val="00E21752"/>
    <w:rsid w:val="00E229C9"/>
    <w:rsid w:val="00E22BE5"/>
    <w:rsid w:val="00E22D4A"/>
    <w:rsid w:val="00E25890"/>
    <w:rsid w:val="00E263A2"/>
    <w:rsid w:val="00E27F3E"/>
    <w:rsid w:val="00E31534"/>
    <w:rsid w:val="00E31E5B"/>
    <w:rsid w:val="00E32FAE"/>
    <w:rsid w:val="00E337C8"/>
    <w:rsid w:val="00E43416"/>
    <w:rsid w:val="00E43C8E"/>
    <w:rsid w:val="00E43E8F"/>
    <w:rsid w:val="00E43F1A"/>
    <w:rsid w:val="00E4416F"/>
    <w:rsid w:val="00E4509F"/>
    <w:rsid w:val="00E46767"/>
    <w:rsid w:val="00E53E09"/>
    <w:rsid w:val="00E55B97"/>
    <w:rsid w:val="00E5734A"/>
    <w:rsid w:val="00E6296A"/>
    <w:rsid w:val="00E65EF7"/>
    <w:rsid w:val="00E671BD"/>
    <w:rsid w:val="00E753E2"/>
    <w:rsid w:val="00E75400"/>
    <w:rsid w:val="00E7725C"/>
    <w:rsid w:val="00E82B7F"/>
    <w:rsid w:val="00E84A44"/>
    <w:rsid w:val="00E86D9F"/>
    <w:rsid w:val="00E95767"/>
    <w:rsid w:val="00E9668B"/>
    <w:rsid w:val="00E97A00"/>
    <w:rsid w:val="00E97FE8"/>
    <w:rsid w:val="00EA1E25"/>
    <w:rsid w:val="00EA4363"/>
    <w:rsid w:val="00EA52CC"/>
    <w:rsid w:val="00EA5F53"/>
    <w:rsid w:val="00EB0043"/>
    <w:rsid w:val="00EB04D9"/>
    <w:rsid w:val="00EB08B5"/>
    <w:rsid w:val="00EB14F7"/>
    <w:rsid w:val="00EB1FD7"/>
    <w:rsid w:val="00EB2AC7"/>
    <w:rsid w:val="00EB3C83"/>
    <w:rsid w:val="00EC09A4"/>
    <w:rsid w:val="00EC1285"/>
    <w:rsid w:val="00EC37D2"/>
    <w:rsid w:val="00EC75EC"/>
    <w:rsid w:val="00EC78D4"/>
    <w:rsid w:val="00ED446B"/>
    <w:rsid w:val="00ED5193"/>
    <w:rsid w:val="00ED6057"/>
    <w:rsid w:val="00ED6995"/>
    <w:rsid w:val="00ED6D14"/>
    <w:rsid w:val="00EE1733"/>
    <w:rsid w:val="00EE53E9"/>
    <w:rsid w:val="00EE691F"/>
    <w:rsid w:val="00EF0D6C"/>
    <w:rsid w:val="00EF353B"/>
    <w:rsid w:val="00EF7187"/>
    <w:rsid w:val="00F00FDF"/>
    <w:rsid w:val="00F05820"/>
    <w:rsid w:val="00F07A28"/>
    <w:rsid w:val="00F27EFD"/>
    <w:rsid w:val="00F30B7E"/>
    <w:rsid w:val="00F33645"/>
    <w:rsid w:val="00F33F50"/>
    <w:rsid w:val="00F34757"/>
    <w:rsid w:val="00F34912"/>
    <w:rsid w:val="00F37833"/>
    <w:rsid w:val="00F41022"/>
    <w:rsid w:val="00F445F5"/>
    <w:rsid w:val="00F45EA8"/>
    <w:rsid w:val="00F4746A"/>
    <w:rsid w:val="00F50AA5"/>
    <w:rsid w:val="00F50C7B"/>
    <w:rsid w:val="00F514D2"/>
    <w:rsid w:val="00F54EA0"/>
    <w:rsid w:val="00F55792"/>
    <w:rsid w:val="00F57F9C"/>
    <w:rsid w:val="00F70189"/>
    <w:rsid w:val="00F7155F"/>
    <w:rsid w:val="00F7257C"/>
    <w:rsid w:val="00F734E5"/>
    <w:rsid w:val="00F75D17"/>
    <w:rsid w:val="00F803F0"/>
    <w:rsid w:val="00F80B59"/>
    <w:rsid w:val="00F80C34"/>
    <w:rsid w:val="00F847B6"/>
    <w:rsid w:val="00F84F57"/>
    <w:rsid w:val="00F852B7"/>
    <w:rsid w:val="00F9055B"/>
    <w:rsid w:val="00F906EB"/>
    <w:rsid w:val="00F90751"/>
    <w:rsid w:val="00F94530"/>
    <w:rsid w:val="00F969CC"/>
    <w:rsid w:val="00FA03C2"/>
    <w:rsid w:val="00FA17CF"/>
    <w:rsid w:val="00FA2016"/>
    <w:rsid w:val="00FC1D5A"/>
    <w:rsid w:val="00FC4342"/>
    <w:rsid w:val="00FC49E0"/>
    <w:rsid w:val="00FC57AC"/>
    <w:rsid w:val="00FC6B98"/>
    <w:rsid w:val="00FC7725"/>
    <w:rsid w:val="00FD2812"/>
    <w:rsid w:val="00FD33EB"/>
    <w:rsid w:val="00FD48B1"/>
    <w:rsid w:val="00FD5A3B"/>
    <w:rsid w:val="00FD7083"/>
    <w:rsid w:val="00FE6C1F"/>
    <w:rsid w:val="00FF0935"/>
    <w:rsid w:val="00FF1FA3"/>
    <w:rsid w:val="00FF24AC"/>
    <w:rsid w:val="00FF398F"/>
    <w:rsid w:val="00FF41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9"/>
    <w:lsdException w:name="footer" w:uiPriority="0"/>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43"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qFormat/>
    <w:rsid w:val="00000051"/>
    <w:pPr>
      <w:suppressAutoHyphens/>
    </w:pPr>
    <w:rPr>
      <w:rFonts w:ascii="Liberation Serif" w:eastAsia="Noto Serif CJK SC" w:hAnsi="Liberation Serif" w:cs="Lohit Devanagari"/>
      <w:kern w:val="2"/>
      <w:sz w:val="24"/>
      <w:szCs w:val="24"/>
      <w:lang w:val="en-US" w:eastAsia="zh-CN" w:bidi="hi-IN"/>
    </w:rPr>
  </w:style>
  <w:style w:type="paragraph" w:styleId="Heading1">
    <w:name w:val="heading 1"/>
    <w:aliases w:val="TITLE"/>
    <w:basedOn w:val="Normal"/>
    <w:next w:val="Normal"/>
    <w:link w:val="Heading1Char"/>
    <w:qFormat/>
    <w:rsid w:val="00845ADD"/>
    <w:pPr>
      <w:keepNext/>
      <w:outlineLvl w:val="0"/>
    </w:pPr>
    <w:rPr>
      <w:rFonts w:cs="Arial"/>
      <w:bCs/>
      <w:caps/>
      <w:color w:val="590056"/>
      <w:kern w:val="32"/>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numPr>
        <w:ilvl w:val="1"/>
        <w:numId w:val="11"/>
      </w:numPr>
    </w:pPr>
  </w:style>
  <w:style w:type="character" w:customStyle="1" w:styleId="Level1Char">
    <w:name w:val="Level 1 Char"/>
    <w:link w:val="Level1"/>
    <w:uiPriority w:val="3"/>
    <w:rsid w:val="005123B2"/>
    <w:rPr>
      <w:rFonts w:ascii="Liberation Serif" w:eastAsia="Noto Serif CJK SC" w:hAnsi="Liberation Serif" w:cs="Arial"/>
      <w:b/>
      <w:bCs/>
      <w:iCs/>
      <w:kern w:val="2"/>
      <w:sz w:val="24"/>
      <w:szCs w:val="28"/>
      <w:lang w:val="en-US" w:eastAsia="zh-CN" w:bidi="hi-IN"/>
    </w:rPr>
  </w:style>
  <w:style w:type="paragraph" w:customStyle="1" w:styleId="Level2">
    <w:name w:val="Level 2"/>
    <w:basedOn w:val="Heading3"/>
    <w:link w:val="Level2Char"/>
    <w:uiPriority w:val="3"/>
    <w:qFormat/>
    <w:rsid w:val="005123B2"/>
    <w:pPr>
      <w:keepNext w:val="0"/>
      <w:numPr>
        <w:ilvl w:val="2"/>
        <w:numId w:val="11"/>
      </w:numPr>
    </w:pPr>
  </w:style>
  <w:style w:type="character" w:customStyle="1" w:styleId="Level2Char">
    <w:name w:val="Level 2 Char"/>
    <w:link w:val="Level2"/>
    <w:uiPriority w:val="3"/>
    <w:rsid w:val="005123B2"/>
    <w:rPr>
      <w:rFonts w:ascii="Liberation Serif" w:eastAsia="Noto Serif CJK SC" w:hAnsi="Liberation Serif" w:cs="Arial"/>
      <w:bCs/>
      <w:i/>
      <w:kern w:val="2"/>
      <w:sz w:val="24"/>
      <w:szCs w:val="26"/>
      <w:lang w:val="en-US" w:eastAsia="zh-CN" w:bidi="hi-IN"/>
    </w:rPr>
  </w:style>
  <w:style w:type="paragraph" w:customStyle="1" w:styleId="Level3">
    <w:name w:val="Level 3"/>
    <w:basedOn w:val="Heading4"/>
    <w:link w:val="Level3Char"/>
    <w:uiPriority w:val="3"/>
    <w:qFormat/>
    <w:rsid w:val="005123B2"/>
    <w:pPr>
      <w:keepNext w:val="0"/>
      <w:numPr>
        <w:ilvl w:val="3"/>
        <w:numId w:val="11"/>
      </w:numPr>
    </w:p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autoSpaceDE w:val="0"/>
      <w:autoSpaceDN w:val="0"/>
      <w:adjustRightInd w:val="0"/>
      <w:spacing w:after="80"/>
      <w:ind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line="240" w:lineRule="exac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uiPriority w:val="9"/>
    <w:semiHidden/>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basedOn w:val="Normal"/>
    <w:uiPriority w:val="43"/>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qFormat/>
    <w:rsid w:val="00954F60"/>
    <w:pPr>
      <w:numPr>
        <w:numId w:val="11"/>
      </w:numPr>
    </w:pPr>
  </w:style>
  <w:style w:type="paragraph" w:customStyle="1" w:styleId="Parties">
    <w:name w:val="Parties"/>
    <w:basedOn w:val="TITLE1"/>
    <w:link w:val="PartiesChar1"/>
    <w:uiPriority w:val="1"/>
    <w:qFormat/>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qFormat/>
    <w:rsid w:val="005123B2"/>
    <w:pPr>
      <w:numPr>
        <w:numId w:val="8"/>
      </w:numPr>
      <w:ind w:left="567" w:hanging="567"/>
    </w:pPr>
  </w:style>
  <w:style w:type="character" w:customStyle="1" w:styleId="TITLE1Char">
    <w:name w:val="TITLE 1 Char"/>
    <w:link w:val="TITLE1"/>
    <w:rsid w:val="00E22D4A"/>
    <w:rPr>
      <w:rFonts w:ascii="Liberation Serif" w:eastAsia="Noto Serif CJK SC" w:hAnsi="Liberation Serif" w:cs="Arial"/>
      <w:bCs/>
      <w:caps/>
      <w:color w:val="590056"/>
      <w:kern w:val="32"/>
      <w:sz w:val="24"/>
      <w:szCs w:val="32"/>
      <w:lang w:val="en-US" w:eastAsia="zh-CN" w:bidi="hi-IN"/>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rPr>
      <w:szCs w:val="20"/>
    </w:rPr>
  </w:style>
  <w:style w:type="character" w:customStyle="1" w:styleId="PartiesChar1">
    <w:name w:val="Parties Char1"/>
    <w:link w:val="Parties"/>
    <w:uiPriority w:val="1"/>
    <w:rsid w:val="005123B2"/>
    <w:rPr>
      <w:rFonts w:ascii="Liberation Serif" w:eastAsia="Noto Serif CJK SC" w:hAnsi="Liberation Serif" w:cs="Arial"/>
      <w:bCs/>
      <w:szCs w:val="32"/>
      <w:lang w:val="en-US" w:eastAsia="zh-CN" w:bidi="hi-IN"/>
    </w:rPr>
  </w:style>
  <w:style w:type="character" w:customStyle="1" w:styleId="RecitalsChar">
    <w:name w:val="Recitals Char"/>
    <w:link w:val="Recitals"/>
    <w:uiPriority w:val="2"/>
    <w:rsid w:val="005123B2"/>
    <w:rPr>
      <w:rFonts w:ascii="Liberation Serif" w:eastAsia="Noto Serif CJK SC" w:hAnsi="Liberation Serif" w:cs="Arial"/>
      <w:bCs/>
      <w:szCs w:val="32"/>
      <w:lang w:val="en-US" w:eastAsia="zh-CN" w:bidi="hi-IN"/>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rFonts w:ascii="Liberation Serif" w:eastAsia="Noto Serif CJK SC" w:hAnsi="Liberation Serif" w:cs="Lohit Devanagari"/>
      <w:kern w:val="2"/>
      <w:sz w:val="24"/>
      <w:szCs w:val="24"/>
      <w:lang w:val="en-US" w:eastAsia="zh-CN" w:bidi="hi-IN"/>
    </w:rPr>
  </w:style>
  <w:style w:type="character" w:customStyle="1" w:styleId="Bullet2Char">
    <w:name w:val="Bullet 2 Char"/>
    <w:link w:val="Bullet2"/>
    <w:uiPriority w:val="5"/>
    <w:rsid w:val="005123B2"/>
    <w:rPr>
      <w:rFonts w:ascii="Liberation Serif" w:eastAsia="Noto Serif CJK SC" w:hAnsi="Liberation Serif" w:cs="Lohit Devanagari"/>
      <w:kern w:val="2"/>
      <w:sz w:val="24"/>
      <w:szCs w:val="24"/>
      <w:lang w:val="en-US" w:eastAsia="zh-CN" w:bidi="hi-IN"/>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ascii="Liberation Serif" w:eastAsia="Noto Serif CJK SC" w:hAnsi="Liberation Serif" w:cs="Arial"/>
      <w:b/>
      <w:bCs/>
      <w:iCs/>
      <w:kern w:val="2"/>
      <w:sz w:val="17"/>
      <w:szCs w:val="28"/>
      <w:lang w:val="en-US" w:eastAsia="zh-CN" w:bidi="hi-IN"/>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ilvl w:val="0"/>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ascii="Liberation Serif" w:eastAsia="Noto Serif CJK SC" w:hAnsi="Liberation Serif" w:cs="Arial"/>
      <w:b/>
      <w:bCs/>
      <w:iCs/>
      <w:kern w:val="2"/>
      <w:sz w:val="24"/>
      <w:szCs w:val="28"/>
      <w:lang w:val="en-US" w:eastAsia="zh-CN" w:bidi="hi-IN"/>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ascii="Liberation Serif" w:eastAsia="Noto Serif CJK SC" w:hAnsi="Liberation Serif" w:cs="Arial"/>
      <w:bCs/>
      <w:i/>
      <w:kern w:val="2"/>
      <w:sz w:val="24"/>
      <w:szCs w:val="26"/>
      <w:lang w:val="en-US" w:eastAsia="zh-CN" w:bidi="hi-IN"/>
    </w:rPr>
  </w:style>
  <w:style w:type="character" w:customStyle="1" w:styleId="Level3Char">
    <w:name w:val="Level 3 Char"/>
    <w:link w:val="Level3"/>
    <w:uiPriority w:val="3"/>
    <w:rsid w:val="00E31534"/>
    <w:rPr>
      <w:rFonts w:ascii="Liberation Serif" w:eastAsia="Noto Serif CJK SC" w:hAnsi="Liberation Serif" w:cs="Lohit Devanagari"/>
      <w:bCs/>
      <w:kern w:val="2"/>
      <w:sz w:val="24"/>
      <w:szCs w:val="28"/>
      <w:lang w:val="en-US" w:eastAsia="zh-CN" w:bidi="hi-IN"/>
    </w:rPr>
  </w:style>
  <w:style w:type="character" w:customStyle="1" w:styleId="Schedule3Char">
    <w:name w:val="Schedule 3 Char"/>
    <w:link w:val="Schedule3"/>
    <w:uiPriority w:val="4"/>
    <w:rsid w:val="00E31534"/>
    <w:rPr>
      <w:rFonts w:ascii="Liberation Serif" w:eastAsia="Noto Serif CJK SC" w:hAnsi="Liberation Serif" w:cs="Lohit Devanagari"/>
      <w:bCs/>
      <w:kern w:val="2"/>
      <w:sz w:val="24"/>
      <w:szCs w:val="28"/>
      <w:lang w:val="en-US" w:eastAsia="zh-CN" w:bidi="hi-IN"/>
    </w:rPr>
  </w:style>
  <w:style w:type="numbering" w:customStyle="1" w:styleId="Style1">
    <w:name w:val="Style1"/>
    <w:uiPriority w:val="99"/>
    <w:rsid w:val="007A54A7"/>
    <w:pPr>
      <w:numPr>
        <w:numId w:val="12"/>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pPr>
    <w:rPr>
      <w:rFonts w:ascii="Times New Roman" w:hAnsi="Times New Roman"/>
    </w:rPr>
  </w:style>
  <w:style w:type="paragraph" w:customStyle="1" w:styleId="elementor-icon-list-item">
    <w:name w:val="elementor-icon-list-item"/>
    <w:basedOn w:val="Normal"/>
    <w:rsid w:val="00B45D0F"/>
    <w:pPr>
      <w:spacing w:before="100" w:beforeAutospacing="1" w:after="100" w:afterAutospacing="1"/>
    </w:pPr>
    <w:rPr>
      <w:rFonts w:ascii="Times New Roman" w:hAnsi="Times New Roman"/>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paragraph" w:styleId="Title">
    <w:name w:val="Title"/>
    <w:basedOn w:val="Normal"/>
    <w:next w:val="Normal"/>
    <w:link w:val="TitleChar"/>
    <w:uiPriority w:val="10"/>
    <w:qFormat/>
    <w:rsid w:val="00AA49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4922"/>
    <w:rPr>
      <w:rFonts w:asciiTheme="majorHAnsi" w:eastAsiaTheme="majorEastAsia" w:hAnsiTheme="majorHAnsi" w:cstheme="majorBidi"/>
      <w:spacing w:val="-10"/>
      <w:kern w:val="28"/>
      <w:sz w:val="56"/>
      <w:szCs w:val="56"/>
      <w:lang w:val="en-US" w:eastAsia="en-US"/>
    </w:rPr>
  </w:style>
  <w:style w:type="character" w:styleId="CommentReference">
    <w:name w:val="annotation reference"/>
    <w:basedOn w:val="DefaultParagraphFont"/>
    <w:uiPriority w:val="9"/>
    <w:semiHidden/>
    <w:rsid w:val="009678E1"/>
    <w:rPr>
      <w:sz w:val="16"/>
      <w:szCs w:val="16"/>
    </w:rPr>
  </w:style>
  <w:style w:type="paragraph" w:styleId="CommentText">
    <w:name w:val="annotation text"/>
    <w:basedOn w:val="Normal"/>
    <w:link w:val="CommentTextChar"/>
    <w:uiPriority w:val="9"/>
    <w:semiHidden/>
    <w:rsid w:val="009678E1"/>
    <w:rPr>
      <w:szCs w:val="20"/>
    </w:rPr>
  </w:style>
  <w:style w:type="character" w:customStyle="1" w:styleId="CommentTextChar">
    <w:name w:val="Comment Text Char"/>
    <w:basedOn w:val="DefaultParagraphFont"/>
    <w:link w:val="CommentText"/>
    <w:uiPriority w:val="9"/>
    <w:semiHidden/>
    <w:rsid w:val="009678E1"/>
    <w:rPr>
      <w:lang w:val="en-US" w:eastAsia="en-US"/>
    </w:rPr>
  </w:style>
  <w:style w:type="paragraph" w:styleId="CommentSubject">
    <w:name w:val="annotation subject"/>
    <w:basedOn w:val="CommentText"/>
    <w:next w:val="CommentText"/>
    <w:link w:val="CommentSubjectChar"/>
    <w:uiPriority w:val="9"/>
    <w:semiHidden/>
    <w:rsid w:val="009678E1"/>
    <w:rPr>
      <w:b/>
      <w:bCs/>
    </w:rPr>
  </w:style>
  <w:style w:type="character" w:customStyle="1" w:styleId="CommentSubjectChar">
    <w:name w:val="Comment Subject Char"/>
    <w:basedOn w:val="CommentTextChar"/>
    <w:link w:val="CommentSubject"/>
    <w:uiPriority w:val="9"/>
    <w:semiHidden/>
    <w:rsid w:val="009678E1"/>
    <w:rPr>
      <w:b/>
      <w:bCs/>
      <w:lang w:val="en-US" w:eastAsia="en-US"/>
    </w:rPr>
  </w:style>
  <w:style w:type="paragraph" w:styleId="Revision">
    <w:name w:val="Revision"/>
    <w:hidden/>
    <w:uiPriority w:val="99"/>
    <w:semiHidden/>
    <w:rsid w:val="004E2A3C"/>
    <w:rPr>
      <w:szCs w:val="24"/>
      <w:lang w:val="en-US" w:eastAsia="en-US"/>
    </w:rPr>
  </w:style>
  <w:style w:type="paragraph" w:customStyle="1" w:styleId="texttext1fzle">
    <w:name w:val="text__text__1fzle"/>
    <w:basedOn w:val="Normal"/>
    <w:rsid w:val="00B13AF6"/>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FootnoteText">
    <w:name w:val="footnote text"/>
    <w:basedOn w:val="Normal"/>
    <w:link w:val="FootnoteTextChar"/>
    <w:uiPriority w:val="9"/>
    <w:semiHidden/>
    <w:rsid w:val="00E97A00"/>
    <w:pPr>
      <w:suppressAutoHyphens w:val="0"/>
      <w:ind w:left="504"/>
      <w:jc w:val="both"/>
    </w:pPr>
    <w:rPr>
      <w:rFonts w:ascii="Georgia" w:eastAsia="Times New Roman" w:hAnsi="Georgia" w:cs="Times New Roman"/>
      <w:kern w:val="0"/>
      <w:sz w:val="20"/>
      <w:szCs w:val="20"/>
      <w:lang w:eastAsia="en-US" w:bidi="ar-SA"/>
    </w:rPr>
  </w:style>
  <w:style w:type="character" w:customStyle="1" w:styleId="FootnoteTextChar">
    <w:name w:val="Footnote Text Char"/>
    <w:basedOn w:val="DefaultParagraphFont"/>
    <w:link w:val="FootnoteText"/>
    <w:uiPriority w:val="9"/>
    <w:semiHidden/>
    <w:rsid w:val="00E97A00"/>
    <w:rPr>
      <w:lang w:val="en-US" w:eastAsia="en-US"/>
    </w:rPr>
  </w:style>
  <w:style w:type="character" w:styleId="FootnoteReference">
    <w:name w:val="footnote reference"/>
    <w:basedOn w:val="DefaultParagraphFont"/>
    <w:uiPriority w:val="9"/>
    <w:semiHidden/>
    <w:rsid w:val="00E97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1831">
      <w:bodyDiv w:val="1"/>
      <w:marLeft w:val="0"/>
      <w:marRight w:val="0"/>
      <w:marTop w:val="0"/>
      <w:marBottom w:val="0"/>
      <w:divBdr>
        <w:top w:val="none" w:sz="0" w:space="0" w:color="auto"/>
        <w:left w:val="none" w:sz="0" w:space="0" w:color="auto"/>
        <w:bottom w:val="none" w:sz="0" w:space="0" w:color="auto"/>
        <w:right w:val="none" w:sz="0" w:space="0" w:color="auto"/>
      </w:divBdr>
    </w:div>
    <w:div w:id="62875067">
      <w:bodyDiv w:val="1"/>
      <w:marLeft w:val="0"/>
      <w:marRight w:val="0"/>
      <w:marTop w:val="0"/>
      <w:marBottom w:val="0"/>
      <w:divBdr>
        <w:top w:val="none" w:sz="0" w:space="0" w:color="auto"/>
        <w:left w:val="none" w:sz="0" w:space="0" w:color="auto"/>
        <w:bottom w:val="none" w:sz="0" w:space="0" w:color="auto"/>
        <w:right w:val="none" w:sz="0" w:space="0" w:color="auto"/>
      </w:divBdr>
    </w:div>
    <w:div w:id="96219885">
      <w:bodyDiv w:val="1"/>
      <w:marLeft w:val="0"/>
      <w:marRight w:val="0"/>
      <w:marTop w:val="0"/>
      <w:marBottom w:val="0"/>
      <w:divBdr>
        <w:top w:val="none" w:sz="0" w:space="0" w:color="auto"/>
        <w:left w:val="none" w:sz="0" w:space="0" w:color="auto"/>
        <w:bottom w:val="none" w:sz="0" w:space="0" w:color="auto"/>
        <w:right w:val="none" w:sz="0" w:space="0" w:color="auto"/>
      </w:divBdr>
    </w:div>
    <w:div w:id="104858123">
      <w:bodyDiv w:val="1"/>
      <w:marLeft w:val="0"/>
      <w:marRight w:val="0"/>
      <w:marTop w:val="0"/>
      <w:marBottom w:val="0"/>
      <w:divBdr>
        <w:top w:val="none" w:sz="0" w:space="0" w:color="auto"/>
        <w:left w:val="none" w:sz="0" w:space="0" w:color="auto"/>
        <w:bottom w:val="none" w:sz="0" w:space="0" w:color="auto"/>
        <w:right w:val="none" w:sz="0" w:space="0" w:color="auto"/>
      </w:divBdr>
    </w:div>
    <w:div w:id="150683896">
      <w:bodyDiv w:val="1"/>
      <w:marLeft w:val="0"/>
      <w:marRight w:val="0"/>
      <w:marTop w:val="0"/>
      <w:marBottom w:val="0"/>
      <w:divBdr>
        <w:top w:val="none" w:sz="0" w:space="0" w:color="auto"/>
        <w:left w:val="none" w:sz="0" w:space="0" w:color="auto"/>
        <w:bottom w:val="none" w:sz="0" w:space="0" w:color="auto"/>
        <w:right w:val="none" w:sz="0" w:space="0" w:color="auto"/>
      </w:divBdr>
    </w:div>
    <w:div w:id="155614602">
      <w:bodyDiv w:val="1"/>
      <w:marLeft w:val="0"/>
      <w:marRight w:val="0"/>
      <w:marTop w:val="0"/>
      <w:marBottom w:val="0"/>
      <w:divBdr>
        <w:top w:val="none" w:sz="0" w:space="0" w:color="auto"/>
        <w:left w:val="none" w:sz="0" w:space="0" w:color="auto"/>
        <w:bottom w:val="none" w:sz="0" w:space="0" w:color="auto"/>
        <w:right w:val="none" w:sz="0" w:space="0" w:color="auto"/>
      </w:divBdr>
    </w:div>
    <w:div w:id="258485392">
      <w:bodyDiv w:val="1"/>
      <w:marLeft w:val="0"/>
      <w:marRight w:val="0"/>
      <w:marTop w:val="0"/>
      <w:marBottom w:val="0"/>
      <w:divBdr>
        <w:top w:val="none" w:sz="0" w:space="0" w:color="auto"/>
        <w:left w:val="none" w:sz="0" w:space="0" w:color="auto"/>
        <w:bottom w:val="none" w:sz="0" w:space="0" w:color="auto"/>
        <w:right w:val="none" w:sz="0" w:space="0" w:color="auto"/>
      </w:divBdr>
    </w:div>
    <w:div w:id="313292389">
      <w:bodyDiv w:val="1"/>
      <w:marLeft w:val="0"/>
      <w:marRight w:val="0"/>
      <w:marTop w:val="0"/>
      <w:marBottom w:val="0"/>
      <w:divBdr>
        <w:top w:val="none" w:sz="0" w:space="0" w:color="auto"/>
        <w:left w:val="none" w:sz="0" w:space="0" w:color="auto"/>
        <w:bottom w:val="none" w:sz="0" w:space="0" w:color="auto"/>
        <w:right w:val="none" w:sz="0" w:space="0" w:color="auto"/>
      </w:divBdr>
    </w:div>
    <w:div w:id="485321017">
      <w:bodyDiv w:val="1"/>
      <w:marLeft w:val="0"/>
      <w:marRight w:val="0"/>
      <w:marTop w:val="0"/>
      <w:marBottom w:val="0"/>
      <w:divBdr>
        <w:top w:val="none" w:sz="0" w:space="0" w:color="auto"/>
        <w:left w:val="none" w:sz="0" w:space="0" w:color="auto"/>
        <w:bottom w:val="none" w:sz="0" w:space="0" w:color="auto"/>
        <w:right w:val="none" w:sz="0" w:space="0" w:color="auto"/>
      </w:divBdr>
    </w:div>
    <w:div w:id="593438667">
      <w:bodyDiv w:val="1"/>
      <w:marLeft w:val="0"/>
      <w:marRight w:val="0"/>
      <w:marTop w:val="0"/>
      <w:marBottom w:val="0"/>
      <w:divBdr>
        <w:top w:val="none" w:sz="0" w:space="0" w:color="auto"/>
        <w:left w:val="none" w:sz="0" w:space="0" w:color="auto"/>
        <w:bottom w:val="none" w:sz="0" w:space="0" w:color="auto"/>
        <w:right w:val="none" w:sz="0" w:space="0" w:color="auto"/>
      </w:divBdr>
    </w:div>
    <w:div w:id="605967857">
      <w:bodyDiv w:val="1"/>
      <w:marLeft w:val="0"/>
      <w:marRight w:val="0"/>
      <w:marTop w:val="0"/>
      <w:marBottom w:val="0"/>
      <w:divBdr>
        <w:top w:val="none" w:sz="0" w:space="0" w:color="auto"/>
        <w:left w:val="none" w:sz="0" w:space="0" w:color="auto"/>
        <w:bottom w:val="none" w:sz="0" w:space="0" w:color="auto"/>
        <w:right w:val="none" w:sz="0" w:space="0" w:color="auto"/>
      </w:divBdr>
    </w:div>
    <w:div w:id="768813142">
      <w:bodyDiv w:val="1"/>
      <w:marLeft w:val="0"/>
      <w:marRight w:val="0"/>
      <w:marTop w:val="0"/>
      <w:marBottom w:val="0"/>
      <w:divBdr>
        <w:top w:val="none" w:sz="0" w:space="0" w:color="auto"/>
        <w:left w:val="none" w:sz="0" w:space="0" w:color="auto"/>
        <w:bottom w:val="none" w:sz="0" w:space="0" w:color="auto"/>
        <w:right w:val="none" w:sz="0" w:space="0" w:color="auto"/>
      </w:divBdr>
    </w:div>
    <w:div w:id="932712039">
      <w:bodyDiv w:val="1"/>
      <w:marLeft w:val="0"/>
      <w:marRight w:val="0"/>
      <w:marTop w:val="0"/>
      <w:marBottom w:val="0"/>
      <w:divBdr>
        <w:top w:val="none" w:sz="0" w:space="0" w:color="auto"/>
        <w:left w:val="none" w:sz="0" w:space="0" w:color="auto"/>
        <w:bottom w:val="none" w:sz="0" w:space="0" w:color="auto"/>
        <w:right w:val="none" w:sz="0" w:space="0" w:color="auto"/>
      </w:divBdr>
    </w:div>
    <w:div w:id="959996208">
      <w:bodyDiv w:val="1"/>
      <w:marLeft w:val="0"/>
      <w:marRight w:val="0"/>
      <w:marTop w:val="0"/>
      <w:marBottom w:val="0"/>
      <w:divBdr>
        <w:top w:val="none" w:sz="0" w:space="0" w:color="auto"/>
        <w:left w:val="none" w:sz="0" w:space="0" w:color="auto"/>
        <w:bottom w:val="none" w:sz="0" w:space="0" w:color="auto"/>
        <w:right w:val="none" w:sz="0" w:space="0" w:color="auto"/>
      </w:divBdr>
    </w:div>
    <w:div w:id="1021130656">
      <w:bodyDiv w:val="1"/>
      <w:marLeft w:val="0"/>
      <w:marRight w:val="0"/>
      <w:marTop w:val="0"/>
      <w:marBottom w:val="0"/>
      <w:divBdr>
        <w:top w:val="none" w:sz="0" w:space="0" w:color="auto"/>
        <w:left w:val="none" w:sz="0" w:space="0" w:color="auto"/>
        <w:bottom w:val="none" w:sz="0" w:space="0" w:color="auto"/>
        <w:right w:val="none" w:sz="0" w:space="0" w:color="auto"/>
      </w:divBdr>
    </w:div>
    <w:div w:id="1114520367">
      <w:bodyDiv w:val="1"/>
      <w:marLeft w:val="0"/>
      <w:marRight w:val="0"/>
      <w:marTop w:val="0"/>
      <w:marBottom w:val="0"/>
      <w:divBdr>
        <w:top w:val="none" w:sz="0" w:space="0" w:color="auto"/>
        <w:left w:val="none" w:sz="0" w:space="0" w:color="auto"/>
        <w:bottom w:val="none" w:sz="0" w:space="0" w:color="auto"/>
        <w:right w:val="none" w:sz="0" w:space="0" w:color="auto"/>
      </w:divBdr>
    </w:div>
    <w:div w:id="1169059563">
      <w:bodyDiv w:val="1"/>
      <w:marLeft w:val="0"/>
      <w:marRight w:val="0"/>
      <w:marTop w:val="0"/>
      <w:marBottom w:val="0"/>
      <w:divBdr>
        <w:top w:val="none" w:sz="0" w:space="0" w:color="auto"/>
        <w:left w:val="none" w:sz="0" w:space="0" w:color="auto"/>
        <w:bottom w:val="none" w:sz="0" w:space="0" w:color="auto"/>
        <w:right w:val="none" w:sz="0" w:space="0" w:color="auto"/>
      </w:divBdr>
    </w:div>
    <w:div w:id="1251499910">
      <w:bodyDiv w:val="1"/>
      <w:marLeft w:val="0"/>
      <w:marRight w:val="0"/>
      <w:marTop w:val="0"/>
      <w:marBottom w:val="0"/>
      <w:divBdr>
        <w:top w:val="none" w:sz="0" w:space="0" w:color="auto"/>
        <w:left w:val="none" w:sz="0" w:space="0" w:color="auto"/>
        <w:bottom w:val="none" w:sz="0" w:space="0" w:color="auto"/>
        <w:right w:val="none" w:sz="0" w:space="0" w:color="auto"/>
      </w:divBdr>
    </w:div>
    <w:div w:id="1326395472">
      <w:bodyDiv w:val="1"/>
      <w:marLeft w:val="0"/>
      <w:marRight w:val="0"/>
      <w:marTop w:val="0"/>
      <w:marBottom w:val="0"/>
      <w:divBdr>
        <w:top w:val="none" w:sz="0" w:space="0" w:color="auto"/>
        <w:left w:val="none" w:sz="0" w:space="0" w:color="auto"/>
        <w:bottom w:val="none" w:sz="0" w:space="0" w:color="auto"/>
        <w:right w:val="none" w:sz="0" w:space="0" w:color="auto"/>
      </w:divBdr>
    </w:div>
    <w:div w:id="1343430539">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915535">
      <w:bodyDiv w:val="1"/>
      <w:marLeft w:val="0"/>
      <w:marRight w:val="0"/>
      <w:marTop w:val="0"/>
      <w:marBottom w:val="0"/>
      <w:divBdr>
        <w:top w:val="none" w:sz="0" w:space="0" w:color="auto"/>
        <w:left w:val="none" w:sz="0" w:space="0" w:color="auto"/>
        <w:bottom w:val="none" w:sz="0" w:space="0" w:color="auto"/>
        <w:right w:val="none" w:sz="0" w:space="0" w:color="auto"/>
      </w:divBdr>
    </w:div>
    <w:div w:id="1425304814">
      <w:bodyDiv w:val="1"/>
      <w:marLeft w:val="0"/>
      <w:marRight w:val="0"/>
      <w:marTop w:val="0"/>
      <w:marBottom w:val="0"/>
      <w:divBdr>
        <w:top w:val="none" w:sz="0" w:space="0" w:color="auto"/>
        <w:left w:val="none" w:sz="0" w:space="0" w:color="auto"/>
        <w:bottom w:val="none" w:sz="0" w:space="0" w:color="auto"/>
        <w:right w:val="none" w:sz="0" w:space="0" w:color="auto"/>
      </w:divBdr>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679772420">
      <w:bodyDiv w:val="1"/>
      <w:marLeft w:val="0"/>
      <w:marRight w:val="0"/>
      <w:marTop w:val="0"/>
      <w:marBottom w:val="0"/>
      <w:divBdr>
        <w:top w:val="none" w:sz="0" w:space="0" w:color="auto"/>
        <w:left w:val="none" w:sz="0" w:space="0" w:color="auto"/>
        <w:bottom w:val="none" w:sz="0" w:space="0" w:color="auto"/>
        <w:right w:val="none" w:sz="0" w:space="0" w:color="auto"/>
      </w:divBdr>
      <w:divsChild>
        <w:div w:id="682974892">
          <w:marLeft w:val="0"/>
          <w:marRight w:val="0"/>
          <w:marTop w:val="0"/>
          <w:marBottom w:val="0"/>
          <w:divBdr>
            <w:top w:val="none" w:sz="0" w:space="0" w:color="auto"/>
            <w:left w:val="none" w:sz="0" w:space="0" w:color="auto"/>
            <w:bottom w:val="none" w:sz="0" w:space="0" w:color="auto"/>
            <w:right w:val="none" w:sz="0" w:space="0" w:color="auto"/>
          </w:divBdr>
          <w:divsChild>
            <w:div w:id="1987929913">
              <w:marLeft w:val="0"/>
              <w:marRight w:val="0"/>
              <w:marTop w:val="0"/>
              <w:marBottom w:val="0"/>
              <w:divBdr>
                <w:top w:val="none" w:sz="0" w:space="0" w:color="auto"/>
                <w:left w:val="none" w:sz="0" w:space="0" w:color="auto"/>
                <w:bottom w:val="none" w:sz="0" w:space="0" w:color="auto"/>
                <w:right w:val="none" w:sz="0" w:space="0" w:color="auto"/>
              </w:divBdr>
              <w:divsChild>
                <w:div w:id="17654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73003">
          <w:marLeft w:val="0"/>
          <w:marRight w:val="0"/>
          <w:marTop w:val="0"/>
          <w:marBottom w:val="0"/>
          <w:divBdr>
            <w:top w:val="none" w:sz="0" w:space="0" w:color="auto"/>
            <w:left w:val="none" w:sz="0" w:space="0" w:color="auto"/>
            <w:bottom w:val="none" w:sz="0" w:space="0" w:color="auto"/>
            <w:right w:val="none" w:sz="0" w:space="0" w:color="auto"/>
          </w:divBdr>
          <w:divsChild>
            <w:div w:id="2055500993">
              <w:marLeft w:val="0"/>
              <w:marRight w:val="0"/>
              <w:marTop w:val="0"/>
              <w:marBottom w:val="0"/>
              <w:divBdr>
                <w:top w:val="none" w:sz="0" w:space="0" w:color="auto"/>
                <w:left w:val="none" w:sz="0" w:space="0" w:color="auto"/>
                <w:bottom w:val="none" w:sz="0" w:space="0" w:color="auto"/>
                <w:right w:val="none" w:sz="0" w:space="0" w:color="auto"/>
              </w:divBdr>
              <w:divsChild>
                <w:div w:id="3077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8556">
      <w:bodyDiv w:val="1"/>
      <w:marLeft w:val="0"/>
      <w:marRight w:val="0"/>
      <w:marTop w:val="0"/>
      <w:marBottom w:val="0"/>
      <w:divBdr>
        <w:top w:val="none" w:sz="0" w:space="0" w:color="auto"/>
        <w:left w:val="none" w:sz="0" w:space="0" w:color="auto"/>
        <w:bottom w:val="none" w:sz="0" w:space="0" w:color="auto"/>
        <w:right w:val="none" w:sz="0" w:space="0" w:color="auto"/>
      </w:divBdr>
    </w:div>
    <w:div w:id="1893999254">
      <w:bodyDiv w:val="1"/>
      <w:marLeft w:val="0"/>
      <w:marRight w:val="0"/>
      <w:marTop w:val="0"/>
      <w:marBottom w:val="0"/>
      <w:divBdr>
        <w:top w:val="none" w:sz="0" w:space="0" w:color="auto"/>
        <w:left w:val="none" w:sz="0" w:space="0" w:color="auto"/>
        <w:bottom w:val="none" w:sz="0" w:space="0" w:color="auto"/>
        <w:right w:val="none" w:sz="0" w:space="0" w:color="auto"/>
      </w:divBdr>
    </w:div>
    <w:div w:id="1904177243">
      <w:bodyDiv w:val="1"/>
      <w:marLeft w:val="0"/>
      <w:marRight w:val="0"/>
      <w:marTop w:val="0"/>
      <w:marBottom w:val="0"/>
      <w:divBdr>
        <w:top w:val="none" w:sz="0" w:space="0" w:color="auto"/>
        <w:left w:val="none" w:sz="0" w:space="0" w:color="auto"/>
        <w:bottom w:val="none" w:sz="0" w:space="0" w:color="auto"/>
        <w:right w:val="none" w:sz="0" w:space="0" w:color="auto"/>
      </w:divBdr>
    </w:div>
    <w:div w:id="2075082427">
      <w:bodyDiv w:val="1"/>
      <w:marLeft w:val="0"/>
      <w:marRight w:val="0"/>
      <w:marTop w:val="0"/>
      <w:marBottom w:val="0"/>
      <w:divBdr>
        <w:top w:val="none" w:sz="0" w:space="0" w:color="auto"/>
        <w:left w:val="none" w:sz="0" w:space="0" w:color="auto"/>
        <w:bottom w:val="none" w:sz="0" w:space="0" w:color="auto"/>
        <w:right w:val="none" w:sz="0" w:space="0" w:color="auto"/>
      </w:divBdr>
    </w:div>
    <w:div w:id="2108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0</TotalTime>
  <Pages>3</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Filip &amp; Company</cp:lastModifiedBy>
  <cp:revision>3</cp:revision>
  <cp:lastPrinted>2009-02-04T14:07:00Z</cp:lastPrinted>
  <dcterms:created xsi:type="dcterms:W3CDTF">2022-05-30T09:20:00Z</dcterms:created>
  <dcterms:modified xsi:type="dcterms:W3CDTF">2022-05-30T09:20:00Z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ies>
</file>