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74DF" w14:textId="77777777" w:rsidR="005870CC" w:rsidRDefault="00696B02" w:rsidP="009A0FEE">
      <w:pPr>
        <w:spacing w:after="80" w:line="264" w:lineRule="auto"/>
        <w:rPr>
          <w:rFonts w:asciiTheme="majorHAnsi" w:hAnsiTheme="majorHAnsi" w:cstheme="majorHAnsi"/>
          <w:i/>
          <w:sz w:val="20"/>
          <w:szCs w:val="20"/>
          <w:lang w:val="ro-RO"/>
        </w:rPr>
      </w:pPr>
      <w:bookmarkStart w:id="0" w:name="_Hlk98334255"/>
      <w:r w:rsidRPr="00696B02">
        <w:rPr>
          <w:rFonts w:asciiTheme="majorHAnsi" w:hAnsiTheme="majorHAnsi" w:cstheme="majorHAnsi"/>
          <w:b/>
          <w:bCs/>
          <w:sz w:val="24"/>
          <w:szCs w:val="24"/>
          <w:lang w:val="ro-RO"/>
        </w:rPr>
        <w:t>Cerințe noi de reglementare în industria bancară</w:t>
      </w:r>
      <w:bookmarkEnd w:id="0"/>
      <w:r w:rsidRPr="00696B02">
        <w:rPr>
          <w:rFonts w:asciiTheme="majorHAnsi" w:hAnsiTheme="majorHAnsi" w:cstheme="majorHAnsi"/>
          <w:b/>
          <w:bCs/>
          <w:sz w:val="24"/>
          <w:szCs w:val="24"/>
          <w:lang w:val="ro-RO"/>
        </w:rPr>
        <w:t>: constrângere sau oportunități de dezvoltare?</w:t>
      </w:r>
    </w:p>
    <w:p w14:paraId="49AD846D" w14:textId="77777777" w:rsidR="00696B02" w:rsidRDefault="00696B02" w:rsidP="00455E5B">
      <w:pPr>
        <w:spacing w:after="80" w:line="264" w:lineRule="auto"/>
        <w:jc w:val="both"/>
        <w:rPr>
          <w:rFonts w:asciiTheme="majorHAnsi" w:hAnsiTheme="majorHAnsi" w:cstheme="majorHAnsi"/>
          <w:i/>
          <w:sz w:val="20"/>
          <w:szCs w:val="20"/>
          <w:lang w:val="ro-RO"/>
        </w:rPr>
      </w:pPr>
    </w:p>
    <w:p w14:paraId="20BE1547" w14:textId="77777777" w:rsidR="00F0211A" w:rsidRPr="0080166A" w:rsidRDefault="00F0211A" w:rsidP="00455E5B">
      <w:pPr>
        <w:spacing w:after="80" w:line="264" w:lineRule="auto"/>
        <w:jc w:val="both"/>
        <w:rPr>
          <w:rFonts w:asciiTheme="majorHAnsi" w:hAnsiTheme="majorHAnsi" w:cstheme="majorHAnsi"/>
          <w:i/>
          <w:sz w:val="20"/>
          <w:szCs w:val="20"/>
          <w:lang w:val="ro-RO"/>
        </w:rPr>
      </w:pPr>
      <w:r w:rsidRPr="0080166A">
        <w:rPr>
          <w:rFonts w:asciiTheme="majorHAnsi" w:hAnsiTheme="majorHAnsi" w:cstheme="majorHAnsi"/>
          <w:i/>
          <w:sz w:val="20"/>
          <w:szCs w:val="20"/>
          <w:lang w:val="ro-RO"/>
        </w:rPr>
        <w:t xml:space="preserve">Material de opinie de </w:t>
      </w:r>
      <w:r w:rsidR="00696B02">
        <w:rPr>
          <w:rFonts w:asciiTheme="majorHAnsi" w:hAnsiTheme="majorHAnsi" w:cstheme="majorHAnsi"/>
          <w:i/>
          <w:sz w:val="20"/>
          <w:szCs w:val="20"/>
          <w:lang w:val="ro-RO"/>
        </w:rPr>
        <w:t>Dimitrios Goranitis</w:t>
      </w:r>
      <w:r w:rsidRPr="0080166A">
        <w:rPr>
          <w:rFonts w:asciiTheme="majorHAnsi" w:hAnsiTheme="majorHAnsi" w:cstheme="majorHAnsi"/>
          <w:i/>
          <w:sz w:val="20"/>
          <w:szCs w:val="20"/>
          <w:lang w:val="ro-RO"/>
        </w:rPr>
        <w:t xml:space="preserve">, </w:t>
      </w:r>
      <w:r w:rsidR="004E19AD">
        <w:rPr>
          <w:rFonts w:asciiTheme="majorHAnsi" w:hAnsiTheme="majorHAnsi" w:cstheme="majorHAnsi"/>
          <w:i/>
          <w:sz w:val="20"/>
          <w:szCs w:val="20"/>
          <w:lang w:val="ro-RO"/>
        </w:rPr>
        <w:t>Partener</w:t>
      </w:r>
      <w:r w:rsidRPr="0080166A">
        <w:rPr>
          <w:rFonts w:asciiTheme="majorHAnsi" w:hAnsiTheme="majorHAnsi" w:cstheme="majorHAnsi"/>
          <w:i/>
          <w:sz w:val="20"/>
          <w:szCs w:val="20"/>
          <w:lang w:val="ro-RO"/>
        </w:rPr>
        <w:t xml:space="preserve">, </w:t>
      </w:r>
      <w:r w:rsidR="00696B02">
        <w:rPr>
          <w:rFonts w:asciiTheme="majorHAnsi" w:hAnsiTheme="majorHAnsi" w:cstheme="majorHAnsi"/>
          <w:i/>
          <w:sz w:val="20"/>
          <w:szCs w:val="20"/>
          <w:lang w:val="ro-RO"/>
        </w:rPr>
        <w:t>Andrada Tănase</w:t>
      </w:r>
      <w:r w:rsidRPr="0080166A">
        <w:rPr>
          <w:rFonts w:asciiTheme="majorHAnsi" w:hAnsiTheme="majorHAnsi" w:cstheme="majorHAnsi"/>
          <w:i/>
          <w:sz w:val="20"/>
          <w:szCs w:val="20"/>
          <w:lang w:val="ro-RO"/>
        </w:rPr>
        <w:t xml:space="preserve">, </w:t>
      </w:r>
      <w:r w:rsidR="00131B80" w:rsidRPr="00131B80">
        <w:rPr>
          <w:rFonts w:asciiTheme="majorHAnsi" w:hAnsiTheme="majorHAnsi" w:cstheme="majorHAnsi"/>
          <w:i/>
          <w:sz w:val="20"/>
          <w:szCs w:val="20"/>
          <w:lang w:val="ro-RO"/>
        </w:rPr>
        <w:t>Director</w:t>
      </w:r>
      <w:r w:rsidRPr="0080166A">
        <w:rPr>
          <w:rFonts w:asciiTheme="majorHAnsi" w:hAnsiTheme="majorHAnsi" w:cstheme="majorHAnsi"/>
          <w:i/>
          <w:sz w:val="20"/>
          <w:szCs w:val="20"/>
          <w:lang w:val="ro-RO"/>
        </w:rPr>
        <w:t xml:space="preserve">, </w:t>
      </w:r>
      <w:r w:rsidR="00131B80">
        <w:rPr>
          <w:rFonts w:asciiTheme="majorHAnsi" w:hAnsiTheme="majorHAnsi" w:cstheme="majorHAnsi"/>
          <w:i/>
          <w:sz w:val="20"/>
          <w:szCs w:val="20"/>
          <w:lang w:val="ro-RO"/>
        </w:rPr>
        <w:t xml:space="preserve">și </w:t>
      </w:r>
      <w:r w:rsidR="00696B02">
        <w:rPr>
          <w:rFonts w:asciiTheme="majorHAnsi" w:hAnsiTheme="majorHAnsi" w:cstheme="majorHAnsi"/>
          <w:i/>
          <w:sz w:val="20"/>
          <w:szCs w:val="20"/>
          <w:lang w:val="ro-RO"/>
        </w:rPr>
        <w:t>Andrei Jalba</w:t>
      </w:r>
      <w:r w:rsidRPr="0080166A">
        <w:rPr>
          <w:rFonts w:asciiTheme="majorHAnsi" w:hAnsiTheme="majorHAnsi" w:cstheme="majorHAnsi"/>
          <w:i/>
          <w:sz w:val="20"/>
          <w:szCs w:val="20"/>
          <w:lang w:val="ro-RO"/>
        </w:rPr>
        <w:t>,</w:t>
      </w:r>
      <w:r w:rsidR="00696B02">
        <w:rPr>
          <w:rFonts w:asciiTheme="majorHAnsi" w:hAnsiTheme="majorHAnsi" w:cstheme="majorHAnsi"/>
          <w:i/>
          <w:sz w:val="20"/>
          <w:szCs w:val="20"/>
          <w:lang w:val="ro-RO"/>
        </w:rPr>
        <w:t xml:space="preserve"> </w:t>
      </w:r>
      <w:r w:rsidR="00131B80">
        <w:rPr>
          <w:rFonts w:asciiTheme="majorHAnsi" w:hAnsiTheme="majorHAnsi" w:cstheme="majorHAnsi"/>
          <w:i/>
          <w:sz w:val="20"/>
          <w:szCs w:val="20"/>
          <w:lang w:val="ro-RO"/>
        </w:rPr>
        <w:t>Manager</w:t>
      </w:r>
      <w:r w:rsidR="004E19AD">
        <w:rPr>
          <w:rFonts w:asciiTheme="majorHAnsi" w:hAnsiTheme="majorHAnsi" w:cstheme="majorHAnsi"/>
          <w:i/>
          <w:sz w:val="20"/>
          <w:szCs w:val="20"/>
          <w:lang w:val="ro-RO"/>
        </w:rPr>
        <w:t>, C</w:t>
      </w:r>
      <w:r w:rsidR="004E19AD" w:rsidRPr="00131B80">
        <w:rPr>
          <w:rFonts w:asciiTheme="majorHAnsi" w:hAnsiTheme="majorHAnsi" w:cstheme="majorHAnsi"/>
          <w:i/>
          <w:sz w:val="20"/>
          <w:szCs w:val="20"/>
          <w:lang w:val="ro-RO"/>
        </w:rPr>
        <w:t>onsultanță în managementul riscului</w:t>
      </w:r>
      <w:r w:rsidR="00696B02">
        <w:rPr>
          <w:rFonts w:asciiTheme="majorHAnsi" w:hAnsiTheme="majorHAnsi" w:cstheme="majorHAnsi"/>
          <w:i/>
          <w:sz w:val="20"/>
          <w:szCs w:val="20"/>
          <w:lang w:val="ro-RO"/>
        </w:rPr>
        <w:t>,</w:t>
      </w:r>
      <w:r w:rsidRPr="0080166A">
        <w:rPr>
          <w:rFonts w:asciiTheme="majorHAnsi" w:hAnsiTheme="majorHAnsi" w:cstheme="majorHAnsi"/>
          <w:i/>
          <w:sz w:val="20"/>
          <w:szCs w:val="20"/>
          <w:lang w:val="ro-RO"/>
        </w:rPr>
        <w:t xml:space="preserve"> Deloitte România</w:t>
      </w:r>
    </w:p>
    <w:p w14:paraId="374309CE" w14:textId="77777777" w:rsidR="005870CC" w:rsidRDefault="005870CC" w:rsidP="00455E5B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</w:pPr>
    </w:p>
    <w:p w14:paraId="21DBE27A" w14:textId="77777777" w:rsidR="00696B02" w:rsidRPr="00696B02" w:rsidRDefault="00696B02" w:rsidP="00696B02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</w:pP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Instituțiile de credit funcționează într-un mediu extrem de complex și puternic reglementat. Orice schimbare a climatului economic adesea capătă forma unor noi cerințe de reglementare, ceea ce testează în mod continuu capacitatea de răspuns și adaptare a instituțiilor de credit la noile realități. Într-un context atât de dinamic și uneori, chiar imprevizibil, acestea se văd nevoite să urmărească în mod constant schimbările regulilor jocului, atât la nivel comunitar, cât și național.</w:t>
      </w:r>
    </w:p>
    <w:p w14:paraId="0B8C3678" w14:textId="2DF031FD" w:rsidR="00696B02" w:rsidRPr="00696B02" w:rsidRDefault="00696B02" w:rsidP="00696B02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</w:pPr>
      <w:bookmarkStart w:id="1" w:name="_Hlk94714407"/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Perioada recentă, marcată de eforturile gestionării efectelor economice a</w:t>
      </w:r>
      <w:r w:rsidR="00131B8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le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pandemiei </w:t>
      </w:r>
      <w:r w:rsidR="00131B8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de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COVID-19,</w:t>
      </w:r>
      <w:r w:rsidRPr="00696B02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 xml:space="preserve">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aduce cu sine noi obstacole pentru instituțiile de credit</w:t>
      </w:r>
      <w:r w:rsidR="00131B8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,</w:t>
      </w:r>
      <w:r w:rsidR="00131B80"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reprezentate de numărul semnificativ de directive, regulamente și ghiduri noi care au fost propuse de către autorități și urmează a fi implementate în viitorul apropiat. </w:t>
      </w:r>
      <w:r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Așadar, </w:t>
      </w:r>
      <w:hyperlink r:id="rId7" w:history="1">
        <w:r w:rsidRPr="001C1368">
          <w:rPr>
            <w:rStyle w:val="Hyperlink"/>
            <w:rFonts w:asciiTheme="majorHAnsi" w:hAnsiTheme="majorHAnsi" w:cstheme="majorHAnsi"/>
            <w:sz w:val="20"/>
            <w:szCs w:val="20"/>
            <w:shd w:val="clear" w:color="auto" w:fill="FFFFFF"/>
            <w:lang w:val="ro-RO"/>
          </w:rPr>
          <w:t>la ce trebuie să se aștepte participanții pieței financiare în următorii ani</w:t>
        </w:r>
      </w:hyperlink>
      <w:r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?</w:t>
      </w:r>
    </w:p>
    <w:bookmarkEnd w:id="1"/>
    <w:p w14:paraId="1D124C66" w14:textId="77777777" w:rsidR="00813BAF" w:rsidRDefault="00813BAF" w:rsidP="00735342">
      <w:pPr>
        <w:spacing w:after="80" w:line="264" w:lineRule="auto"/>
        <w:jc w:val="both"/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</w:pPr>
    </w:p>
    <w:p w14:paraId="62099E60" w14:textId="77777777" w:rsidR="00696B02" w:rsidRPr="00696B02" w:rsidRDefault="00696B02" w:rsidP="00735342">
      <w:pPr>
        <w:spacing w:after="80" w:line="264" w:lineRule="auto"/>
        <w:jc w:val="both"/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</w:pPr>
      <w:r w:rsidRPr="00696B02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 xml:space="preserve">Basel </w:t>
      </w:r>
      <w:r w:rsidR="00735342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4</w:t>
      </w:r>
      <w:r w:rsidR="00735342" w:rsidRPr="00696B02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 xml:space="preserve"> </w:t>
      </w:r>
      <w:r w:rsidRPr="00696B02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 xml:space="preserve">va fi implementat oficial în UE </w:t>
      </w:r>
    </w:p>
    <w:p w14:paraId="260DA0FE" w14:textId="05A3DF0C" w:rsidR="00696B02" w:rsidRPr="00696B02" w:rsidRDefault="00696B02" w:rsidP="00735342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</w:pP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Comisia Europeană a publicat </w:t>
      </w:r>
      <w:r w:rsidR="00813BAF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recent </w:t>
      </w:r>
      <w:r w:rsidR="0006157D"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Regulamentul privind cerințele de capital III și Directiva privind cerințele de capital VI</w:t>
      </w:r>
      <w:r w:rsidR="00DF4E4F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, care vor </w:t>
      </w:r>
      <w:r w:rsidR="00DF4E4F" w:rsidRPr="00DD30EB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intr</w:t>
      </w:r>
      <w:r w:rsidR="00DF4E4F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a</w:t>
      </w:r>
      <w:r w:rsidR="00DF4E4F" w:rsidRPr="00DD30EB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în vigoare la </w:t>
      </w:r>
      <w:r w:rsidR="00DF4E4F" w:rsidRPr="001C1368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1 ianuarie 2025</w:t>
      </w:r>
      <w:r w:rsidR="0006157D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. Acestea reprezintă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un pachet legislativ de implementare a reformelor Basel 3, cunoscut și ca Basel 3.1 sau Basel 4</w:t>
      </w:r>
      <w:r w:rsidR="0006157D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, și</w:t>
      </w:r>
      <w:r w:rsidR="0006157D"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de</w:t>
      </w:r>
      <w:r w:rsidR="0006157D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schid, practic,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o ultima etapă a implementării modificărilor la standardele de capital în UE. </w:t>
      </w:r>
      <w:r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Printre numeroasele modificări </w:t>
      </w:r>
      <w:r w:rsidR="0006157D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aduse de </w:t>
      </w:r>
      <w:r w:rsidR="00DD30EB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aceste noi reglementări, cele mai </w:t>
      </w:r>
      <w:r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semnificative </w:t>
      </w:r>
      <w:r w:rsidR="00DD30EB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sunt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abordarea standardizată pentru riscul de credit</w:t>
      </w:r>
      <w:r w:rsidR="00DD30EB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,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bazată pe ratinguri interne</w:t>
      </w:r>
      <w:r w:rsidR="00DD30EB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,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cadrul de risc operațional</w:t>
      </w:r>
      <w:r w:rsidR="001C1368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și</w:t>
      </w:r>
      <w:r w:rsidR="00DD30EB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stabilirea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unui prag (</w:t>
      </w:r>
      <w:r w:rsidRPr="00735342">
        <w:rPr>
          <w:rFonts w:asciiTheme="majorHAnsi" w:hAnsiTheme="majorHAnsi" w:cstheme="majorHAnsi"/>
          <w:i/>
          <w:iCs/>
          <w:sz w:val="20"/>
          <w:szCs w:val="20"/>
          <w:shd w:val="clear" w:color="auto" w:fill="FFFFFF"/>
          <w:lang w:val="ro-RO"/>
        </w:rPr>
        <w:t>output floor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)</w:t>
      </w:r>
      <w:r w:rsidR="00DD30EB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pentru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DD30EB"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limit</w:t>
      </w:r>
      <w:r w:rsidR="00DD30EB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area</w:t>
      </w:r>
      <w:r w:rsid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735342"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posibilit</w:t>
      </w:r>
      <w:r w:rsid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ăț</w:t>
      </w:r>
      <w:r w:rsidR="00735342"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ii diminu</w:t>
      </w:r>
      <w:r w:rsid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ă</w:t>
      </w:r>
      <w:r w:rsidR="00735342"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rii cerin</w:t>
      </w:r>
      <w:r w:rsid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ț</w:t>
      </w:r>
      <w:r w:rsidR="00735342"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ei de capital pentru institu</w:t>
      </w:r>
      <w:r w:rsid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ț</w:t>
      </w:r>
      <w:r w:rsidR="00735342"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iile</w:t>
      </w:r>
      <w:r w:rsidR="00DD30EB"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de credit care utilizează modele interne.</w:t>
      </w:r>
    </w:p>
    <w:p w14:paraId="73E5FB20" w14:textId="3C7021F0" w:rsidR="00696B02" w:rsidRDefault="00696B02" w:rsidP="00696B02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</w:pP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Complementar </w:t>
      </w:r>
      <w:r w:rsidR="00DD30EB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acestor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modificăr</w:t>
      </w:r>
      <w:r w:rsidR="00DD30EB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i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, </w:t>
      </w:r>
      <w:r w:rsidR="00DD30EB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sunt</w:t>
      </w:r>
      <w:r w:rsidR="00DD30EB"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absolut </w:t>
      </w:r>
      <w:r w:rsidR="00DD30EB"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necesar</w:t>
      </w:r>
      <w:r w:rsidR="00DD30EB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e</w:t>
      </w:r>
      <w:r w:rsidR="00DD30EB"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menționarea </w:t>
      </w:r>
      <w:r w:rsidR="00DD30EB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î</w:t>
      </w:r>
      <w:r w:rsidR="00DD30EB"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ncorporării </w:t>
      </w:r>
      <w:r w:rsidR="00DD30EB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standardelor de mediu, sociali și de guvernanță (</w:t>
      </w:r>
      <w:r w:rsidR="00DD30EB" w:rsidRPr="003162B6">
        <w:rPr>
          <w:rFonts w:ascii="Calibri Light" w:hAnsi="Calibri Light" w:cs="Calibri Light"/>
          <w:i/>
          <w:sz w:val="20"/>
          <w:szCs w:val="20"/>
          <w:lang w:val="ro-RO"/>
        </w:rPr>
        <w:t>environmental, social, governance</w:t>
      </w:r>
      <w:r w:rsidR="00DD30EB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– </w:t>
      </w:r>
      <w:r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ESG</w:t>
      </w:r>
      <w:r w:rsidR="00DD30EB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) </w:t>
      </w:r>
      <w:r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și </w:t>
      </w:r>
      <w:r w:rsidR="003B36FF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instrucțiuni</w:t>
      </w:r>
      <w:r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6E68F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referitoare la aplicarea </w:t>
      </w:r>
      <w:r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cerinței de capital pentru</w:t>
      </w:r>
      <w:r w:rsid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735342"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riscuri nereglementate</w:t>
      </w:r>
      <w:r w:rsidR="001C1368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(</w:t>
      </w:r>
      <w:r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pilonul 2</w:t>
      </w:r>
      <w:r w:rsid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)</w:t>
      </w:r>
      <w:r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și </w:t>
      </w:r>
      <w:r w:rsidR="001C1368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a </w:t>
      </w:r>
      <w:r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amortizorul</w:t>
      </w:r>
      <w:r w:rsidR="000B2ED4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ui</w:t>
      </w:r>
      <w:r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de risc sistemic</w:t>
      </w:r>
      <w:r w:rsidRPr="00DD30EB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(SyRB). </w:t>
      </w:r>
    </w:p>
    <w:p w14:paraId="58DFE612" w14:textId="77777777" w:rsidR="00696B02" w:rsidRDefault="00DD30EB" w:rsidP="00696B02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C</w:t>
      </w:r>
      <w:r w:rsidR="00696B02"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onform unui studiu al Comisiei Europene, impactul de capital a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l</w:t>
      </w:r>
      <w:r w:rsidR="00696B02"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implementării 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acestor </w:t>
      </w:r>
      <w:r w:rsidR="00696B02"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noi cerințe va fi semnificativ, ducând la creșterea cerinței de capital cu 6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,</w:t>
      </w:r>
      <w:r w:rsidR="00696B02"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5%-8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,</w:t>
      </w:r>
      <w:r w:rsidR="00696B02" w:rsidRPr="007353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4% pe termen lung.</w:t>
      </w:r>
    </w:p>
    <w:p w14:paraId="208A2CAA" w14:textId="77777777" w:rsidR="00DF4E4F" w:rsidRPr="00DD30EB" w:rsidRDefault="00DF4E4F" w:rsidP="00696B02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</w:pPr>
    </w:p>
    <w:p w14:paraId="6FE02D5A" w14:textId="77777777" w:rsidR="00696B02" w:rsidRPr="00696B02" w:rsidRDefault="00696B02" w:rsidP="00082FBA">
      <w:pPr>
        <w:spacing w:after="80" w:line="264" w:lineRule="auto"/>
        <w:jc w:val="both"/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</w:pPr>
      <w:r w:rsidRPr="00696B02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 xml:space="preserve">Implementarea unui cadru de </w:t>
      </w:r>
      <w:r w:rsidR="000C7B64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 xml:space="preserve">management </w:t>
      </w:r>
      <w:r w:rsidRPr="00696B02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a</w:t>
      </w:r>
      <w:r w:rsidR="000C7B64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l</w:t>
      </w:r>
      <w:r w:rsidRPr="00696B02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 xml:space="preserve"> riscului climatic este </w:t>
      </w:r>
      <w:r w:rsidR="000C7B64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i</w:t>
      </w:r>
      <w:r w:rsidR="000C7B64" w:rsidRPr="00696B02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minentă</w:t>
      </w:r>
    </w:p>
    <w:p w14:paraId="0638CD5C" w14:textId="26E29686" w:rsidR="00696B02" w:rsidRPr="00DF4E4F" w:rsidRDefault="00696B02" w:rsidP="00696B02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</w:pPr>
      <w:r w:rsidRPr="00C65DC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Printre cele mai importante modificări aduse de anul 2022 sunt cele care vizează</w:t>
      </w:r>
      <w:r w:rsidR="00DF4E4F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Pr="00C65DC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riscul climatic. </w:t>
      </w:r>
      <w:r w:rsidRPr="00DF4E4F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În</w:t>
      </w:r>
      <w:r w:rsidR="00F54E01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F54E01" w:rsidRPr="001C1368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ianuarie</w:t>
      </w:r>
      <w:r w:rsidRPr="001C1368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 xml:space="preserve"> </w:t>
      </w:r>
      <w:r w:rsidR="00DF4E4F" w:rsidRPr="001C1368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202</w:t>
      </w:r>
      <w:r w:rsidR="00F54E01" w:rsidRPr="001C1368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2</w:t>
      </w:r>
      <w:r w:rsidRPr="00DF4E4F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, Autoritatea Bancară Europeană a </w:t>
      </w:r>
      <w:r w:rsidR="00CC48E9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publicat</w:t>
      </w:r>
      <w:r w:rsidR="00CC48E9" w:rsidRPr="00DF4E4F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F54E01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versiunea finală a</w:t>
      </w:r>
      <w:r w:rsidRPr="00DF4E4F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standarde</w:t>
      </w:r>
      <w:r w:rsidR="00F54E01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lor</w:t>
      </w:r>
      <w:r w:rsidRPr="00DF4E4F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tehnice privind</w:t>
      </w:r>
      <w:r w:rsidR="00C65DC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C65DC7" w:rsidRPr="00C65DC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cerin</w:t>
      </w:r>
      <w:r w:rsidR="00C65DC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ț</w:t>
      </w:r>
      <w:r w:rsidR="00C65DC7" w:rsidRPr="00C65DC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e</w:t>
      </w:r>
      <w:r w:rsidR="00C65DC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le</w:t>
      </w:r>
      <w:r w:rsidR="00C65DC7" w:rsidRPr="00C65DC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de publicare p</w:t>
      </w:r>
      <w:r w:rsidR="00C65DC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entru</w:t>
      </w:r>
      <w:r w:rsidR="00C65DC7" w:rsidRPr="00C65DC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institu</w:t>
      </w:r>
      <w:r w:rsidR="00C65DC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ț</w:t>
      </w:r>
      <w:r w:rsidR="00C65DC7" w:rsidRPr="00C65DC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iile de credit</w:t>
      </w:r>
      <w:r w:rsidR="00C65DC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(p</w:t>
      </w:r>
      <w:r w:rsidR="00C65DC7" w:rsidRPr="00DF4E4F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ilonul </w:t>
      </w:r>
      <w:r w:rsidRPr="00DF4E4F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3</w:t>
      </w:r>
      <w:r w:rsidR="00C65DC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)</w:t>
      </w:r>
      <w:r w:rsidRPr="00DF4E4F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C65DC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legate de</w:t>
      </w:r>
      <w:r w:rsidR="00C65DC7" w:rsidRPr="00DF4E4F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Pr="00DF4E4F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riscurile ESG. Concomitent, Banca Centrală Europeană a cerut băncilor o autoevaluare privind riscurile climatice și de mediu, urmată de </w:t>
      </w:r>
      <w:r w:rsidRPr="00C65DC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testul de stres </w:t>
      </w:r>
      <w:r w:rsidRPr="00C65DC7">
        <w:rPr>
          <w:rFonts w:asciiTheme="majorHAnsi" w:hAnsiTheme="majorHAnsi" w:cstheme="majorHAnsi"/>
          <w:i/>
          <w:iCs/>
          <w:sz w:val="20"/>
          <w:szCs w:val="20"/>
          <w:shd w:val="clear" w:color="auto" w:fill="FFFFFF"/>
          <w:lang w:val="ro-RO"/>
        </w:rPr>
        <w:t>top-down</w:t>
      </w:r>
      <w:r w:rsidRPr="00C65DC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pentru riscul climatic, având printre obiective identificarea vulnerabilităților și problemelor </w:t>
      </w:r>
      <w:r w:rsidR="00DF4E4F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cu care se </w:t>
      </w:r>
      <w:r w:rsidRPr="00C65DC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confruntă băncile în ceea ce privește gestionarea riscurilor climatice</w:t>
      </w:r>
      <w:r w:rsidRPr="00DF4E4F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. Perioada desfășurării exercițiului este </w:t>
      </w:r>
      <w:r w:rsidRPr="001C1368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martie-iulie 2022</w:t>
      </w:r>
      <w:r w:rsidRPr="00DF4E4F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. </w:t>
      </w:r>
    </w:p>
    <w:p w14:paraId="4C2AF90B" w14:textId="77777777" w:rsidR="00696B02" w:rsidRDefault="00696B02" w:rsidP="00696B02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</w:pP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Acțiunile </w:t>
      </w:r>
      <w:r w:rsidR="00DF4E4F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celor două autorități europene privind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abordarea riscului climatic</w:t>
      </w:r>
      <w:r w:rsidR="00DF4E4F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0C7B64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impun o mai bună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0C7B64"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pregătir</w:t>
      </w:r>
      <w:r w:rsidR="000C7B64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e a</w:t>
      </w:r>
      <w:r w:rsidR="000C7B64"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instituțiilor de credit în acest domeniu, atât în anul 2022, </w:t>
      </w:r>
      <w:r w:rsidR="00DF4E4F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cât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și în cei ce vor urma. Această </w:t>
      </w:r>
      <w:r w:rsidR="000C7B64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pregătire</w:t>
      </w:r>
      <w:r w:rsidR="000C7B64"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vizează acuratețea datelor, calitatea portofoliilor de credite </w:t>
      </w:r>
      <w:r w:rsidR="000C7B64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„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verzi</w:t>
      </w:r>
      <w:r w:rsidR="000C7B64">
        <w:rPr>
          <w:rFonts w:asciiTheme="majorHAnsi" w:hAnsiTheme="majorHAnsi" w:cstheme="majorHAnsi"/>
          <w:sz w:val="20"/>
          <w:szCs w:val="20"/>
          <w:shd w:val="clear" w:color="auto" w:fill="FFFFFF"/>
        </w:rPr>
        <w:t>”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și înțelegerea importanței abordării riscurilor climatice într-un mod serios și pragmatic.</w:t>
      </w:r>
    </w:p>
    <w:p w14:paraId="27A104CC" w14:textId="77777777" w:rsidR="000C7B64" w:rsidRPr="00696B02" w:rsidRDefault="000C7B64" w:rsidP="00696B02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</w:pPr>
    </w:p>
    <w:p w14:paraId="6741CBDE" w14:textId="77777777" w:rsidR="00696B02" w:rsidRPr="00696B02" w:rsidRDefault="00696B02" w:rsidP="00C65DC7">
      <w:pPr>
        <w:spacing w:after="80" w:line="264" w:lineRule="auto"/>
        <w:jc w:val="both"/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</w:pPr>
      <w:r w:rsidRPr="00696B02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 xml:space="preserve">Cerințe </w:t>
      </w:r>
      <w:r w:rsidR="008842A4" w:rsidRPr="008842A4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minime de fonduri proprii și de pasive</w:t>
      </w:r>
      <w:r w:rsidR="008842A4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 xml:space="preserve"> e</w:t>
      </w:r>
      <w:r w:rsidR="008842A4" w:rsidRPr="008842A4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ligibile</w:t>
      </w:r>
      <w:r w:rsidR="008842A4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 xml:space="preserve"> (</w:t>
      </w:r>
      <w:r w:rsidRPr="00696B02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MREL</w:t>
      </w:r>
      <w:r w:rsidR="008842A4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)</w:t>
      </w:r>
      <w:r w:rsidRPr="00696B02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 xml:space="preserve"> mai mari începând cu 2022</w:t>
      </w:r>
    </w:p>
    <w:p w14:paraId="6236E19B" w14:textId="77777777" w:rsidR="00696B02" w:rsidRPr="00696B02" w:rsidRDefault="00696B02" w:rsidP="00B76365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</w:pPr>
      <w:r w:rsidRPr="00AE44DE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Cerințele </w:t>
      </w:r>
      <w:r w:rsidR="000C7B64" w:rsidRPr="00C548CB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  <w:t>autorit</w:t>
      </w:r>
      <w:r w:rsidR="000C7B64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  <w:t xml:space="preserve">ății </w:t>
      </w:r>
      <w:r w:rsidR="000C7B64" w:rsidRPr="00C548CB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  <w:t>unic</w:t>
      </w:r>
      <w:r w:rsidR="000C7B64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  <w:t>e</w:t>
      </w:r>
      <w:r w:rsidR="000C7B64" w:rsidRPr="00C548CB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  <w:t xml:space="preserve"> de rezoluție</w:t>
      </w:r>
      <w:r w:rsidR="000C7B64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="000C7B64" w:rsidRPr="00C548CB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  <w:t>(</w:t>
      </w:r>
      <w:r w:rsidR="000C7B64" w:rsidRPr="00C548CB">
        <w:rPr>
          <w:rFonts w:asciiTheme="majorHAnsi" w:hAnsiTheme="majorHAnsi" w:cstheme="majorHAnsi"/>
          <w:i/>
          <w:color w:val="000000"/>
          <w:sz w:val="20"/>
          <w:szCs w:val="20"/>
          <w:shd w:val="clear" w:color="auto" w:fill="FFFFFF"/>
          <w:lang w:val="ro-RO"/>
        </w:rPr>
        <w:t>Single Resolution Board</w:t>
      </w:r>
      <w:r w:rsidR="000C7B64" w:rsidRPr="00C548CB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  <w:t xml:space="preserve"> - SRB)</w:t>
      </w:r>
      <w:r w:rsidR="000C7B64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Pr="00AE44DE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privind cadrul de rezoluție și în special</w:t>
      </w:r>
      <w:r w:rsidR="00C65DC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legate de</w:t>
      </w:r>
      <w:r w:rsidR="00C65DC7" w:rsidRPr="00C65DC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fonduri</w:t>
      </w:r>
      <w:r w:rsid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le</w:t>
      </w:r>
      <w:r w:rsidR="00C65DC7" w:rsidRPr="00C65DC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proprii și de pasive</w:t>
      </w:r>
      <w:r w:rsid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le</w:t>
      </w:r>
      <w:r w:rsidR="00C65DC7" w:rsidRPr="00C65DC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eligibile</w:t>
      </w:r>
      <w:bookmarkStart w:id="2" w:name="OLE_LINK10"/>
      <w:r w:rsidR="004D3938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bookmarkEnd w:id="2"/>
      <w:r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s-au intensificat treptat în ultimii </w:t>
      </w:r>
      <w:r w:rsidR="004D3938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doi</w:t>
      </w:r>
      <w:r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-</w:t>
      </w:r>
      <w:r w:rsidR="004D3938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trei</w:t>
      </w:r>
      <w:r w:rsidR="004D3938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ani</w:t>
      </w:r>
      <w:r w:rsidRPr="000C7B64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cu scopul de a-și dezvolta capacitățile de rezoluție până la sfârșitul anului 2023.</w:t>
      </w:r>
      <w:r w:rsidRPr="000C7B64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F31E6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Astfel, </w:t>
      </w:r>
      <w:r w:rsidR="00F31E6A" w:rsidRPr="001C1368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de</w:t>
      </w:r>
      <w:r w:rsidRPr="001C1368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 xml:space="preserve"> </w:t>
      </w:r>
      <w:r w:rsidR="00F31E6A" w:rsidRPr="001C1368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 xml:space="preserve">la </w:t>
      </w:r>
      <w:r w:rsidRPr="001C1368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1 ianuarie 2022</w:t>
      </w:r>
      <w:r w:rsidR="00F31E6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,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cerința MREL pentru instituțiile de credit de importanță globală </w:t>
      </w:r>
      <w:r w:rsidR="00F31E6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a crescut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de la 16% la 18% din totalul activelor ponderate la risc sau 6</w:t>
      </w:r>
      <w:r w:rsidR="00F31E6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,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75% din valo</w:t>
      </w:r>
      <w:r w:rsidR="00F31E6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a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rea </w:t>
      </w:r>
      <w:bookmarkStart w:id="3" w:name="OLE_LINK11"/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indicatorului </w:t>
      </w:r>
      <w:r w:rsidR="00F31E6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efectului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de levier</w:t>
      </w:r>
      <w:bookmarkEnd w:id="3"/>
      <w:r w:rsidR="00F31E6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(</w:t>
      </w:r>
      <w:r w:rsidR="002B5E1F">
        <w:rPr>
          <w:rFonts w:asciiTheme="majorHAnsi" w:hAnsiTheme="majorHAnsi" w:cstheme="majorHAnsi"/>
          <w:i/>
          <w:iCs/>
          <w:sz w:val="20"/>
          <w:szCs w:val="20"/>
          <w:shd w:val="clear" w:color="auto" w:fill="FFFFFF"/>
          <w:lang w:val="ro-RO"/>
        </w:rPr>
        <w:t>leverage ratio</w:t>
      </w:r>
      <w:r w:rsidR="00F31E6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), iar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pentru instituțiile de credit cu active mai mari de 100 </w:t>
      </w:r>
      <w:r w:rsidR="00946AB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de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miliarde </w:t>
      </w:r>
      <w:r w:rsidR="00946AB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de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euro (</w:t>
      </w:r>
      <w:r w:rsidRPr="00B76365">
        <w:rPr>
          <w:rFonts w:asciiTheme="majorHAnsi" w:hAnsiTheme="majorHAnsi" w:cstheme="majorHAnsi"/>
          <w:i/>
          <w:iCs/>
          <w:sz w:val="20"/>
          <w:szCs w:val="20"/>
          <w:shd w:val="clear" w:color="auto" w:fill="FFFFFF"/>
          <w:lang w:val="ro-RO"/>
        </w:rPr>
        <w:t>top-tier banks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)</w:t>
      </w:r>
      <w:r w:rsidR="00946AB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,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se va modifica de la o valoare specifică instituției la minim</w:t>
      </w:r>
      <w:r w:rsidR="00946AB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um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13</w:t>
      </w:r>
      <w:r w:rsidR="00946AB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,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5% din valoarea activelor ponderate la risc sau 5% din valoarea indicatorului </w:t>
      </w:r>
      <w:r w:rsidR="00946AB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efectului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de levier.</w:t>
      </w:r>
    </w:p>
    <w:p w14:paraId="6E79EEF7" w14:textId="77777777" w:rsidR="00696B02" w:rsidRDefault="00696B02" w:rsidP="00B76365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</w:pPr>
      <w:r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lastRenderedPageBreak/>
        <w:t xml:space="preserve">Provocarea pentru bănci în </w:t>
      </w:r>
      <w:r w:rsidRPr="001C1368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perioada 2022-2023</w:t>
      </w:r>
      <w:r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va fi să se adapteze la noile cerințe MREL și să </w:t>
      </w:r>
      <w:r w:rsidR="00946AB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se concentreze </w:t>
      </w:r>
      <w:r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în paralel </w:t>
      </w:r>
      <w:r w:rsidR="00946AB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pe </w:t>
      </w:r>
      <w:r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noile priorități, printre care</w:t>
      </w:r>
      <w:r w:rsidR="00946AB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îmbunătățirea continuă a </w:t>
      </w:r>
      <w:r w:rsidR="00946AB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sistemelor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de guvernanță internă</w:t>
      </w:r>
      <w:r w:rsidR="00946AB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și a planurilor de </w:t>
      </w:r>
      <w:r w:rsidR="00B76365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comunicare intern</w:t>
      </w:r>
      <w:r w:rsid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ă</w:t>
      </w:r>
      <w:r w:rsidR="00B76365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ș</w:t>
      </w:r>
      <w:r w:rsidR="00B76365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i extern</w:t>
      </w:r>
      <w:r w:rsid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ă</w:t>
      </w:r>
      <w:r w:rsidR="00B76365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legate de</w:t>
      </w:r>
      <w:r w:rsidR="00B76365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procesul de rezolu</w:t>
      </w:r>
      <w:r w:rsid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ț</w:t>
      </w:r>
      <w:r w:rsidR="00B76365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ie</w:t>
      </w:r>
      <w:r w:rsidR="00946AB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,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testarea</w:t>
      </w:r>
      <w:r w:rsid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B76365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document</w:t>
      </w:r>
      <w:r w:rsid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ului</w:t>
      </w:r>
      <w:r w:rsidR="00B76365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operațional elaborat de </w:t>
      </w:r>
      <w:r w:rsid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către </w:t>
      </w:r>
      <w:r w:rsidR="00B76365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bancă</w:t>
      </w:r>
      <w:r w:rsid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legat</w:t>
      </w:r>
      <w:r w:rsidR="00B76365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de </w:t>
      </w:r>
      <w:r w:rsidR="00B76365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acțiunile interne și externe </w:t>
      </w:r>
      <w:r w:rsid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necesare</w:t>
      </w:r>
      <w:r w:rsidR="00B76365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pentru a aplica în mod eficient instrumentul de recapitalizare internă</w:t>
      </w:r>
      <w:r w:rsid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(</w:t>
      </w:r>
      <w:r w:rsidRPr="00AE44DE">
        <w:rPr>
          <w:rFonts w:asciiTheme="majorHAnsi" w:hAnsiTheme="majorHAnsi" w:cstheme="majorHAnsi"/>
          <w:i/>
          <w:iCs/>
          <w:sz w:val="20"/>
          <w:szCs w:val="20"/>
          <w:shd w:val="clear" w:color="auto" w:fill="FFFFFF"/>
          <w:lang w:val="ro-RO"/>
        </w:rPr>
        <w:t>Bail-in Playbook</w:t>
      </w:r>
      <w:r w:rsid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)</w:t>
      </w:r>
      <w:r w:rsidR="00946AB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, </w:t>
      </w:r>
      <w:r w:rsidRPr="00696B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măsurarea și prognozarea lichidității, precum și monitorizarea garanțiilor pentru a obține finanțări în cazul rezoluției.</w:t>
      </w:r>
    </w:p>
    <w:p w14:paraId="56D17D01" w14:textId="77777777" w:rsidR="00025EDE" w:rsidRDefault="00025EDE" w:rsidP="00B76365">
      <w:pPr>
        <w:spacing w:after="80" w:line="264" w:lineRule="auto"/>
        <w:jc w:val="both"/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</w:pPr>
    </w:p>
    <w:p w14:paraId="3DB57232" w14:textId="77777777" w:rsidR="00386984" w:rsidRPr="0029147D" w:rsidRDefault="00025EDE" w:rsidP="00B76365">
      <w:pPr>
        <w:spacing w:after="80" w:line="264" w:lineRule="auto"/>
        <w:jc w:val="both"/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</w:pPr>
      <w:bookmarkStart w:id="4" w:name="OLE_LINK2"/>
      <w:r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Un nou p</w:t>
      </w:r>
      <w:r w:rsidRPr="00025EDE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 xml:space="preserve">achet legislativ </w:t>
      </w:r>
      <w:r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pri</w:t>
      </w:r>
      <w:r w:rsidR="00CB1D2D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vind</w:t>
      </w:r>
      <w:r w:rsidRPr="00025EDE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 xml:space="preserve"> combaterea spălării banilor și a finanțării terorismului</w:t>
      </w:r>
      <w:r w:rsidR="00405A7C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 xml:space="preserve"> (</w:t>
      </w:r>
      <w:bookmarkStart w:id="5" w:name="OLE_LINK4"/>
      <w:r w:rsidR="00405A7C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AML/CFT</w:t>
      </w:r>
      <w:bookmarkEnd w:id="5"/>
      <w:r w:rsidR="00405A7C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)</w:t>
      </w:r>
    </w:p>
    <w:bookmarkEnd w:id="4"/>
    <w:p w14:paraId="74EAB20A" w14:textId="09914F95" w:rsidR="00CB1D2D" w:rsidRDefault="00405A7C" w:rsidP="00696B02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</w:pP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În luna iulie a anului trecut, Comisia Europeană a prezentat un pachet legislativ ambițios care vizează întărirea </w:t>
      </w:r>
      <w:r w:rsidR="002F7868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și armonizarea 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cadrului de reglementare </w:t>
      </w:r>
      <w:r w:rsidR="002F7868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european </w:t>
      </w:r>
      <w:bookmarkStart w:id="6" w:name="OLE_LINK3"/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privind combaterea spălării banilor</w:t>
      </w:r>
      <w:r w:rsidR="003A2A1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(</w:t>
      </w:r>
      <w:r w:rsidR="003A2A1A" w:rsidRPr="00D26A0B">
        <w:rPr>
          <w:rFonts w:asciiTheme="majorHAnsi" w:hAnsiTheme="majorHAnsi" w:cstheme="majorHAnsi"/>
          <w:i/>
          <w:iCs/>
          <w:sz w:val="20"/>
          <w:szCs w:val="20"/>
          <w:shd w:val="clear" w:color="auto" w:fill="FFFFFF"/>
          <w:lang w:val="ro-RO"/>
        </w:rPr>
        <w:t>anti-money laundering</w:t>
      </w:r>
      <w:r w:rsidR="003A2A1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– AML)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și a finanțării terorismului</w:t>
      </w:r>
      <w:bookmarkEnd w:id="6"/>
      <w:r w:rsidR="003A2A1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(CFT)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. Având scopul general de a proteja cetățenii și sistemul financiar al </w:t>
      </w:r>
      <w:r w:rsidR="003A2A1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u</w:t>
      </w:r>
      <w:r w:rsidR="003A2A1A"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niunii 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de impactul negativ al </w:t>
      </w:r>
      <w:r w:rsidR="009607B4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acțiunilor de 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spăl</w:t>
      </w:r>
      <w:r w:rsidR="009607B4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a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r</w:t>
      </w:r>
      <w:r w:rsidR="009607B4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e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9607B4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a 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banilor și </w:t>
      </w:r>
      <w:r w:rsidR="001C1368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de 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finanț</w:t>
      </w:r>
      <w:r w:rsidR="009607B4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a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r</w:t>
      </w:r>
      <w:r w:rsidR="009607B4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e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9607B4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a 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terorismului, </w:t>
      </w:r>
      <w:r w:rsidR="00B3666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acest 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pachet legislativ</w:t>
      </w:r>
      <w:r w:rsidR="00B3666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include patru propuneri distincte: 1) crearea la nivel european a unei noi </w:t>
      </w:r>
      <w:r w:rsidR="003A2A1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a</w:t>
      </w:r>
      <w:r w:rsidR="003A2A1A"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utorități 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AML (AMLR) </w:t>
      </w:r>
      <w:r w:rsidR="009607B4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care va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supraveghe</w:t>
      </w:r>
      <w:r w:rsidR="009607B4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a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9607B4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îndeaproape 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cadrul AML/CFT</w:t>
      </w:r>
      <w:r w:rsidR="000F2043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și </w:t>
      </w:r>
      <w:r w:rsidR="000F2043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va 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consolida cooper</w:t>
      </w:r>
      <w:r w:rsidR="000F2043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area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între unitățile de informații financiare (</w:t>
      </w:r>
      <w:r w:rsidR="003A2A1A" w:rsidRPr="00D26A0B">
        <w:rPr>
          <w:rFonts w:asciiTheme="majorHAnsi" w:hAnsiTheme="majorHAnsi" w:cstheme="majorHAnsi"/>
          <w:i/>
          <w:iCs/>
          <w:sz w:val="20"/>
          <w:szCs w:val="20"/>
          <w:shd w:val="clear" w:color="auto" w:fill="FFFFFF"/>
          <w:lang w:val="ro-RO"/>
        </w:rPr>
        <w:t>financial information unit</w:t>
      </w:r>
      <w:r w:rsidR="003A2A1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- 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FI</w:t>
      </w:r>
      <w:r w:rsidR="001C1368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U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); 2) implementarea unui regulament unic AML/CFT la nivel european; 3) adoptarea celei de-a </w:t>
      </w:r>
      <w:r w:rsidR="000F2043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ș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asea directive privind cadrul AML/CFT (AMLD6); </w:t>
      </w:r>
      <w:r w:rsidR="00C474CB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și 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4) modificarea </w:t>
      </w:r>
      <w:r w:rsidR="002C2977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r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egulamentului din 2015 privind transferul de fonduri pentru a include transferurile de cripto-active. Complexitatea acestui pachet legislativ presupune, bineînțeles, o perioadă mai lungă de implementare </w:t>
      </w:r>
      <w:r w:rsidR="00897E46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- 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data aplicării AMLD6 este estimat</w:t>
      </w:r>
      <w:r w:rsidR="000F2043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ă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0F2043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pentru </w:t>
      </w:r>
      <w:r w:rsidR="000F2043" w:rsidRPr="001C1368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anul</w:t>
      </w:r>
      <w:r w:rsidRPr="001C1368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 xml:space="preserve"> 2026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, în timp ce </w:t>
      </w:r>
      <w:r w:rsidR="003A2A1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c</w:t>
      </w:r>
      <w:r w:rsidR="003A2A1A"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omisia 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își propune ca AMLR să devină operațională abia în </w:t>
      </w:r>
      <w:r w:rsidRPr="001C1368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2</w:t>
      </w:r>
      <w:r w:rsidR="00C079B6" w:rsidRPr="001C1368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02</w:t>
      </w:r>
      <w:r w:rsidR="00AE00B1" w:rsidRPr="001C1368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4</w:t>
      </w:r>
      <w:r w:rsidR="00331D71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. Î</w:t>
      </w:r>
      <w:r w:rsidR="00CF0E0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ntocmai această complexitate a noilor propuneri</w:t>
      </w:r>
      <w:r w:rsidR="006B7271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precedă un impact </w:t>
      </w:r>
      <w:r w:rsidR="002C129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semnificativ </w:t>
      </w:r>
      <w:r w:rsidRPr="00405A7C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asupra instituțiilor financiare</w:t>
      </w:r>
      <w:r w:rsidR="0019548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, care se vor vedea nevoite să depună eforturi </w:t>
      </w:r>
      <w:r w:rsidR="002C129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considerabile</w:t>
      </w:r>
      <w:r w:rsidR="002A539A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19548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pentru </w:t>
      </w:r>
      <w:r w:rsidR="00331D71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ajustarea la noile cerințe de reglementare. </w:t>
      </w:r>
    </w:p>
    <w:p w14:paraId="6ABD2D94" w14:textId="432B17B7" w:rsidR="00696B02" w:rsidRPr="00696B02" w:rsidRDefault="00696B02" w:rsidP="00696B02">
      <w:pPr>
        <w:spacing w:after="80" w:line="264" w:lineRule="auto"/>
        <w:jc w:val="both"/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</w:pPr>
      <w:r w:rsidRPr="00696B02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br/>
        <w:t>Ce înseamnă toate acest</w:t>
      </w:r>
      <w:r w:rsidR="003A2A1A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e</w:t>
      </w:r>
      <w:r w:rsidRPr="00696B02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a pentru instituțiile de credit?</w:t>
      </w:r>
    </w:p>
    <w:p w14:paraId="768A8205" w14:textId="77777777" w:rsidR="00696B02" w:rsidRPr="00946AB0" w:rsidRDefault="00946AB0" w:rsidP="00B76365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Toat</w:t>
      </w:r>
      <w:bookmarkStart w:id="7" w:name="OLE_LINK1"/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e aceste modificări se traduc în m</w:t>
      </w:r>
      <w:r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ajorarea </w:t>
      </w:r>
      <w:r w:rsidR="00696B02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costurilor de </w:t>
      </w:r>
      <w:r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conform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are </w:t>
      </w:r>
      <w:r w:rsidR="00696B02" w:rsidRPr="00946AB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la reglementările 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noi și </w:t>
      </w:r>
      <w:r w:rsidR="00696B02" w:rsidRPr="00946AB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complexe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, a c</w:t>
      </w:r>
      <w:r w:rsidR="00696B02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osturi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lor</w:t>
      </w:r>
      <w:r w:rsidR="00696B02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de capital</w:t>
      </w:r>
      <w:r w:rsidR="007A44F9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și a necesarului </w:t>
      </w:r>
      <w:bookmarkEnd w:id="7"/>
      <w:r w:rsidR="007A44F9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de </w:t>
      </w:r>
      <w:r w:rsidR="007A44F9" w:rsidRPr="008C67E6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resurse umane </w:t>
      </w:r>
      <w:r w:rsidR="007A44F9" w:rsidRPr="00946AB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pentru a face față noilor cerințe de reglementare, raportare etc</w:t>
      </w:r>
      <w:r w:rsidR="007A44F9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. </w:t>
      </w:r>
      <w:r w:rsid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A</w:t>
      </w:r>
      <w:r w:rsidR="007A44F9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lt</w:t>
      </w:r>
      <w:r w:rsid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e</w:t>
      </w:r>
      <w:r w:rsidR="007A44F9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efect</w:t>
      </w:r>
      <w:r w:rsid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e</w:t>
      </w:r>
      <w:r w:rsidR="007A44F9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sunt </w:t>
      </w:r>
      <w:r w:rsidR="007A44F9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p</w:t>
      </w:r>
      <w:r w:rsidR="007A44F9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resiun</w:t>
      </w:r>
      <w:r w:rsidR="007A44F9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ea mai mare</w:t>
      </w:r>
      <w:r w:rsidR="007A44F9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696B02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asupra modelelor de </w:t>
      </w:r>
      <w:r w:rsidR="007A44F9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business și</w:t>
      </w:r>
      <w:r w:rsidR="007A44F9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696B02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a profitabilității</w:t>
      </w:r>
      <w:r w:rsidR="00696B02" w:rsidRPr="00946AB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7A44F9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din cauza </w:t>
      </w:r>
      <w:r w:rsidR="00696B02" w:rsidRPr="00946AB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modificărilor de reglementare în timpul ciclului de viață a unui produs</w:t>
      </w:r>
      <w:r w:rsidR="007A44F9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, d</w:t>
      </w:r>
      <w:r w:rsidR="00696B02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iminuarea veniturilor în viitor</w:t>
      </w:r>
      <w:r w:rsidR="00696B02" w:rsidRPr="00946AB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, deoarece noile reglementări pot face modelele de </w:t>
      </w:r>
      <w:r w:rsidR="007A44F9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business </w:t>
      </w:r>
      <w:r w:rsidR="00696B02" w:rsidRPr="00946AB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existente ineficiente sau imposibil de realizat</w:t>
      </w:r>
      <w:r w:rsidR="007A44F9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. De asemenea, v</w:t>
      </w:r>
      <w:r w:rsidR="00696B02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iteza de adoptare a tehnologiilor emergente și </w:t>
      </w:r>
      <w:r w:rsidR="007A44F9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de </w:t>
      </w:r>
      <w:r w:rsidR="00696B02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utilizare</w:t>
      </w:r>
      <w:r w:rsidR="007A44F9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696B02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a acestora</w:t>
      </w:r>
      <w:r w:rsidR="007A44F9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se va reduce</w:t>
      </w:r>
      <w:r w:rsidR="00696B02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,</w:t>
      </w:r>
      <w:r w:rsidR="00696B02" w:rsidRPr="00946AB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neexistând încă un cadru de reglementare suficient de comprehensiv</w:t>
      </w:r>
      <w:r w:rsid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, iar p</w:t>
      </w:r>
      <w:r w:rsidR="00701F42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resiune</w:t>
      </w:r>
      <w:r w:rsid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a</w:t>
      </w:r>
      <w:r w:rsidR="00701F42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696B02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concurențială </w:t>
      </w:r>
      <w:r w:rsid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va crește</w:t>
      </w:r>
      <w:r w:rsidR="00696B02" w:rsidRPr="00946AB0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, deoarece participanții nereglementați au libertatea de a opera în moduri în care instituțiile de credit reglementate nu pot.</w:t>
      </w:r>
    </w:p>
    <w:p w14:paraId="3AAAF24D" w14:textId="77777777" w:rsidR="00696B02" w:rsidRPr="00696B02" w:rsidRDefault="00696B02" w:rsidP="00696B02">
      <w:pPr>
        <w:spacing w:after="80" w:line="264" w:lineRule="auto"/>
        <w:jc w:val="both"/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</w:pPr>
    </w:p>
    <w:p w14:paraId="4B1E50CF" w14:textId="77777777" w:rsidR="00696B02" w:rsidRPr="00696B02" w:rsidRDefault="00696B02" w:rsidP="00696B02">
      <w:pPr>
        <w:spacing w:after="80" w:line="264" w:lineRule="auto"/>
        <w:jc w:val="both"/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</w:pPr>
      <w:r w:rsidRPr="00696B02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  <w:lang w:val="ro-RO"/>
        </w:rPr>
        <w:t>Cum pot răspunde instituțiile de credit noilor provocări?</w:t>
      </w:r>
    </w:p>
    <w:p w14:paraId="650EF10F" w14:textId="20D37B00" w:rsidR="00696B02" w:rsidRPr="00701F42" w:rsidRDefault="00DA738D" w:rsidP="00B76365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</w:pPr>
      <w:hyperlink r:id="rId8" w:history="1">
        <w:r w:rsidR="00701F42" w:rsidRPr="00D26A0B">
          <w:rPr>
            <w:rStyle w:val="Hyperlink"/>
            <w:rFonts w:asciiTheme="majorHAnsi" w:hAnsiTheme="majorHAnsi" w:cstheme="majorHAnsi"/>
            <w:sz w:val="20"/>
            <w:szCs w:val="20"/>
            <w:shd w:val="clear" w:color="auto" w:fill="FFFFFF"/>
            <w:lang w:val="ro-RO"/>
          </w:rPr>
          <w:t>Soluțiile pe care le au la dispoziție băncile</w:t>
        </w:r>
      </w:hyperlink>
      <w:r w:rsid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includ m</w:t>
      </w:r>
      <w:r w:rsidR="00701F42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onitorizarea </w:t>
      </w:r>
      <w:r w:rsidR="00696B02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permanentă a cadrului de reglementare</w:t>
      </w:r>
      <w:r w:rsidR="00696B02" w:rsidRP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existent</w:t>
      </w:r>
      <w:r w:rsid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696B02" w:rsidRP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și a actelor legislative aflate în faza de </w:t>
      </w:r>
      <w:r w:rsidR="00701F42" w:rsidRP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consult</w:t>
      </w:r>
      <w:r w:rsid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are</w:t>
      </w:r>
      <w:r w:rsidR="00701F42" w:rsidRP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public</w:t>
      </w:r>
      <w:r w:rsid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ă</w:t>
      </w:r>
      <w:r w:rsidR="00696B02" w:rsidRP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, pentru a fi mereu la curent cu </w:t>
      </w:r>
      <w:r w:rsidR="00701F42" w:rsidRP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tendințele</w:t>
      </w:r>
      <w:r w:rsid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, i</w:t>
      </w:r>
      <w:r w:rsidR="00696B02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nstruirea permanentă a angajaților,</w:t>
      </w:r>
      <w:r w:rsidR="00696B02" w:rsidRP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astfel încât aceștia să cunoască </w:t>
      </w:r>
      <w:r w:rsid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bine </w:t>
      </w:r>
      <w:r w:rsidR="00696B02" w:rsidRP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cadrul de reglementare</w:t>
      </w:r>
      <w:r w:rsid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696B02" w:rsidRP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și să fie capabili să-l aplice în mod adecvat și eficient</w:t>
      </w:r>
      <w:r w:rsid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. De asemenea, instituțiile de credit trebuie să ia </w:t>
      </w:r>
      <w:r w:rsidR="00696B02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în considerare viitoarel</w:t>
      </w:r>
      <w:r w:rsid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e</w:t>
      </w:r>
      <w:r w:rsidR="00696B02" w:rsidRPr="00B76365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reglementări</w:t>
      </w:r>
      <w:r w:rsidR="00696B02" w:rsidRP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atunci când</w:t>
      </w:r>
      <w:r w:rsidR="00696B02" w:rsidRP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701F42" w:rsidRP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dezvoltă</w:t>
      </w:r>
      <w:r w:rsid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696B02" w:rsidRP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noi produse </w:t>
      </w:r>
      <w:r w:rsid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și să</w:t>
      </w:r>
      <w:r w:rsidR="00701F42" w:rsidRP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actualiz</w:t>
      </w:r>
      <w:r w:rsid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eze </w:t>
      </w:r>
      <w:r w:rsidR="00701F42" w:rsidRP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modelu</w:t>
      </w:r>
      <w:r w:rsid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l și planul de business, planul </w:t>
      </w:r>
      <w:r w:rsidR="00696B02" w:rsidRP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de capital și lichiditate, precum și cadrul general de </w:t>
      </w:r>
      <w:r w:rsidR="00701F42" w:rsidRP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gestionar</w:t>
      </w:r>
      <w:r w:rsid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e</w:t>
      </w:r>
      <w:r w:rsidR="00701F42" w:rsidRP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 xml:space="preserve"> </w:t>
      </w:r>
      <w:r w:rsidR="00696B02" w:rsidRPr="00701F42"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  <w:t>a riscurilor.</w:t>
      </w:r>
    </w:p>
    <w:p w14:paraId="0942C0D1" w14:textId="77777777" w:rsidR="00696B02" w:rsidRPr="00696B02" w:rsidRDefault="00696B02" w:rsidP="00696B02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ro-RO"/>
        </w:rPr>
      </w:pPr>
    </w:p>
    <w:p w14:paraId="60EBC8C6" w14:textId="77777777" w:rsidR="00696B02" w:rsidRPr="00696B02" w:rsidRDefault="00696B02" w:rsidP="00696B02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</w:p>
    <w:p w14:paraId="50822C45" w14:textId="77777777" w:rsidR="00422615" w:rsidRPr="0080166A" w:rsidRDefault="00422615" w:rsidP="00455E5B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sectPr w:rsidR="00422615" w:rsidRPr="0080166A" w:rsidSect="007D0E79">
      <w:headerReference w:type="default" r:id="rId9"/>
      <w:headerReference w:type="first" r:id="rId10"/>
      <w:footerReference w:type="first" r:id="rId11"/>
      <w:pgSz w:w="11901" w:h="16840" w:code="9"/>
      <w:pgMar w:top="1440" w:right="1134" w:bottom="810" w:left="1418" w:header="0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53C6" w14:textId="77777777" w:rsidR="00DA738D" w:rsidRDefault="00DA738D" w:rsidP="000D36DE">
      <w:pPr>
        <w:spacing w:after="0" w:line="240" w:lineRule="auto"/>
      </w:pPr>
      <w:r>
        <w:separator/>
      </w:r>
    </w:p>
  </w:endnote>
  <w:endnote w:type="continuationSeparator" w:id="0">
    <w:p w14:paraId="4D8EF985" w14:textId="77777777" w:rsidR="00DA738D" w:rsidRDefault="00DA738D" w:rsidP="000D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NextPro-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1220" w14:textId="77777777" w:rsidR="001615F5" w:rsidRPr="001615F5" w:rsidRDefault="00DA738D" w:rsidP="005D4A30">
    <w:pPr>
      <w:pStyle w:val="Footer"/>
      <w:ind w:right="-7"/>
      <w:rPr>
        <w:rFonts w:ascii="Verdana" w:hAnsi="Verdana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C389" w14:textId="77777777" w:rsidR="00DA738D" w:rsidRDefault="00DA738D" w:rsidP="000D36DE">
      <w:pPr>
        <w:spacing w:after="0" w:line="240" w:lineRule="auto"/>
      </w:pPr>
      <w:r>
        <w:separator/>
      </w:r>
    </w:p>
  </w:footnote>
  <w:footnote w:type="continuationSeparator" w:id="0">
    <w:p w14:paraId="54632096" w14:textId="77777777" w:rsidR="00DA738D" w:rsidRDefault="00DA738D" w:rsidP="000D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2606" w14:textId="77777777" w:rsidR="003A0D61" w:rsidRDefault="005D57E1" w:rsidP="005443B3">
    <w:pPr>
      <w:pStyle w:val="Legalentity"/>
      <w:spacing w:after="140" w:line="240" w:lineRule="auto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C154CF5" wp14:editId="48360BCD">
          <wp:simplePos x="0" y="0"/>
          <wp:positionH relativeFrom="column">
            <wp:posOffset>0</wp:posOffset>
          </wp:positionH>
          <wp:positionV relativeFrom="paragraph">
            <wp:posOffset>368300</wp:posOffset>
          </wp:positionV>
          <wp:extent cx="1630680" cy="304800"/>
          <wp:effectExtent l="0" t="0" r="7620" b="0"/>
          <wp:wrapNone/>
          <wp:docPr id="8" name="Picture 8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B056" w14:textId="77777777" w:rsidR="006A0423" w:rsidRDefault="005D57E1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C6F852C" wp14:editId="3D54D0B0">
          <wp:simplePos x="0" y="0"/>
          <wp:positionH relativeFrom="column">
            <wp:posOffset>-312420</wp:posOffset>
          </wp:positionH>
          <wp:positionV relativeFrom="paragraph">
            <wp:posOffset>33020</wp:posOffset>
          </wp:positionV>
          <wp:extent cx="2216150" cy="901700"/>
          <wp:effectExtent l="0" t="0" r="0" b="0"/>
          <wp:wrapNone/>
          <wp:docPr id="9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2CA3A" w14:textId="77777777" w:rsidR="006A0423" w:rsidRDefault="00DA738D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7684FDFD" w14:textId="77777777" w:rsidR="006A0423" w:rsidRDefault="00DA738D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6710DAD4" w14:textId="77777777" w:rsidR="005443B3" w:rsidRPr="001615F5" w:rsidRDefault="005D57E1">
    <w:pPr>
      <w:pStyle w:val="Header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79D6B265" wp14:editId="3C86D151">
              <wp:simplePos x="0" y="0"/>
              <wp:positionH relativeFrom="page">
                <wp:posOffset>5507355</wp:posOffset>
              </wp:positionH>
              <wp:positionV relativeFrom="page">
                <wp:posOffset>549275</wp:posOffset>
              </wp:positionV>
              <wp:extent cx="1334135" cy="4508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8D763" w14:textId="77777777" w:rsidR="006679A3" w:rsidRPr="00E57B68" w:rsidRDefault="00DA738D" w:rsidP="006679A3">
                          <w:pPr>
                            <w:autoSpaceDE w:val="0"/>
                            <w:autoSpaceDN w:val="0"/>
                            <w:adjustRightInd w:val="0"/>
                            <w:spacing w:line="180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6B26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3.65pt;margin-top:43.25pt;width:105.05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zG6AEAALkDAAAOAAAAZHJzL2Uyb0RvYy54bWysU8Fu2zAMvQ/YPwi6L06aZiiMOEWXIsOA&#10;bivQ9QNkWbaFyaJGKbGzrx8l2+m63Yb5IFAi+cj3SG9vh86wk0KvwRZ8tVhypqyEStum4M/fDu9u&#10;OPNB2EoYsKrgZ+X57e7tm23vcnUFLZhKISMQ6/PeFbwNweVZ5mWrOuEX4JQlZw3YiUBXbLIKRU/o&#10;ncmulsv3WQ9YOQSpvKfX+9HJdwm/rpUMX+vaq8BMwam3kE5MZxnPbLcVeYPCtVpObYh/6KIT2lLR&#10;C9S9CIIdUf8F1WmJ4KEOCwldBnWtpUociM1q+Qebp1Y4lbiQON5dZPL/D1Z+OT25R2Rh+AADDTCR&#10;8O4B5HfPLOxbYRt1hwh9q0RFhVdRsqx3Pp9So9Q+9xGk7D9DRUMWxwAJaKixi6oQT0boNIDzRXQ1&#10;BCZjyfX6erXecCbJd71Z3mxSBZHPyQ59+KigY9EoONJME7g4PfgQmxH5HBJreTC6Omhj0gWbcm+Q&#10;nQTN/5C+Cf1VmLEx2EJMGxHjS2IZiY0Uw1AO5IxsS6jOxBdh3CfafzJawJ+c9bRLBfc/jgIVZ+aT&#10;Jc3i4s0GzkY5G8JKSi144Gw092Fc0KND3bSEPE7Fwh3pWuvE+aWLqU/ajyTFtMtxAX+/p6iXP273&#10;CwAA//8DAFBLAwQUAAYACAAAACEAGZzCad8AAAAKAQAADwAAAGRycy9kb3ducmV2LnhtbEyPwU7D&#10;MAyG70i8Q2QkLoilbNCO0nSCjd3gsDHt7DWmrWicqknX7u1JT3Cz5U+/vz9bjaYRZ+pcbVnBwywC&#10;QVxYXXOp4PC1vV+CcB5ZY2OZFFzIwSq/vsow1XbgHZ33vhQhhF2KCirv21RKV1Rk0M1sSxxu37Yz&#10;6MPalVJ3OIRw08h5FMXSYM3hQ4UtrSsqfva9URBvun7Y8fpuc3j/wM+2nB/fLkelbm/G1xcQnkb/&#10;B8OkH9QhD04n27N2olGwjJNFQKfhCcQEREnyCOKk4HkRg8wz+b9C/gsAAP//AwBQSwECLQAUAAYA&#10;CAAAACEAtoM4kv4AAADhAQAAEwAAAAAAAAAAAAAAAAAAAAAAW0NvbnRlbnRfVHlwZXNdLnhtbFBL&#10;AQItABQABgAIAAAAIQA4/SH/1gAAAJQBAAALAAAAAAAAAAAAAAAAAC8BAABfcmVscy8ucmVsc1BL&#10;AQItABQABgAIAAAAIQApDMzG6AEAALkDAAAOAAAAAAAAAAAAAAAAAC4CAABkcnMvZTJvRG9jLnht&#10;bFBLAQItABQABgAIAAAAIQAZnMJp3wAAAAoBAAAPAAAAAAAAAAAAAAAAAEIEAABkcnMvZG93bnJl&#10;di54bWxQSwUGAAAAAAQABADzAAAATgUAAAAA&#10;" o:allowincell="f" stroked="f">
              <v:textbox inset="0,0,0,0">
                <w:txbxContent>
                  <w:p w14:paraId="1B18D763" w14:textId="77777777" w:rsidR="006679A3" w:rsidRPr="00E57B68" w:rsidRDefault="00B11A4C" w:rsidP="006679A3">
                    <w:pPr>
                      <w:autoSpaceDE w:val="0"/>
                      <w:autoSpaceDN w:val="0"/>
                      <w:adjustRightInd w:val="0"/>
                      <w:spacing w:line="180" w:lineRule="atLea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86D"/>
    <w:multiLevelType w:val="hybridMultilevel"/>
    <w:tmpl w:val="8B9A3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BD3"/>
    <w:multiLevelType w:val="multilevel"/>
    <w:tmpl w:val="A8B4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70ABE"/>
    <w:multiLevelType w:val="hybridMultilevel"/>
    <w:tmpl w:val="A53E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B774D"/>
    <w:multiLevelType w:val="hybridMultilevel"/>
    <w:tmpl w:val="EEB2C87A"/>
    <w:lvl w:ilvl="0" w:tplc="9C12F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632"/>
    <w:multiLevelType w:val="multilevel"/>
    <w:tmpl w:val="BE80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C78CE"/>
    <w:multiLevelType w:val="multilevel"/>
    <w:tmpl w:val="6EFC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A92BD6"/>
    <w:multiLevelType w:val="multilevel"/>
    <w:tmpl w:val="CDA0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A45BA"/>
    <w:multiLevelType w:val="multilevel"/>
    <w:tmpl w:val="46F2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1739E"/>
    <w:multiLevelType w:val="hybridMultilevel"/>
    <w:tmpl w:val="58981B8A"/>
    <w:lvl w:ilvl="0" w:tplc="9102A5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50404"/>
    <w:multiLevelType w:val="hybridMultilevel"/>
    <w:tmpl w:val="B002EA2E"/>
    <w:lvl w:ilvl="0" w:tplc="37BEE64C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00C8B"/>
    <w:multiLevelType w:val="multilevel"/>
    <w:tmpl w:val="A8F6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E5F8F"/>
    <w:multiLevelType w:val="hybridMultilevel"/>
    <w:tmpl w:val="2CF06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3603E"/>
    <w:multiLevelType w:val="multilevel"/>
    <w:tmpl w:val="0B10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843224"/>
    <w:multiLevelType w:val="hybridMultilevel"/>
    <w:tmpl w:val="A5CA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2D"/>
    <w:rsid w:val="00010D74"/>
    <w:rsid w:val="00025EDE"/>
    <w:rsid w:val="00046476"/>
    <w:rsid w:val="0006157D"/>
    <w:rsid w:val="00063991"/>
    <w:rsid w:val="00082FBA"/>
    <w:rsid w:val="000847C6"/>
    <w:rsid w:val="00085B56"/>
    <w:rsid w:val="0008609B"/>
    <w:rsid w:val="000A0DAA"/>
    <w:rsid w:val="000A0ED0"/>
    <w:rsid w:val="000A6D8E"/>
    <w:rsid w:val="000B2ED4"/>
    <w:rsid w:val="000B62DB"/>
    <w:rsid w:val="000C3550"/>
    <w:rsid w:val="000C7B64"/>
    <w:rsid w:val="000D36DE"/>
    <w:rsid w:val="000F2043"/>
    <w:rsid w:val="000F4EDA"/>
    <w:rsid w:val="000F5C1A"/>
    <w:rsid w:val="000F62B4"/>
    <w:rsid w:val="00114B2F"/>
    <w:rsid w:val="00131B80"/>
    <w:rsid w:val="00142C9E"/>
    <w:rsid w:val="001730D6"/>
    <w:rsid w:val="001776A8"/>
    <w:rsid w:val="00187DBE"/>
    <w:rsid w:val="00190B85"/>
    <w:rsid w:val="00195482"/>
    <w:rsid w:val="001B06EE"/>
    <w:rsid w:val="001B0756"/>
    <w:rsid w:val="001B79C8"/>
    <w:rsid w:val="001C1368"/>
    <w:rsid w:val="001E3C45"/>
    <w:rsid w:val="002077E7"/>
    <w:rsid w:val="00243E07"/>
    <w:rsid w:val="00261D59"/>
    <w:rsid w:val="00272DBC"/>
    <w:rsid w:val="00287020"/>
    <w:rsid w:val="00287F23"/>
    <w:rsid w:val="0029147D"/>
    <w:rsid w:val="0029732D"/>
    <w:rsid w:val="00297B56"/>
    <w:rsid w:val="002A0033"/>
    <w:rsid w:val="002A539A"/>
    <w:rsid w:val="002A75C1"/>
    <w:rsid w:val="002B5E1F"/>
    <w:rsid w:val="002C1290"/>
    <w:rsid w:val="002C2977"/>
    <w:rsid w:val="002C3E14"/>
    <w:rsid w:val="002C7E7E"/>
    <w:rsid w:val="002D2526"/>
    <w:rsid w:val="002D44AD"/>
    <w:rsid w:val="002D5F99"/>
    <w:rsid w:val="002E622C"/>
    <w:rsid w:val="002F7868"/>
    <w:rsid w:val="0032775E"/>
    <w:rsid w:val="00327DA3"/>
    <w:rsid w:val="00331D71"/>
    <w:rsid w:val="00354F6C"/>
    <w:rsid w:val="003612EA"/>
    <w:rsid w:val="003621D1"/>
    <w:rsid w:val="0036501F"/>
    <w:rsid w:val="00386984"/>
    <w:rsid w:val="0039286B"/>
    <w:rsid w:val="00395661"/>
    <w:rsid w:val="003A2A1A"/>
    <w:rsid w:val="003B36FF"/>
    <w:rsid w:val="003D3BB5"/>
    <w:rsid w:val="003F564C"/>
    <w:rsid w:val="003F6EE4"/>
    <w:rsid w:val="00405A7C"/>
    <w:rsid w:val="00422615"/>
    <w:rsid w:val="00454A16"/>
    <w:rsid w:val="00455E5B"/>
    <w:rsid w:val="00473E06"/>
    <w:rsid w:val="00476DDC"/>
    <w:rsid w:val="00482C63"/>
    <w:rsid w:val="004A30C1"/>
    <w:rsid w:val="004B102C"/>
    <w:rsid w:val="004C1B5A"/>
    <w:rsid w:val="004D3938"/>
    <w:rsid w:val="004E049F"/>
    <w:rsid w:val="004E1653"/>
    <w:rsid w:val="004E19AD"/>
    <w:rsid w:val="005053F0"/>
    <w:rsid w:val="0051660D"/>
    <w:rsid w:val="0053235E"/>
    <w:rsid w:val="005347E4"/>
    <w:rsid w:val="005870CC"/>
    <w:rsid w:val="005A0203"/>
    <w:rsid w:val="005A24B8"/>
    <w:rsid w:val="005C705D"/>
    <w:rsid w:val="005D57E1"/>
    <w:rsid w:val="005F0B17"/>
    <w:rsid w:val="005F0BA6"/>
    <w:rsid w:val="005F622B"/>
    <w:rsid w:val="00611E7B"/>
    <w:rsid w:val="006430E3"/>
    <w:rsid w:val="006628F0"/>
    <w:rsid w:val="006651B2"/>
    <w:rsid w:val="00696B02"/>
    <w:rsid w:val="006B7271"/>
    <w:rsid w:val="006D08E2"/>
    <w:rsid w:val="006E68F7"/>
    <w:rsid w:val="00701F42"/>
    <w:rsid w:val="007059D1"/>
    <w:rsid w:val="00705F43"/>
    <w:rsid w:val="0072538D"/>
    <w:rsid w:val="0072621D"/>
    <w:rsid w:val="00732F84"/>
    <w:rsid w:val="00735342"/>
    <w:rsid w:val="007363FA"/>
    <w:rsid w:val="00757845"/>
    <w:rsid w:val="007618EF"/>
    <w:rsid w:val="00766CBE"/>
    <w:rsid w:val="00791B64"/>
    <w:rsid w:val="00792F0E"/>
    <w:rsid w:val="00793119"/>
    <w:rsid w:val="007A44F9"/>
    <w:rsid w:val="007C2296"/>
    <w:rsid w:val="007C5C43"/>
    <w:rsid w:val="007D5E6A"/>
    <w:rsid w:val="007E37E1"/>
    <w:rsid w:val="0080166A"/>
    <w:rsid w:val="00804311"/>
    <w:rsid w:val="00813BAF"/>
    <w:rsid w:val="00855314"/>
    <w:rsid w:val="00872E3C"/>
    <w:rsid w:val="008842A4"/>
    <w:rsid w:val="0089246D"/>
    <w:rsid w:val="00897E46"/>
    <w:rsid w:val="008E4259"/>
    <w:rsid w:val="00913BDE"/>
    <w:rsid w:val="00946AB0"/>
    <w:rsid w:val="009607B4"/>
    <w:rsid w:val="00996BA6"/>
    <w:rsid w:val="009A0FEE"/>
    <w:rsid w:val="009B258D"/>
    <w:rsid w:val="009C11ED"/>
    <w:rsid w:val="009D3F92"/>
    <w:rsid w:val="009E63E8"/>
    <w:rsid w:val="00A24EF0"/>
    <w:rsid w:val="00AC654C"/>
    <w:rsid w:val="00AD0A73"/>
    <w:rsid w:val="00AE00B1"/>
    <w:rsid w:val="00AE44DE"/>
    <w:rsid w:val="00AF4D9B"/>
    <w:rsid w:val="00B11A4C"/>
    <w:rsid w:val="00B1498C"/>
    <w:rsid w:val="00B14B2C"/>
    <w:rsid w:val="00B1636E"/>
    <w:rsid w:val="00B27F79"/>
    <w:rsid w:val="00B3666A"/>
    <w:rsid w:val="00B53E17"/>
    <w:rsid w:val="00B66786"/>
    <w:rsid w:val="00B76365"/>
    <w:rsid w:val="00B84A8B"/>
    <w:rsid w:val="00B93316"/>
    <w:rsid w:val="00B96F6B"/>
    <w:rsid w:val="00BC5B40"/>
    <w:rsid w:val="00BD2737"/>
    <w:rsid w:val="00BD2E48"/>
    <w:rsid w:val="00C0179F"/>
    <w:rsid w:val="00C02DC3"/>
    <w:rsid w:val="00C079B6"/>
    <w:rsid w:val="00C12A6B"/>
    <w:rsid w:val="00C2006D"/>
    <w:rsid w:val="00C45770"/>
    <w:rsid w:val="00C474CB"/>
    <w:rsid w:val="00C65DC7"/>
    <w:rsid w:val="00C75698"/>
    <w:rsid w:val="00C93FE5"/>
    <w:rsid w:val="00C971DA"/>
    <w:rsid w:val="00CA68C9"/>
    <w:rsid w:val="00CB1D2D"/>
    <w:rsid w:val="00CC48E9"/>
    <w:rsid w:val="00CD7E3E"/>
    <w:rsid w:val="00CF0E02"/>
    <w:rsid w:val="00D024AD"/>
    <w:rsid w:val="00D12C43"/>
    <w:rsid w:val="00D2404E"/>
    <w:rsid w:val="00D26A0B"/>
    <w:rsid w:val="00D42E4C"/>
    <w:rsid w:val="00D56480"/>
    <w:rsid w:val="00D656C6"/>
    <w:rsid w:val="00D72BFE"/>
    <w:rsid w:val="00D76021"/>
    <w:rsid w:val="00D83659"/>
    <w:rsid w:val="00DA1C83"/>
    <w:rsid w:val="00DA738D"/>
    <w:rsid w:val="00DC4332"/>
    <w:rsid w:val="00DC4CB1"/>
    <w:rsid w:val="00DD30EB"/>
    <w:rsid w:val="00DF07B5"/>
    <w:rsid w:val="00DF4E4F"/>
    <w:rsid w:val="00E004C0"/>
    <w:rsid w:val="00E04C74"/>
    <w:rsid w:val="00E216FD"/>
    <w:rsid w:val="00E431EB"/>
    <w:rsid w:val="00E548D9"/>
    <w:rsid w:val="00E5762F"/>
    <w:rsid w:val="00E737A7"/>
    <w:rsid w:val="00E875FE"/>
    <w:rsid w:val="00EB6E27"/>
    <w:rsid w:val="00ED51B8"/>
    <w:rsid w:val="00F0211A"/>
    <w:rsid w:val="00F06EF0"/>
    <w:rsid w:val="00F17F16"/>
    <w:rsid w:val="00F31E6A"/>
    <w:rsid w:val="00F46991"/>
    <w:rsid w:val="00F548E2"/>
    <w:rsid w:val="00F54E01"/>
    <w:rsid w:val="00F6712E"/>
    <w:rsid w:val="00FA2A21"/>
    <w:rsid w:val="00FA47F0"/>
    <w:rsid w:val="00FC4A39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8EB3B"/>
  <w15:chartTrackingRefBased/>
  <w15:docId w15:val="{47299106-F41B-407A-9D97-ECCB2B8A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65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0ED0"/>
    <w:pPr>
      <w:spacing w:after="0" w:line="240" w:lineRule="auto"/>
      <w:ind w:left="720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B6E27"/>
    <w:rPr>
      <w:i/>
      <w:iCs/>
    </w:rPr>
  </w:style>
  <w:style w:type="paragraph" w:customStyle="1" w:styleId="stilparagraf">
    <w:name w:val="stilparagraf"/>
    <w:basedOn w:val="Normal"/>
    <w:rsid w:val="00E5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1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C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C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7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1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1A"/>
  </w:style>
  <w:style w:type="paragraph" w:styleId="Header">
    <w:name w:val="header"/>
    <w:basedOn w:val="Normal"/>
    <w:link w:val="HeaderChar"/>
    <w:uiPriority w:val="99"/>
    <w:unhideWhenUsed/>
    <w:rsid w:val="00F0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1A"/>
  </w:style>
  <w:style w:type="paragraph" w:customStyle="1" w:styleId="Legalentity">
    <w:name w:val="Legal entity"/>
    <w:basedOn w:val="Normal"/>
    <w:rsid w:val="00F0211A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 w:cs="Times New Roman"/>
      <w:color w:val="000000"/>
      <w:sz w:val="15"/>
      <w:szCs w:val="20"/>
      <w:lang w:val="en-GB" w:eastAsia="en-GB"/>
    </w:rPr>
  </w:style>
  <w:style w:type="character" w:customStyle="1" w:styleId="l5def5">
    <w:name w:val="l5def5"/>
    <w:basedOn w:val="DefaultParagraphFont"/>
    <w:rsid w:val="002D44AD"/>
    <w:rPr>
      <w:rFonts w:ascii="Arial" w:hAnsi="Arial" w:cs="Arial" w:hint="default"/>
      <w:color w:val="000000"/>
    </w:rPr>
  </w:style>
  <w:style w:type="character" w:styleId="Strong">
    <w:name w:val="Strong"/>
    <w:basedOn w:val="DefaultParagraphFont"/>
    <w:uiPriority w:val="22"/>
    <w:qFormat/>
    <w:rsid w:val="0042261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26A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13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31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register-deloittece.com/forms/registration.html?docid=2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.register-deloittece.com/forms/registration.html?docid=2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Anghel</dc:creator>
  <cp:keywords/>
  <dc:description/>
  <cp:lastModifiedBy>Codrina Apostol</cp:lastModifiedBy>
  <cp:revision>9</cp:revision>
  <dcterms:created xsi:type="dcterms:W3CDTF">2022-03-31T08:05:00Z</dcterms:created>
  <dcterms:modified xsi:type="dcterms:W3CDTF">2022-04-04T08:10:00Z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2022-03-03T12:46:56Z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740a01c4-99bb-43ab-8977-4ebeb890486a</vt:lpwstr>
  </property>
  <property fmtid="{D5CDD505-2E9C-101B-9397-08002B2CF9AE}" pid="8" name="MSIP_Label_ea60d57e-af5b-4752-ac57-3e4f28ca11dc_ContentBits">
    <vt:lpwstr>0</vt:lpwstr>
  </property>
</Properties>
</file>